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1040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1040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HANIFORD JOSEPH 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2360" w:type="dxa"/>
            <w:vAlign w:val="bottom"/>
            <w:tcBorders>
              <w:top w:val="single" w:sz="8" w:color="0000EE"/>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05/22/2026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TREDEGAR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TG</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20" w:type="dxa"/>
            <w:vAlign w:val="bottom"/>
          </w:tcPr>
          <w:p>
            <w:pPr>
              <w:ind w:left="28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1100 BOULDERS PARKWAY</w:t>
            </w:r>
          </w:p>
        </w:tc>
      </w:tr>
      <w:tr>
        <w:trPr>
          <w:trHeight w:val="237"/>
        </w:trPr>
        <w:tc>
          <w:tcPr>
            <w:tcW w:w="78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RICHMOND VA</w:t>
            </w:r>
          </w:p>
        </w:tc>
        <w:tc>
          <w:tcPr>
            <w:tcW w:w="1300" w:type="dxa"/>
            <w:vAlign w:val="bottom"/>
          </w:tcPr>
          <w:p>
            <w:pPr>
              <w:jc w:val="right"/>
              <w:ind w:right="397"/>
              <w:spacing w:after="0"/>
              <w:rPr>
                <w:sz w:val="20"/>
                <w:szCs w:val="20"/>
                <w:color w:val="auto"/>
              </w:rPr>
            </w:pPr>
            <w:r>
              <w:rPr>
                <w:rFonts w:ascii="Times New Roman" w:cs="Times New Roman" w:eastAsia="Times New Roman" w:hAnsi="Times New Roman"/>
                <w:sz w:val="20"/>
                <w:szCs w:val="20"/>
                <w:color w:val="0000FF"/>
              </w:rPr>
              <w:t>23225</w:t>
            </w:r>
          </w:p>
        </w:tc>
      </w:tr>
      <w:tr>
        <w:trPr>
          <w:trHeight w:val="177"/>
        </w:trPr>
        <w:tc>
          <w:tcPr>
            <w:tcW w:w="7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020" w:type="dxa"/>
            <w:vAlign w:val="bottom"/>
          </w:tcPr>
          <w:p>
            <w:pPr>
              <w:ind w:left="28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7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0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Joseph E. Haniford</w:t>
            </w:r>
          </w:p>
        </w:tc>
        <w:tc>
          <w:tcPr>
            <w:tcW w:w="2440" w:type="dxa"/>
            <w:vAlign w:val="bottom"/>
            <w:gridSpan w:val="4"/>
          </w:tcPr>
          <w:p>
            <w:pPr>
              <w:jc w:val="right"/>
              <w:ind w:right="1280"/>
              <w:spacing w:after="0"/>
              <w:rPr>
                <w:sz w:val="20"/>
                <w:szCs w:val="20"/>
                <w:color w:val="auto"/>
              </w:rPr>
            </w:pPr>
            <w:r>
              <w:rPr>
                <w:rFonts w:ascii="Times New Roman" w:cs="Times New Roman" w:eastAsia="Times New Roman" w:hAnsi="Times New Roman"/>
                <w:sz w:val="20"/>
                <w:szCs w:val="20"/>
                <w:color w:val="0000FF"/>
              </w:rPr>
              <w:t>06/01/2026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POWER OF ATTORNEY</w:t>
      </w:r>
    </w:p>
    <w:p>
      <w:pPr>
        <w:spacing w:after="0" w:line="287" w:lineRule="exact"/>
        <w:rPr>
          <w:sz w:val="20"/>
          <w:szCs w:val="20"/>
          <w:color w:val="auto"/>
        </w:rPr>
      </w:pPr>
    </w:p>
    <w:p>
      <w:pPr>
        <w:ind w:right="340"/>
        <w:spacing w:after="0" w:line="273"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Kevin C. Donnelly as the undersigned's true and lawful attorney-in-fact to:</w:t>
      </w:r>
    </w:p>
    <w:p>
      <w:pPr>
        <w:spacing w:after="0" w:line="220" w:lineRule="exact"/>
        <w:rPr>
          <w:sz w:val="20"/>
          <w:szCs w:val="20"/>
          <w:color w:val="auto"/>
        </w:rPr>
      </w:pPr>
    </w:p>
    <w:p>
      <w:pPr>
        <w:jc w:val="both"/>
        <w:ind w:left="720" w:hanging="360"/>
        <w:spacing w:after="0" w:line="264" w:lineRule="auto"/>
        <w:tabs>
          <w:tab w:leader="none" w:pos="70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Tredegar Corporation (the “Company”), Forms 3, 4 and 5 in accordance with Section 16(a) of the Securities Exchange Act of 1934 and the rules thereunder;</w:t>
      </w:r>
    </w:p>
    <w:p>
      <w:pPr>
        <w:spacing w:after="0" w:line="230" w:lineRule="exact"/>
        <w:rPr>
          <w:rFonts w:ascii="Times New Roman" w:cs="Times New Roman" w:eastAsia="Times New Roman" w:hAnsi="Times New Roman"/>
          <w:sz w:val="22"/>
          <w:szCs w:val="22"/>
          <w:color w:val="auto"/>
        </w:rPr>
      </w:pPr>
    </w:p>
    <w:p>
      <w:pPr>
        <w:ind w:left="720" w:right="560" w:hanging="360"/>
        <w:spacing w:after="0" w:line="264" w:lineRule="auto"/>
        <w:tabs>
          <w:tab w:leader="none" w:pos="70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15" w:lineRule="exact"/>
        <w:rPr>
          <w:rFonts w:ascii="Times New Roman" w:cs="Times New Roman" w:eastAsia="Times New Roman" w:hAnsi="Times New Roman"/>
          <w:sz w:val="22"/>
          <w:szCs w:val="22"/>
          <w:color w:val="auto"/>
        </w:rPr>
      </w:pPr>
    </w:p>
    <w:p>
      <w:pPr>
        <w:ind w:left="720" w:right="220" w:hanging="360"/>
        <w:spacing w:after="0" w:line="260" w:lineRule="auto"/>
        <w:tabs>
          <w:tab w:leader="none" w:pos="70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2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2"/>
          <w:szCs w:val="22"/>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244" w:lineRule="exact"/>
        <w:rPr>
          <w:sz w:val="20"/>
          <w:szCs w:val="20"/>
          <w:color w:val="auto"/>
        </w:rPr>
      </w:pPr>
    </w:p>
    <w:p>
      <w:pPr>
        <w:ind w:right="320"/>
        <w:spacing w:after="0" w:line="264"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231" w:lineRule="exact"/>
        <w:rPr>
          <w:sz w:val="20"/>
          <w:szCs w:val="20"/>
          <w:color w:val="auto"/>
        </w:rPr>
      </w:pPr>
    </w:p>
    <w:p>
      <w:pPr>
        <w:ind w:right="560"/>
        <w:spacing w:after="0" w:line="273" w:lineRule="auto"/>
        <w:rPr>
          <w:sz w:val="20"/>
          <w:szCs w:val="20"/>
          <w:color w:val="auto"/>
        </w:rPr>
      </w:pPr>
      <w:r>
        <w:rPr>
          <w:rFonts w:ascii="Times New Roman" w:cs="Times New Roman" w:eastAsia="Times New Roman" w:hAnsi="Times New Roman"/>
          <w:sz w:val="22"/>
          <w:szCs w:val="22"/>
          <w:color w:val="auto"/>
        </w:rPr>
        <w:t>Any and all prior dated powers of attorney concerning the completion, execution and filing of Forms 3, 4 and 5 in my capacity as an officer and/or director of Tredegar Corporation are hereby revoked.</w:t>
      </w:r>
    </w:p>
    <w:p>
      <w:pPr>
        <w:spacing w:after="0" w:line="220" w:lineRule="exact"/>
        <w:rPr>
          <w:sz w:val="20"/>
          <w:szCs w:val="20"/>
          <w:color w:val="auto"/>
        </w:rPr>
      </w:pPr>
    </w:p>
    <w:p>
      <w:pPr>
        <w:ind w:right="300"/>
        <w:spacing w:after="0" w:line="232"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22</w:t>
      </w:r>
      <w:r>
        <w:rPr>
          <w:rFonts w:ascii="Times New Roman" w:cs="Times New Roman" w:eastAsia="Times New Roman" w:hAnsi="Times New Roman"/>
          <w:sz w:val="28"/>
          <w:szCs w:val="28"/>
          <w:color w:val="auto"/>
          <w:vertAlign w:val="superscript"/>
        </w:rPr>
        <w:t>nd</w:t>
      </w:r>
      <w:r>
        <w:rPr>
          <w:rFonts w:ascii="Times New Roman" w:cs="Times New Roman" w:eastAsia="Times New Roman" w:hAnsi="Times New Roman"/>
          <w:sz w:val="22"/>
          <w:szCs w:val="22"/>
          <w:color w:val="auto"/>
        </w:rPr>
        <w:t xml:space="preserve"> day of May, 2026.</w:t>
      </w:r>
    </w:p>
    <w:p>
      <w:pPr>
        <w:spacing w:after="0" w:line="200" w:lineRule="exact"/>
        <w:rPr>
          <w:sz w:val="20"/>
          <w:szCs w:val="20"/>
          <w:color w:val="auto"/>
        </w:rPr>
      </w:pPr>
    </w:p>
    <w:p>
      <w:pPr>
        <w:spacing w:after="0" w:line="38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/s/ Joseph E. Haniford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140970</wp:posOffset>
            </wp:positionV>
            <wp:extent cx="196278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62785" cy="9525"/>
                    </a:xfrm>
                    <a:prstGeom prst="rect">
                      <a:avLst/>
                    </a:prstGeom>
                    <a:noFill/>
                  </pic:spPr>
                </pic:pic>
              </a:graphicData>
            </a:graphic>
          </wp:anchor>
        </w:drawing>
      </w:r>
    </w:p>
    <w:p>
      <w:pPr>
        <w:spacing w:after="0" w:line="23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Printed Name: Joseph E.</w:t>
      </w:r>
    </w:p>
    <w:p>
      <w:pPr>
        <w:spacing w:after="0" w:line="3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Haniford</w:t>
      </w:r>
    </w:p>
    <w:sectPr>
      <w:pgSz w:w="11900" w:h="16838" w:orient="portrait"/>
      <w:cols w:equalWidth="0" w:num="1">
        <w:col w:w="10920"/>
      </w:cols>
      <w:pgMar w:left="480" w:top="144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1647836" TargetMode="External"/><Relationship Id="rId11" Type="http://schemas.openxmlformats.org/officeDocument/2006/relationships/hyperlink" Target="http://www.sec.gov/cgi-bin/browse-edgar?action=getcompany&amp;CIK=00008504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2026-06-01T07:51:13Z</dcterms:created>
  <dcterms:modified xsi:type="dcterms:W3CDTF">2026-06-01T07:51:13Z</dcterms:modified>
</cp:coreProperties>
</file>