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46990</wp:posOffset>
            </wp:positionV>
            <wp:extent cx="23901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64135</wp:posOffset>
            </wp:positionV>
            <wp:extent cx="23901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7" w:lineRule="exact"/>
        <w:rPr>
          <w:sz w:val="24"/>
          <w:szCs w:val="24"/>
          <w:color w:val="auto"/>
        </w:rPr>
      </w:pPr>
    </w:p>
    <w:p>
      <w:pPr>
        <w:ind w:left="660" w:hanging="386"/>
        <w:spacing w:after="0"/>
        <w:tabs>
          <w:tab w:leader="none" w:pos="66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7" w:lineRule="exact"/>
        <w:rPr>
          <w:sz w:val="24"/>
          <w:szCs w:val="24"/>
          <w:color w:val="auto"/>
        </w:rPr>
      </w:pPr>
    </w:p>
    <w:p>
      <w:pPr>
        <w:ind w:left="660" w:hanging="422"/>
        <w:spacing w:after="0"/>
        <w:tabs>
          <w:tab w:leader="none" w:pos="6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0" w:lineRule="exact"/>
        <w:rPr>
          <w:sz w:val="24"/>
          <w:szCs w:val="24"/>
          <w:color w:val="auto"/>
        </w:rPr>
      </w:pPr>
    </w:p>
    <w:p>
      <w:pPr>
        <w:ind w:left="36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3665220</wp:posOffset>
            </wp:positionH>
            <wp:positionV relativeFrom="paragraph">
              <wp:posOffset>-6350</wp:posOffset>
            </wp:positionV>
            <wp:extent cx="11569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6970" cy="7620"/>
                    </a:xfrm>
                    <a:prstGeom prst="rect">
                      <a:avLst/>
                    </a:prstGeom>
                    <a:noFill/>
                  </pic:spPr>
                </pic:pic>
              </a:graphicData>
            </a:graphic>
          </wp:anchor>
        </w:drawing>
      </w:r>
    </w:p>
    <w:p>
      <w:pPr>
        <w:spacing w:after="0" w:line="8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1-10258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62230</wp:posOffset>
            </wp:positionV>
            <wp:extent cx="23901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Tredegar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50800</wp:posOffset>
            </wp:positionV>
            <wp:extent cx="23901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377"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54-1497771</w:t>
      </w:r>
    </w:p>
    <w:p>
      <w:pPr>
        <w:spacing w:after="0" w:line="37" w:lineRule="exact"/>
        <w:rPr>
          <w:sz w:val="24"/>
          <w:szCs w:val="24"/>
          <w:color w:val="auto"/>
        </w:rPr>
      </w:pPr>
    </w:p>
    <w:p>
      <w:pPr>
        <w:sectPr>
          <w:pgSz w:w="11900" w:h="16838" w:orient="portrait"/>
          <w:cols w:equalWidth="0" w:num="2">
            <w:col w:w="7400" w:space="720"/>
            <w:col w:w="3120"/>
          </w:cols>
          <w:pgMar w:left="320" w:top="706" w:right="339" w:bottom="1440" w:gutter="0" w:footer="0" w:header="0"/>
          <w:type w:val="continuous"/>
        </w:sectPr>
      </w:pPr>
    </w:p>
    <w:p>
      <w:pPr>
        <w:spacing w:after="0" w:line="11" w:lineRule="exact"/>
        <w:rPr>
          <w:sz w:val="24"/>
          <w:szCs w:val="24"/>
          <w:color w:val="auto"/>
        </w:rPr>
      </w:pPr>
    </w:p>
    <w:p>
      <w:pPr>
        <w:ind w:left="1900"/>
        <w:spacing w:after="0"/>
        <w:rPr>
          <w:sz w:val="20"/>
          <w:szCs w:val="20"/>
          <w:color w:val="auto"/>
        </w:rPr>
      </w:pPr>
      <w:r>
        <w:rPr>
          <w:rFonts w:ascii="Arial" w:cs="Arial" w:eastAsia="Arial" w:hAnsi="Arial"/>
          <w:sz w:val="11"/>
          <w:szCs w:val="11"/>
          <w:b w:val="1"/>
          <w:bCs w:val="1"/>
          <w:color w:val="auto"/>
        </w:rPr>
        <w:t>(State or Other Jurisdiction of</w:t>
      </w: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29" w:lineRule="exact"/>
        <w:rPr>
          <w:sz w:val="24"/>
          <w:szCs w:val="24"/>
          <w:color w:val="auto"/>
        </w:rPr>
      </w:pPr>
    </w:p>
    <w:p>
      <w:pPr>
        <w:sectPr>
          <w:pgSz w:w="11900" w:h="16838" w:orient="portrait"/>
          <w:cols w:equalWidth="0" w:num="2">
            <w:col w:w="7280" w:space="720"/>
            <w:col w:w="3240"/>
          </w:cols>
          <w:pgMar w:left="320" w:top="706" w:right="339" w:bottom="1440" w:gutter="0" w:footer="0" w:header="0"/>
          <w:type w:val="continuous"/>
        </w:sectPr>
      </w:pPr>
    </w:p>
    <w:p>
      <w:pPr>
        <w:ind w:left="2620"/>
        <w:spacing w:after="0"/>
        <w:rPr>
          <w:sz w:val="20"/>
          <w:szCs w:val="20"/>
          <w:color w:val="auto"/>
        </w:rPr>
      </w:pPr>
      <w:r>
        <w:rPr>
          <w:rFonts w:ascii="Arial" w:cs="Arial" w:eastAsia="Arial" w:hAnsi="Arial"/>
          <w:sz w:val="14"/>
          <w:szCs w:val="14"/>
          <w:b w:val="1"/>
          <w:bCs w:val="1"/>
          <w:color w:val="auto"/>
        </w:rPr>
        <w:t>1100 Boulders Parkway</w:t>
      </w:r>
    </w:p>
    <w:p>
      <w:pPr>
        <w:spacing w:after="0" w:line="48"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Richmond, Virginia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23225</w:t>
      </w:r>
    </w:p>
    <w:p>
      <w:pPr>
        <w:spacing w:after="0" w:line="36" w:lineRule="exact"/>
        <w:rPr>
          <w:sz w:val="24"/>
          <w:szCs w:val="24"/>
          <w:color w:val="auto"/>
        </w:rPr>
      </w:pPr>
    </w:p>
    <w:p>
      <w:pPr>
        <w:sectPr>
          <w:pgSz w:w="11900" w:h="16838" w:orient="portrait"/>
          <w:cols w:equalWidth="0" w:num="2">
            <w:col w:w="8240" w:space="720"/>
            <w:col w:w="2280"/>
          </w:cols>
          <w:pgMar w:left="320" w:top="706" w:right="339" w:bottom="1440" w:gutter="0" w:footer="0" w:header="0"/>
          <w:type w:val="continuous"/>
        </w:sectPr>
      </w:pPr>
    </w:p>
    <w:p>
      <w:pPr>
        <w:ind w:left="23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200" w:lineRule="exact"/>
        <w:rPr>
          <w:sz w:val="24"/>
          <w:szCs w:val="24"/>
          <w:color w:val="auto"/>
        </w:rPr>
      </w:pPr>
    </w:p>
    <w:p>
      <w:pPr>
        <w:sectPr>
          <w:pgSz w:w="11900" w:h="16838" w:orient="portrait"/>
          <w:cols w:equalWidth="0" w:num="2">
            <w:col w:w="8160" w:space="720"/>
            <w:col w:w="2360"/>
          </w:cols>
          <w:pgMar w:left="320" w:top="70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b w:val="1"/>
          <w:bCs w:val="1"/>
          <w:u w:val="single" w:color="auto"/>
          <w:color w:val="auto"/>
        </w:rPr>
        <w:t>(804) 330-1000</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1700" w:type="dxa"/>
        <w:tblCellMar>
          <w:top w:w="0" w:type="dxa"/>
          <w:left w:w="0" w:type="dxa"/>
          <w:bottom w:w="0" w:type="dxa"/>
          <w:right w:w="0" w:type="dxa"/>
        </w:tblCellMar>
      </w:tblPr>
      <w:tr>
        <w:trPr>
          <w:trHeight w:val="205"/>
        </w:trPr>
        <w:tc>
          <w:tcPr>
            <w:tcW w:w="292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color w:val="auto"/>
                <w:w w:val="90"/>
              </w:rPr>
              <w:t>Title of each class</w:t>
            </w:r>
          </w:p>
        </w:tc>
        <w:tc>
          <w:tcPr>
            <w:tcW w:w="174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w w:val="93"/>
              </w:rPr>
              <w:t>Trading Symbol(s)</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197"/>
        </w:trPr>
        <w:tc>
          <w:tcPr>
            <w:tcW w:w="292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1"/>
              </w:rPr>
              <w:t>Common stock, no par value</w:t>
            </w:r>
          </w:p>
        </w:tc>
        <w:tc>
          <w:tcPr>
            <w:tcW w:w="174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w w:val="98"/>
              </w:rPr>
              <w:t>TG</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354" w:lineRule="exact"/>
        <w:rPr>
          <w:sz w:val="24"/>
          <w:szCs w:val="24"/>
          <w:color w:val="auto"/>
        </w:rPr>
      </w:pPr>
    </w:p>
    <w:p>
      <w:pPr>
        <w:ind w:firstLine="3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7" w:lineRule="exact"/>
        <w:rPr>
          <w:sz w:val="24"/>
          <w:szCs w:val="24"/>
          <w:color w:val="auto"/>
        </w:rPr>
      </w:pPr>
    </w:p>
    <w:p>
      <w:pPr>
        <w:ind w:right="220" w:firstLine="39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67" w:lineRule="exact"/>
        <w:rPr>
          <w:sz w:val="24"/>
          <w:szCs w:val="24"/>
          <w:color w:val="auto"/>
        </w:rPr>
      </w:pPr>
    </w:p>
    <w:p>
      <w:pPr>
        <w:ind w:right="200" w:firstLine="398"/>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6" w:right="339" w:bottom="1440" w:gutter="0" w:footer="0" w:header="0"/>
          <w:type w:val="continuous"/>
        </w:sectPr>
      </w:pPr>
    </w:p>
    <w:p>
      <w:pPr>
        <w:spacing w:after="0" w:line="22" w:lineRule="exact"/>
        <w:rPr>
          <w:sz w:val="24"/>
          <w:szCs w:val="24"/>
          <w:color w:val="auto"/>
        </w:rPr>
      </w:pPr>
    </w:p>
    <w:p>
      <w:pPr>
        <w:ind w:left="4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6">
            <w:col w:w="1920" w:space="720"/>
            <w:col w:w="2040" w:space="720"/>
            <w:col w:w="1260" w:space="720"/>
            <w:col w:w="80" w:space="420"/>
            <w:col w:w="1980" w:space="720"/>
            <w:col w:w="660"/>
          </w:cols>
          <w:pgMar w:left="320" w:top="706" w:right="339" w:bottom="1440" w:gutter="0" w:footer="0" w:header="0"/>
          <w:type w:val="continuous"/>
        </w:sectPr>
      </w:pPr>
    </w:p>
    <w:p>
      <w:pPr>
        <w:spacing w:after="0" w:line="27" w:lineRule="exact"/>
        <w:rPr>
          <w:sz w:val="24"/>
          <w:szCs w:val="24"/>
          <w:color w:val="auto"/>
        </w:rPr>
      </w:pPr>
    </w:p>
    <w:p>
      <w:pPr>
        <w:ind w:left="4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4"/>
          <w:szCs w:val="24"/>
          <w:color w:val="auto"/>
        </w:rPr>
      </w:pPr>
    </w:p>
    <w:p>
      <w:pPr>
        <w:sectPr>
          <w:pgSz w:w="11900" w:h="16838" w:orient="portrait"/>
          <w:cols w:equalWidth="0" w:num="4">
            <w:col w:w="1920" w:space="720"/>
            <w:col w:w="4520" w:space="720"/>
            <w:col w:w="1980" w:space="720"/>
            <w:col w:w="660"/>
          </w:cols>
          <w:pgMar w:left="320" w:top="706" w:right="339" w:bottom="1440" w:gutter="0" w:footer="0" w:header="0"/>
          <w:type w:val="continuous"/>
        </w:sectPr>
      </w:pPr>
    </w:p>
    <w:p>
      <w:pPr>
        <w:ind w:right="160" w:firstLine="362"/>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 w:lineRule="exact"/>
        <w:rPr>
          <w:sz w:val="24"/>
          <w:szCs w:val="24"/>
          <w:color w:val="auto"/>
        </w:rPr>
      </w:pPr>
    </w:p>
    <w:p>
      <w:pPr>
        <w:ind w:left="400" w:right="3240"/>
        <w:spacing w:after="0" w:line="26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The number of shares of Common Stock, no par value, outstanding as of July 30, 2021: 33,727,317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382270</wp:posOffset>
            </wp:positionV>
            <wp:extent cx="717232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Tredegar Corporation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4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00"/>
              <w:spacing w:after="0"/>
              <w:rPr>
                <w:sz w:val="20"/>
                <w:szCs w:val="20"/>
                <w:color w:val="auto"/>
              </w:rPr>
            </w:pPr>
            <w:r>
              <w:rPr>
                <w:rFonts w:ascii="Arial" w:cs="Arial" w:eastAsia="Arial" w:hAnsi="Arial"/>
                <w:sz w:val="16"/>
                <w:szCs w:val="16"/>
                <w:color w:val="auto"/>
              </w:rPr>
              <w:t>June 30,</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18,298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11,846</w:t>
            </w:r>
          </w:p>
        </w:tc>
        <w:tc>
          <w:tcPr>
            <w:tcW w:w="0" w:type="dxa"/>
            <w:vAlign w:val="bottom"/>
          </w:tcPr>
          <w:p>
            <w:pPr>
              <w:spacing w:after="0"/>
              <w:rPr>
                <w:sz w:val="1"/>
                <w:szCs w:val="1"/>
                <w:color w:val="auto"/>
              </w:rPr>
            </w:pPr>
          </w:p>
        </w:tc>
      </w:tr>
      <w:tr>
        <w:trPr>
          <w:trHeight w:val="205"/>
        </w:trPr>
        <w:tc>
          <w:tcPr>
            <w:tcW w:w="8480" w:type="dxa"/>
            <w:vAlign w:val="bottom"/>
          </w:tcPr>
          <w:p>
            <w:pPr>
              <w:ind w:left="300"/>
              <w:spacing w:after="0"/>
              <w:rPr>
                <w:sz w:val="20"/>
                <w:szCs w:val="20"/>
                <w:color w:val="auto"/>
              </w:rPr>
            </w:pPr>
            <w:r>
              <w:rPr>
                <w:rFonts w:ascii="Arial" w:cs="Arial" w:eastAsia="Arial" w:hAnsi="Arial"/>
                <w:sz w:val="16"/>
                <w:szCs w:val="16"/>
                <w:color w:val="auto"/>
                <w:w w:val="90"/>
              </w:rPr>
              <w:t>Accounts and other receivables, net of allowance for doubtful accounts and sales returns of $2,848 in 2021 and $2,797 in 2020</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99,652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86,327</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recoverable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05"/>
        </w:trPr>
        <w:tc>
          <w:tcPr>
            <w:tcW w:w="848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81,161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66,437</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15,219</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19,679</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Current assets of discontinued operations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214,622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188,435</w:t>
            </w: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488,580</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475,619</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(320,023)</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(309,074)</w:t>
            </w:r>
          </w:p>
        </w:tc>
        <w:tc>
          <w:tcPr>
            <w:tcW w:w="0" w:type="dxa"/>
            <w:vAlign w:val="bottom"/>
          </w:tcPr>
          <w:p>
            <w:pPr>
              <w:spacing w:after="0"/>
              <w:rPr>
                <w:sz w:val="1"/>
                <w:szCs w:val="1"/>
                <w:color w:val="auto"/>
              </w:rPr>
            </w:pPr>
          </w:p>
        </w:tc>
      </w:tr>
      <w:tr>
        <w:trPr>
          <w:trHeight w:val="197"/>
        </w:trPr>
        <w:tc>
          <w:tcPr>
            <w:tcW w:w="8480" w:type="dxa"/>
            <w:vAlign w:val="bottom"/>
          </w:tcPr>
          <w:p>
            <w:pPr>
              <w:ind w:left="58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168,557</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166,545</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Right-of-use leased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14,973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Investment in kaléo (cost basis of $7,500)</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35,200</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34,600</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17,408</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18,820</w:t>
            </w: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67,708</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67,708</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14,205</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19,068</w:t>
            </w: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2,691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Non-current assets of discontinued operations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1"/>
        </w:trPr>
        <w:tc>
          <w:tcPr>
            <w:tcW w:w="84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535,515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514,870</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113,202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89,702</w:t>
            </w:r>
          </w:p>
        </w:tc>
        <w:tc>
          <w:tcPr>
            <w:tcW w:w="0" w:type="dxa"/>
            <w:vAlign w:val="bottom"/>
          </w:tcPr>
          <w:p>
            <w:pPr>
              <w:spacing w:after="0"/>
              <w:rPr>
                <w:sz w:val="1"/>
                <w:szCs w:val="1"/>
                <w:color w:val="auto"/>
              </w:rPr>
            </w:pPr>
          </w:p>
        </w:tc>
      </w:tr>
      <w:tr>
        <w:trPr>
          <w:trHeight w:val="205"/>
        </w:trPr>
        <w:tc>
          <w:tcPr>
            <w:tcW w:w="848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33,272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40,741</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short-term</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2,078</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05"/>
        </w:trPr>
        <w:tc>
          <w:tcPr>
            <w:tcW w:w="848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767</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Current liabilities of discontinued operations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1,033</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7,521</w:t>
            </w:r>
          </w:p>
        </w:tc>
        <w:tc>
          <w:tcPr>
            <w:tcW w:w="0" w:type="dxa"/>
            <w:vAlign w:val="bottom"/>
          </w:tcPr>
          <w:p>
            <w:pPr>
              <w:spacing w:after="0"/>
              <w:rPr>
                <w:sz w:val="1"/>
                <w:szCs w:val="1"/>
                <w:color w:val="auto"/>
              </w:rPr>
            </w:pPr>
          </w:p>
        </w:tc>
      </w:tr>
      <w:tr>
        <w:trPr>
          <w:trHeight w:val="197"/>
        </w:trPr>
        <w:tc>
          <w:tcPr>
            <w:tcW w:w="8480" w:type="dxa"/>
            <w:vAlign w:val="bottom"/>
          </w:tcPr>
          <w:p>
            <w:pPr>
              <w:ind w:left="5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150,352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140,752</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 long-term</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13,904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14,949</w:t>
            </w: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117,000</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134,000</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Pension and other postretirement benefit obligations,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105,161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110,585</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5,758</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392,175</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405,815</w:t>
            </w:r>
          </w:p>
        </w:tc>
        <w:tc>
          <w:tcPr>
            <w:tcW w:w="0" w:type="dxa"/>
            <w:vAlign w:val="bottom"/>
          </w:tcPr>
          <w:p>
            <w:pPr>
              <w:spacing w:after="0"/>
              <w:rPr>
                <w:sz w:val="1"/>
                <w:szCs w:val="1"/>
                <w:color w:val="auto"/>
              </w:rPr>
            </w:pPr>
          </w:p>
        </w:tc>
      </w:tr>
      <w:tr>
        <w:trPr>
          <w:trHeight w:val="205"/>
        </w:trPr>
        <w:tc>
          <w:tcPr>
            <w:tcW w:w="8480" w:type="dxa"/>
            <w:vAlign w:val="bottom"/>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4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8"/>
              </w:rPr>
              <w:t>Common stock, no par value (issued and outstanding 33,713,597 shares at June 30, 2021 and 33,457,176 shares at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52,940</w:t>
            </w: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50,066</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December 31, 2020)</w:t>
            </w:r>
          </w:p>
        </w:tc>
        <w:tc>
          <w:tcPr>
            <w:tcW w:w="2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480" w:type="dxa"/>
            <w:vAlign w:val="bottom"/>
          </w:tcPr>
          <w:p>
            <w:pPr>
              <w:ind w:left="300"/>
              <w:spacing w:after="0" w:line="157" w:lineRule="exact"/>
              <w:rPr>
                <w:sz w:val="20"/>
                <w:szCs w:val="20"/>
                <w:color w:val="auto"/>
              </w:rPr>
            </w:pPr>
            <w:r>
              <w:rPr>
                <w:rFonts w:ascii="Arial" w:cs="Arial" w:eastAsia="Arial" w:hAnsi="Arial"/>
                <w:sz w:val="16"/>
                <w:szCs w:val="16"/>
                <w:color w:val="auto"/>
                <w:w w:val="90"/>
              </w:rPr>
              <w:t>Common stock held in trust for savings restoration plan (106,479 shares at June 30, 2021 and 105,067 shares at December 31,</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(2,109)</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(2,087)</w:t>
            </w:r>
          </w:p>
        </w:tc>
        <w:tc>
          <w:tcPr>
            <w:tcW w:w="0" w:type="dxa"/>
            <w:vAlign w:val="bottom"/>
          </w:tcPr>
          <w:p>
            <w:pPr>
              <w:spacing w:after="0"/>
              <w:rPr>
                <w:sz w:val="1"/>
                <w:szCs w:val="1"/>
                <w:color w:val="auto"/>
              </w:rPr>
            </w:pPr>
          </w:p>
        </w:tc>
      </w:tr>
      <w:tr>
        <w:trPr>
          <w:trHeight w:val="205"/>
        </w:trPr>
        <w:tc>
          <w:tcPr>
            <w:tcW w:w="8480" w:type="dxa"/>
            <w:vAlign w:val="bottom"/>
          </w:tcPr>
          <w:p>
            <w:pPr>
              <w:ind w:left="30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80" w:type="dxa"/>
            <w:vAlign w:val="bottom"/>
          </w:tcPr>
          <w:p>
            <w:pPr>
              <w:ind w:left="480"/>
              <w:spacing w:after="0"/>
              <w:rPr>
                <w:sz w:val="20"/>
                <w:szCs w:val="20"/>
                <w:color w:val="auto"/>
              </w:rPr>
            </w:pPr>
            <w:r>
              <w:rPr>
                <w:rFonts w:ascii="Arial" w:cs="Arial" w:eastAsia="Arial" w:hAnsi="Arial"/>
                <w:sz w:val="16"/>
                <w:szCs w:val="16"/>
                <w:color w:val="auto"/>
              </w:rPr>
              <w:t>Foreign currency translation adjustment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(82,804)</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(84,149)</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(loss) on derivative financial instruments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3,496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5"/>
        </w:trPr>
        <w:tc>
          <w:tcPr>
            <w:tcW w:w="8480" w:type="dxa"/>
            <w:vAlign w:val="bottom"/>
          </w:tcPr>
          <w:p>
            <w:pPr>
              <w:ind w:left="480"/>
              <w:spacing w:after="0"/>
              <w:rPr>
                <w:sz w:val="20"/>
                <w:szCs w:val="20"/>
                <w:color w:val="auto"/>
              </w:rPr>
            </w:pPr>
            <w:r>
              <w:rPr>
                <w:rFonts w:ascii="Arial" w:cs="Arial" w:eastAsia="Arial" w:hAnsi="Arial"/>
                <w:sz w:val="16"/>
                <w:szCs w:val="16"/>
                <w:color w:val="auto"/>
              </w:rPr>
              <w:t>Pension and other postretirement benefit adjustments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(89,882)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(96,519)</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261,699</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239,480</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143,340</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109,055</w:t>
            </w:r>
          </w:p>
        </w:tc>
        <w:tc>
          <w:tcPr>
            <w:tcW w:w="0" w:type="dxa"/>
            <w:vAlign w:val="bottom"/>
          </w:tcPr>
          <w:p>
            <w:pPr>
              <w:spacing w:after="0"/>
              <w:rPr>
                <w:sz w:val="1"/>
                <w:szCs w:val="1"/>
                <w:color w:val="auto"/>
              </w:rPr>
            </w:pPr>
          </w:p>
        </w:tc>
      </w:tr>
      <w:tr>
        <w:trPr>
          <w:trHeight w:val="201"/>
        </w:trPr>
        <w:tc>
          <w:tcPr>
            <w:tcW w:w="84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535,515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514,870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financial statements.</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6"/>
                <w:szCs w:val="16"/>
                <w:color w:val="auto"/>
              </w:rPr>
              <w:t>Three Months Ended June 30,</w:t>
            </w:r>
          </w:p>
        </w:tc>
        <w:tc>
          <w:tcPr>
            <w:tcW w:w="40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Revenues and other items: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211,129</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186,259</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395,951</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378,396</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8,882</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(25,964)</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219,251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186,427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404,833</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352,432</w:t>
            </w:r>
          </w:p>
        </w:tc>
        <w:tc>
          <w:tcPr>
            <w:tcW w:w="0" w:type="dxa"/>
            <w:vAlign w:val="bottom"/>
          </w:tcPr>
          <w:p>
            <w:pPr>
              <w:spacing w:after="0"/>
              <w:rPr>
                <w:sz w:val="1"/>
                <w:szCs w:val="1"/>
                <w:color w:val="auto"/>
              </w:rPr>
            </w:pPr>
          </w:p>
        </w:tc>
      </w:tr>
      <w:tr>
        <w:trPr>
          <w:trHeight w:val="20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goods sold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158,692</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134,035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299,977</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279,204</w:t>
            </w: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Freight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7,044</w:t>
            </w:r>
          </w:p>
        </w:tc>
        <w:tc>
          <w:tcPr>
            <w:tcW w:w="4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5,894</w:t>
            </w:r>
          </w:p>
        </w:tc>
        <w:tc>
          <w:tcPr>
            <w:tcW w:w="4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13,267</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12,769</w:t>
            </w: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20,275</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21,190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38,659</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41,234</w:t>
            </w: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1,436</w:t>
            </w:r>
          </w:p>
        </w:tc>
        <w:tc>
          <w:tcPr>
            <w:tcW w:w="4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2,237</w:t>
            </w:r>
          </w:p>
        </w:tc>
        <w:tc>
          <w:tcPr>
            <w:tcW w:w="4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3,157</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identifiable intangibles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1,446</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Pension and postretirement benefits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3,540</w:t>
            </w:r>
          </w:p>
        </w:tc>
        <w:tc>
          <w:tcPr>
            <w:tcW w:w="4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3,567</w:t>
            </w:r>
          </w:p>
        </w:tc>
        <w:tc>
          <w:tcPr>
            <w:tcW w:w="4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7,080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7,134</w:t>
            </w: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1,713</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57"/>
        </w:trPr>
        <w:tc>
          <w:tcPr>
            <w:tcW w:w="4780" w:type="dxa"/>
            <w:vAlign w:val="bottom"/>
          </w:tcPr>
          <w:p>
            <w:pPr>
              <w:ind w:left="300"/>
              <w:spacing w:after="0" w:line="157" w:lineRule="exact"/>
              <w:rPr>
                <w:sz w:val="20"/>
                <w:szCs w:val="20"/>
                <w:color w:val="auto"/>
              </w:rPr>
            </w:pPr>
            <w:r>
              <w:rPr>
                <w:rFonts w:ascii="Arial" w:cs="Arial" w:eastAsia="Arial" w:hAnsi="Arial"/>
                <w:sz w:val="16"/>
                <w:szCs w:val="16"/>
                <w:color w:val="auto"/>
              </w:rPr>
              <w:t>Asset impairments and costs associated with exit and disposal</w:t>
            </w: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420" w:type="dxa"/>
            <w:vAlign w:val="bottom"/>
          </w:tcPr>
          <w:p>
            <w:pPr>
              <w:spacing w:after="0"/>
              <w:rPr>
                <w:sz w:val="13"/>
                <w:szCs w:val="13"/>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3"/>
                <w:szCs w:val="13"/>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6"/>
                <w:szCs w:val="16"/>
                <w:color w:val="auto"/>
              </w:rPr>
              <w:t>368</w:t>
            </w:r>
          </w:p>
        </w:tc>
        <w:tc>
          <w:tcPr>
            <w:tcW w:w="4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activities, net of adjustments</w:t>
            </w: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Goodwill impairment</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197"/>
        </w:trPr>
        <w:tc>
          <w:tcPr>
            <w:tcW w:w="4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192,800</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168,235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365,667</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361,130</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18,192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39,166</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5,723</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3,860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8,820</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14,332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30,346</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(6,332)</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w:t>
            </w:r>
          </w:p>
        </w:tc>
        <w:tc>
          <w:tcPr>
            <w:tcW w:w="0" w:type="dxa"/>
            <w:vAlign w:val="bottom"/>
          </w:tcPr>
          <w:p>
            <w:pPr>
              <w:spacing w:after="0"/>
              <w:rPr>
                <w:sz w:val="1"/>
                <w:szCs w:val="1"/>
                <w:color w:val="auto"/>
              </w:rPr>
            </w:pPr>
          </w:p>
        </w:tc>
      </w:tr>
      <w:tr>
        <w:trPr>
          <w:trHeight w:val="201"/>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21,236</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11,196</w:t>
            </w:r>
          </w:p>
        </w:tc>
        <w:tc>
          <w:tcPr>
            <w:tcW w:w="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30,267</w:t>
            </w:r>
          </w:p>
        </w:tc>
        <w:tc>
          <w:tcPr>
            <w:tcW w:w="4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(11,126)</w:t>
            </w: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Continuing operations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0.43</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0.91</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 earnings (loss) per share</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0.33</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0.91</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Continuing operations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0.43</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0.90</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 earnings (loss) per share</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0.33</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0.90</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Shares used to compute earnings (loss) per share:</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33,435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33,500</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33,374</w:t>
            </w:r>
          </w:p>
        </w:tc>
        <w:tc>
          <w:tcPr>
            <w:tcW w:w="0" w:type="dxa"/>
            <w:vAlign w:val="bottom"/>
          </w:tcPr>
          <w:p>
            <w:pPr>
              <w:spacing w:after="0"/>
              <w:rPr>
                <w:sz w:val="1"/>
                <w:szCs w:val="1"/>
                <w:color w:val="auto"/>
              </w:rPr>
            </w:pPr>
          </w:p>
        </w:tc>
      </w:tr>
      <w:tr>
        <w:trPr>
          <w:trHeight w:val="205"/>
        </w:trPr>
        <w:tc>
          <w:tcPr>
            <w:tcW w:w="4780" w:type="dxa"/>
            <w:vAlign w:val="bottom"/>
          </w:tcPr>
          <w:p>
            <w:pPr>
              <w:ind w:left="3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33,740</w:t>
            </w:r>
          </w:p>
        </w:tc>
        <w:tc>
          <w:tcPr>
            <w:tcW w:w="4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33,436</w:t>
            </w:r>
          </w:p>
        </w:tc>
        <w:tc>
          <w:tcPr>
            <w:tcW w:w="4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33,692</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33,374</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4"/>
          </w:tcPr>
          <w:p>
            <w:pPr>
              <w:ind w:left="600"/>
              <w:spacing w:after="0"/>
              <w:rPr>
                <w:sz w:val="20"/>
                <w:szCs w:val="20"/>
                <w:color w:val="auto"/>
              </w:rPr>
            </w:pPr>
            <w:r>
              <w:rPr>
                <w:rFonts w:ascii="Arial" w:cs="Arial" w:eastAsia="Arial" w:hAnsi="Arial"/>
                <w:sz w:val="16"/>
                <w:szCs w:val="16"/>
                <w:color w:val="auto"/>
              </w:rPr>
              <w:t>Three Months Ended June 30,</w:t>
            </w:r>
          </w:p>
        </w:tc>
      </w:tr>
      <w:tr>
        <w:trPr>
          <w:trHeight w:val="205"/>
        </w:trPr>
        <w:tc>
          <w:tcPr>
            <w:tcW w:w="8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2020</w:t>
            </w:r>
          </w:p>
        </w:tc>
      </w:tr>
      <w:tr>
        <w:trPr>
          <w:trHeight w:val="197"/>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7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21,236</w:t>
            </w:r>
          </w:p>
        </w:tc>
        <w:tc>
          <w:tcPr>
            <w:tcW w:w="3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11,196</w:t>
            </w:r>
          </w:p>
        </w:tc>
      </w:tr>
      <w:tr>
        <w:trPr>
          <w:trHeight w:val="205"/>
        </w:trPr>
        <w:tc>
          <w:tcPr>
            <w:tcW w:w="8460" w:type="dxa"/>
            <w:vAlign w:val="bottom"/>
          </w:tcPr>
          <w:p>
            <w:pPr>
              <w:ind w:left="100"/>
              <w:spacing w:after="0"/>
              <w:rPr>
                <w:sz w:val="20"/>
                <w:szCs w:val="20"/>
                <w:color w:val="auto"/>
              </w:rPr>
            </w:pPr>
            <w:r>
              <w:rPr>
                <w:rFonts w:ascii="Arial" w:cs="Arial" w:eastAsia="Arial" w:hAnsi="Arial"/>
                <w:sz w:val="16"/>
                <w:szCs w:val="16"/>
                <w:b w:val="1"/>
                <w:bCs w:val="1"/>
                <w:color w:val="auto"/>
              </w:rPr>
              <w:t>Other comprehensive income (loss):</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foreign currency translation adjustment (net of tax of $463 in 2021 and net of tax of $177 in 2020)</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3,993</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05"/>
        </w:trPr>
        <w:tc>
          <w:tcPr>
            <w:tcW w:w="8460" w:type="dxa"/>
            <w:vAlign w:val="bottom"/>
          </w:tcPr>
          <w:p>
            <w:pPr>
              <w:ind w:left="300"/>
              <w:spacing w:after="0"/>
              <w:rPr>
                <w:sz w:val="20"/>
                <w:szCs w:val="20"/>
                <w:color w:val="auto"/>
              </w:rPr>
            </w:pPr>
            <w:r>
              <w:rPr>
                <w:rFonts w:ascii="Arial" w:cs="Arial" w:eastAsia="Arial" w:hAnsi="Arial"/>
                <w:sz w:val="16"/>
                <w:szCs w:val="16"/>
                <w:color w:val="auto"/>
              </w:rPr>
              <w:t>Derivative financial instruments adjustment (net of tax of $547 in 2021 and net of tax of $339 in 2020)</w:t>
            </w:r>
          </w:p>
        </w:tc>
        <w:tc>
          <w:tcPr>
            <w:tcW w:w="720" w:type="dxa"/>
            <w:vAlign w:val="bottom"/>
          </w:tcPr>
          <w:p>
            <w:pPr>
              <w:spacing w:after="0"/>
              <w:rPr>
                <w:sz w:val="17"/>
                <w:szCs w:val="17"/>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1,468</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1,258</w:t>
            </w:r>
          </w:p>
        </w:tc>
      </w:tr>
      <w:tr>
        <w:trPr>
          <w:trHeight w:val="205"/>
        </w:trPr>
        <w:tc>
          <w:tcPr>
            <w:tcW w:w="8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9"/>
              </w:rPr>
              <w:t>Amortization of prior service costs and net gains or losses (net of tax of $922 in 2021 and net of tax of $835 in 2020)</w:t>
            </w:r>
          </w:p>
        </w:tc>
        <w:tc>
          <w:tcPr>
            <w:tcW w:w="7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3,318</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r>
      <w:tr>
        <w:trPr>
          <w:trHeight w:val="197"/>
        </w:trPr>
        <w:tc>
          <w:tcPr>
            <w:tcW w:w="84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comprehensive income (loss)</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8,779</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w:t>
            </w:r>
          </w:p>
        </w:tc>
      </w:tr>
      <w:tr>
        <w:trPr>
          <w:trHeight w:val="201"/>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7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30,015</w:t>
            </w:r>
          </w:p>
        </w:tc>
        <w:tc>
          <w:tcPr>
            <w:tcW w:w="320" w:type="dxa"/>
            <w:vAlign w:val="bottom"/>
            <w:tcBorders>
              <w:bottom w:val="single" w:sz="8" w:color="auto"/>
            </w:tcBorders>
            <w:shd w:val="clear" w:color="auto" w:fill="CCEEFF"/>
          </w:tcPr>
          <w:p>
            <w:pPr>
              <w:jc w:val="center"/>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14,911</w:t>
            </w:r>
          </w:p>
        </w:tc>
      </w:tr>
      <w:tr>
        <w:trPr>
          <w:trHeight w:val="330"/>
        </w:trPr>
        <w:tc>
          <w:tcPr>
            <w:tcW w:w="8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spacing w:after="0"/>
              <w:rPr>
                <w:sz w:val="24"/>
                <w:szCs w:val="24"/>
                <w:color w:val="auto"/>
              </w:rPr>
            </w:pPr>
          </w:p>
        </w:tc>
      </w:tr>
      <w:tr>
        <w:trPr>
          <w:trHeight w:val="205"/>
        </w:trPr>
        <w:tc>
          <w:tcPr>
            <w:tcW w:w="8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80" w:type="dxa"/>
            <w:vAlign w:val="bottom"/>
            <w:gridSpan w:val="3"/>
          </w:tcPr>
          <w:p>
            <w:pPr>
              <w:jc w:val="center"/>
              <w:ind w:right="60"/>
              <w:spacing w:after="0"/>
              <w:rPr>
                <w:sz w:val="20"/>
                <w:szCs w:val="20"/>
                <w:color w:val="auto"/>
              </w:rPr>
            </w:pPr>
            <w:r>
              <w:rPr>
                <w:rFonts w:ascii="Arial" w:cs="Arial" w:eastAsia="Arial" w:hAnsi="Arial"/>
                <w:sz w:val="16"/>
                <w:szCs w:val="16"/>
                <w:color w:val="auto"/>
                <w:w w:val="90"/>
              </w:rPr>
              <w:t>Six Months Ended June 30,</w:t>
            </w:r>
          </w:p>
        </w:tc>
      </w:tr>
      <w:tr>
        <w:trPr>
          <w:trHeight w:val="205"/>
        </w:trPr>
        <w:tc>
          <w:tcPr>
            <w:tcW w:w="8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2020</w:t>
            </w:r>
          </w:p>
        </w:tc>
      </w:tr>
      <w:tr>
        <w:trPr>
          <w:trHeight w:val="197"/>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7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(11,126)</w:t>
            </w:r>
          </w:p>
        </w:tc>
      </w:tr>
      <w:tr>
        <w:trPr>
          <w:trHeight w:val="205"/>
        </w:trPr>
        <w:tc>
          <w:tcPr>
            <w:tcW w:w="8460" w:type="dxa"/>
            <w:vAlign w:val="bottom"/>
          </w:tcPr>
          <w:p>
            <w:pPr>
              <w:ind w:left="100"/>
              <w:spacing w:after="0"/>
              <w:rPr>
                <w:sz w:val="20"/>
                <w:szCs w:val="20"/>
                <w:color w:val="auto"/>
              </w:rPr>
            </w:pPr>
            <w:r>
              <w:rPr>
                <w:rFonts w:ascii="Arial" w:cs="Arial" w:eastAsia="Arial" w:hAnsi="Arial"/>
                <w:sz w:val="16"/>
                <w:szCs w:val="16"/>
                <w:b w:val="1"/>
                <w:bCs w:val="1"/>
                <w:color w:val="auto"/>
              </w:rPr>
              <w:t>Other comprehensive income (loss):</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Unrealized foreign currency translation adjustment (net of tax of $191 in 2021 and net of tax benefit of $1,106 in 2020)</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(12,003)</w:t>
            </w:r>
          </w:p>
        </w:tc>
      </w:tr>
      <w:tr>
        <w:trPr>
          <w:trHeight w:val="205"/>
        </w:trPr>
        <w:tc>
          <w:tcPr>
            <w:tcW w:w="8460" w:type="dxa"/>
            <w:vAlign w:val="bottom"/>
          </w:tcPr>
          <w:p>
            <w:pPr>
              <w:ind w:left="300"/>
              <w:spacing w:after="0"/>
              <w:rPr>
                <w:sz w:val="20"/>
                <w:szCs w:val="20"/>
                <w:color w:val="auto"/>
              </w:rPr>
            </w:pPr>
            <w:r>
              <w:rPr>
                <w:rFonts w:ascii="Arial" w:cs="Arial" w:eastAsia="Arial" w:hAnsi="Arial"/>
                <w:sz w:val="16"/>
                <w:szCs w:val="16"/>
                <w:color w:val="auto"/>
              </w:rPr>
              <w:t>Derivative financial instruments adjustment (net of tax of $359 in 2021 and net of tax benefit of $887 in 2020)</w:t>
            </w:r>
          </w:p>
        </w:tc>
        <w:tc>
          <w:tcPr>
            <w:tcW w:w="7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1,232</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(2,517)</w:t>
            </w:r>
          </w:p>
        </w:tc>
      </w:tr>
      <w:tr>
        <w:trPr>
          <w:trHeight w:val="205"/>
        </w:trPr>
        <w:tc>
          <w:tcPr>
            <w:tcW w:w="8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6"/>
              </w:rPr>
              <w:t>Amortization of prior service costs and net gains or losses (net of tax of $1,846 in 2021 and net of tax of $1,671 in 2020)</w:t>
            </w:r>
          </w:p>
        </w:tc>
        <w:tc>
          <w:tcPr>
            <w:tcW w:w="7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6,637</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5,862</w:t>
            </w:r>
          </w:p>
        </w:tc>
      </w:tr>
      <w:tr>
        <w:trPr>
          <w:trHeight w:val="197"/>
        </w:trPr>
        <w:tc>
          <w:tcPr>
            <w:tcW w:w="84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comprehensive income (loss)</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9,214</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w:t>
            </w:r>
          </w:p>
        </w:tc>
      </w:tr>
      <w:tr>
        <w:trPr>
          <w:trHeight w:val="201"/>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7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(19,784)</w:t>
            </w:r>
          </w:p>
        </w:tc>
      </w:tr>
    </w:tbl>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19"/>
                <w:szCs w:val="19"/>
                <w:color w:val="auto"/>
              </w:rPr>
            </w:pPr>
          </w:p>
        </w:tc>
        <w:tc>
          <w:tcPr>
            <w:tcW w:w="37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Six Months Ended June 30,</w:t>
            </w:r>
          </w:p>
        </w:tc>
      </w:tr>
      <w:tr>
        <w:trPr>
          <w:trHeight w:val="205"/>
        </w:trPr>
        <w:tc>
          <w:tcPr>
            <w:tcW w:w="7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2020</w:t>
            </w:r>
          </w:p>
        </w:tc>
      </w:tr>
      <w:tr>
        <w:trPr>
          <w:trHeight w:val="197"/>
        </w:trPr>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Net income (loss)</w:t>
            </w:r>
          </w:p>
        </w:tc>
        <w:tc>
          <w:tcPr>
            <w:tcW w:w="2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30,267</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(11,126)</w:t>
            </w:r>
          </w:p>
        </w:tc>
      </w:tr>
      <w:tr>
        <w:trPr>
          <w:trHeight w:val="205"/>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Adjustments for noncash items: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Depreciation</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10,875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15,357</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Amortization of identifiable intangibles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Reduction of right-of-use lease asset</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1,066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1,402</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Goodwill impairment</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13,696</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Deferred income taxes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2,477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(8,461)</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Accrued pension and post-retirement benefits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7,080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Stock-based compensation expense</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2,444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2,520</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(Gain) loss on investment in kaléo accounted for under the fair value method</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w:t>
            </w: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Changes in assets and liabilities:</w:t>
            </w:r>
          </w:p>
        </w:tc>
        <w:tc>
          <w:tcPr>
            <w:tcW w:w="2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and other receivables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Inventories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(14,020)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(8,515)</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taxes recoverable/payable</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2,680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Prepaid expenses and other</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7,267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(1,912)</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payable and accrued expenses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8,040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(6,936)</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Lease liability</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205"/>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Pension and postretirement benefit plan contributions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r>
      <w:tr>
        <w:trPr>
          <w:trHeight w:val="205"/>
        </w:trPr>
        <w:tc>
          <w:tcPr>
            <w:tcW w:w="74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net</w:t>
            </w:r>
          </w:p>
        </w:tc>
        <w:tc>
          <w:tcPr>
            <w:tcW w:w="2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197"/>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41,507</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36,062</w:t>
            </w:r>
          </w:p>
        </w:tc>
      </w:tr>
      <w:tr>
        <w:trPr>
          <w:trHeight w:val="205"/>
        </w:trPr>
        <w:tc>
          <w:tcPr>
            <w:tcW w:w="74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5"/>
        </w:trPr>
        <w:tc>
          <w:tcPr>
            <w:tcW w:w="7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Capital expenditures</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(8,806)</w:t>
            </w:r>
          </w:p>
        </w:tc>
      </w:tr>
      <w:tr>
        <w:trPr>
          <w:trHeight w:val="197"/>
        </w:trPr>
        <w:tc>
          <w:tcPr>
            <w:tcW w:w="7400" w:type="dxa"/>
            <w:vAlign w:val="bottom"/>
          </w:tcPr>
          <w:p>
            <w:pPr>
              <w:ind w:left="580"/>
              <w:spacing w:after="0"/>
              <w:rPr>
                <w:sz w:val="20"/>
                <w:szCs w:val="20"/>
                <w:color w:val="auto"/>
              </w:rPr>
            </w:pPr>
            <w:r>
              <w:rPr>
                <w:rFonts w:ascii="Arial" w:cs="Arial" w:eastAsia="Arial" w:hAnsi="Arial"/>
                <w:sz w:val="16"/>
                <w:szCs w:val="16"/>
                <w:color w:val="auto"/>
              </w:rPr>
              <w:t>Net cash used in investing activities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(11,324)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(8,806)</w:t>
            </w:r>
          </w:p>
        </w:tc>
      </w:tr>
      <w:tr>
        <w:trPr>
          <w:trHeight w:val="205"/>
        </w:trPr>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Borrowings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34,000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05"/>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Debt principal payments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w:t>
            </w: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Dividends paid</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(8,070)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(8,025)</w:t>
            </w:r>
          </w:p>
        </w:tc>
      </w:tr>
      <w:tr>
        <w:trPr>
          <w:trHeight w:val="205"/>
        </w:trPr>
        <w:tc>
          <w:tcPr>
            <w:tcW w:w="7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915</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197"/>
        </w:trPr>
        <w:tc>
          <w:tcPr>
            <w:tcW w:w="740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(24,155)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(16,611)</w:t>
            </w:r>
          </w:p>
        </w:tc>
      </w:tr>
      <w:tr>
        <w:trPr>
          <w:trHeight w:val="205"/>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424</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r>
      <w:tr>
        <w:trPr>
          <w:trHeight w:val="197"/>
        </w:trPr>
        <w:tc>
          <w:tcPr>
            <w:tcW w:w="7400" w:type="dxa"/>
            <w:vAlign w:val="bottom"/>
          </w:tcPr>
          <w:p>
            <w:pPr>
              <w:spacing w:after="0"/>
              <w:rPr>
                <w:sz w:val="20"/>
                <w:szCs w:val="20"/>
                <w:color w:val="auto"/>
              </w:rPr>
            </w:pPr>
            <w:r>
              <w:rPr>
                <w:rFonts w:ascii="Arial" w:cs="Arial" w:eastAsia="Arial" w:hAnsi="Arial"/>
                <w:sz w:val="16"/>
                <w:szCs w:val="16"/>
                <w:b w:val="1"/>
                <w:bCs w:val="1"/>
                <w:color w:val="auto"/>
              </w:rPr>
              <w:t>Increase in cash &amp; cash equivalents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6,452</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8,508</w:t>
            </w:r>
          </w:p>
        </w:tc>
      </w:tr>
      <w:tr>
        <w:trPr>
          <w:trHeight w:val="205"/>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11,846</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31,422</w:t>
            </w:r>
          </w:p>
        </w:tc>
      </w:tr>
      <w:tr>
        <w:trPr>
          <w:trHeight w:val="201"/>
        </w:trPr>
        <w:tc>
          <w:tcPr>
            <w:tcW w:w="7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18,298</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39,930</w:t>
            </w: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62230</wp:posOffset>
            </wp:positionV>
            <wp:extent cx="717232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80"/>
          </w:cols>
          <w:pgMar w:left="360" w:top="811"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the changes in shareholders’ equity for the three month period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660" w:type="dxa"/>
            <w:vAlign w:val="bottom"/>
            <w:tcBorders>
              <w:top w:val="single" w:sz="8" w:color="auto"/>
              <w:bottom w:val="single" w:sz="8" w:color="auto"/>
            </w:tcBorders>
            <w:gridSpan w:val="5"/>
          </w:tcPr>
          <w:p>
            <w:pPr>
              <w:jc w:val="right"/>
              <w:ind w:right="200"/>
              <w:spacing w:after="0"/>
              <w:rPr>
                <w:sz w:val="20"/>
                <w:szCs w:val="20"/>
                <w:color w:val="auto"/>
              </w:rPr>
            </w:pPr>
            <w:r>
              <w:rPr>
                <w:rFonts w:ascii="Arial" w:cs="Arial" w:eastAsia="Arial" w:hAnsi="Arial"/>
                <w:sz w:val="16"/>
                <w:szCs w:val="16"/>
                <w:color w:val="auto"/>
                <w:w w:val="93"/>
              </w:rPr>
              <w:t>Accumulated Other Comprehensive Income (Loss)</w:t>
            </w: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6"/>
                <w:szCs w:val="16"/>
                <w:color w:val="auto"/>
                <w:w w:val="97"/>
              </w:rPr>
              <w:t>Trust for</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gridSpan w:val="2"/>
          </w:tcPr>
          <w:p>
            <w:pPr>
              <w:jc w:val="right"/>
              <w:ind w:right="40"/>
              <w:spacing w:after="0" w:line="149" w:lineRule="exact"/>
              <w:rPr>
                <w:sz w:val="20"/>
                <w:szCs w:val="20"/>
                <w:color w:val="auto"/>
              </w:rPr>
            </w:pPr>
            <w:r>
              <w:rPr>
                <w:rFonts w:ascii="Arial" w:cs="Arial" w:eastAsia="Arial" w:hAnsi="Arial"/>
                <w:sz w:val="16"/>
                <w:szCs w:val="16"/>
                <w:color w:val="auto"/>
              </w:rPr>
              <w:t>Gain (Loss)</w:t>
            </w:r>
          </w:p>
        </w:tc>
        <w:tc>
          <w:tcPr>
            <w:tcW w:w="520" w:type="dxa"/>
            <w:vAlign w:val="bottom"/>
          </w:tcPr>
          <w:p>
            <w:pPr>
              <w:spacing w:after="0"/>
              <w:rPr>
                <w:sz w:val="12"/>
                <w:szCs w:val="12"/>
                <w:color w:val="auto"/>
              </w:rPr>
            </w:pPr>
          </w:p>
        </w:tc>
        <w:tc>
          <w:tcPr>
            <w:tcW w:w="900" w:type="dxa"/>
            <w:vAlign w:val="bottom"/>
          </w:tcPr>
          <w:p>
            <w:pPr>
              <w:jc w:val="right"/>
              <w:ind w:right="100"/>
              <w:spacing w:after="0" w:line="149" w:lineRule="exact"/>
              <w:rPr>
                <w:sz w:val="20"/>
                <w:szCs w:val="20"/>
                <w:color w:val="auto"/>
              </w:rPr>
            </w:pPr>
            <w:r>
              <w:rPr>
                <w:rFonts w:ascii="Arial" w:cs="Arial" w:eastAsia="Arial" w:hAnsi="Arial"/>
                <w:sz w:val="16"/>
                <w:szCs w:val="16"/>
                <w:color w:val="auto"/>
                <w:w w:val="95"/>
              </w:rPr>
              <w:t>Pension &amp;</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6"/>
                <w:szCs w:val="16"/>
                <w:color w:val="auto"/>
                <w:w w:val="98"/>
              </w:rPr>
              <w:t>Common</w:t>
            </w:r>
          </w:p>
        </w:tc>
        <w:tc>
          <w:tcPr>
            <w:tcW w:w="420" w:type="dxa"/>
            <w:vAlign w:val="bottom"/>
          </w:tcPr>
          <w:p>
            <w:pPr>
              <w:spacing w:after="0"/>
              <w:rPr>
                <w:sz w:val="13"/>
                <w:szCs w:val="13"/>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6"/>
                <w:szCs w:val="16"/>
                <w:color w:val="auto"/>
                <w:w w:val="96"/>
              </w:rPr>
              <w:t>Retained</w:t>
            </w:r>
          </w:p>
        </w:tc>
        <w:tc>
          <w:tcPr>
            <w:tcW w:w="5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6"/>
                <w:szCs w:val="16"/>
                <w:color w:val="auto"/>
              </w:rPr>
              <w:t>Foreign</w:t>
            </w: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6"/>
                <w:szCs w:val="16"/>
                <w:color w:val="auto"/>
                <w:w w:val="94"/>
              </w:rPr>
              <w:t>on Derivative</w:t>
            </w:r>
          </w:p>
        </w:tc>
        <w:tc>
          <w:tcPr>
            <w:tcW w:w="142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0"/>
              </w:rPr>
              <w:t>Other Post-</w:t>
            </w:r>
          </w:p>
        </w:tc>
        <w:tc>
          <w:tcPr>
            <w:tcW w:w="680" w:type="dxa"/>
            <w:vAlign w:val="bottom"/>
          </w:tcPr>
          <w:p>
            <w:pPr>
              <w:spacing w:after="0"/>
              <w:rPr>
                <w:sz w:val="13"/>
                <w:szCs w:val="13"/>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gridSpan w:val="2"/>
          </w:tcPr>
          <w:p>
            <w:pPr>
              <w:jc w:val="right"/>
              <w:ind w:right="400"/>
              <w:spacing w:after="0" w:line="157" w:lineRule="exact"/>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6"/>
                <w:szCs w:val="16"/>
                <w:color w:val="auto"/>
                <w:w w:val="93"/>
              </w:rPr>
              <w:t>Financial</w:t>
            </w:r>
          </w:p>
        </w:tc>
        <w:tc>
          <w:tcPr>
            <w:tcW w:w="142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1"/>
              </w:rPr>
              <w:t>retirement Benefit</w:t>
            </w:r>
          </w:p>
        </w:tc>
        <w:tc>
          <w:tcPr>
            <w:tcW w:w="6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w w:val="84"/>
              </w:rPr>
              <w:t>Stock</w:t>
            </w:r>
          </w:p>
        </w:tc>
        <w:tc>
          <w:tcPr>
            <w:tcW w:w="1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Earnings</w:t>
            </w: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8"/>
              </w:rPr>
              <w:t>Restoration Plan</w:t>
            </w:r>
          </w:p>
        </w:tc>
        <w:tc>
          <w:tcPr>
            <w:tcW w:w="1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1"/>
              </w:rPr>
              <w:t>Currency Translation</w:t>
            </w: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Instruments</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Adjustment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Shareholders’ Equity</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Balance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51,557</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244,496</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(2,097)</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(86,797)</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2,028</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(93,200)</w:t>
            </w:r>
          </w:p>
        </w:tc>
        <w:tc>
          <w:tcPr>
            <w:tcW w:w="6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115,987</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1, 2021</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2"/>
                <w:szCs w:val="12"/>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21,236</w:t>
            </w:r>
          </w:p>
        </w:tc>
        <w:tc>
          <w:tcPr>
            <w:tcW w:w="500" w:type="dxa"/>
            <w:vAlign w:val="bottom"/>
          </w:tcPr>
          <w:p>
            <w:pPr>
              <w:spacing w:after="0"/>
              <w:rPr>
                <w:sz w:val="12"/>
                <w:szCs w:val="12"/>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2"/>
                <w:szCs w:val="12"/>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2"/>
                <w:szCs w:val="12"/>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21,236</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(loss)</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translation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3,993</w:t>
            </w:r>
          </w:p>
        </w:tc>
        <w:tc>
          <w:tcPr>
            <w:tcW w:w="5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$463)</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Derivative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financial</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instruments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6"/>
                <w:szCs w:val="16"/>
                <w:color w:val="auto"/>
              </w:rPr>
              <w:t>1,468</w:t>
            </w:r>
          </w:p>
        </w:tc>
        <w:tc>
          <w:tcPr>
            <w:tcW w:w="5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tax of $547)</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of prior service</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costs and net gains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or losses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$922)</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Cash</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dividends declared</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color w:val="auto"/>
              </w:rPr>
              <w:t>(4,045)</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($0.12 per share)</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Stock-based</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compensation</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1,383</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Tredegar</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purchased by trust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for savings</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(12)</w:t>
            </w:r>
          </w:p>
        </w:tc>
        <w:tc>
          <w:tcPr>
            <w:tcW w:w="540" w:type="dxa"/>
            <w:vAlign w:val="bottom"/>
          </w:tcPr>
          <w:p>
            <w:pPr>
              <w:spacing w:after="0"/>
              <w:rPr>
                <w:sz w:val="13"/>
                <w:szCs w:val="13"/>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restoration plan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rPr>
              <w:t>Balance June 30,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52,940</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261,699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(2,109)</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(82,804)</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3,496</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(89,882)</w:t>
            </w:r>
          </w:p>
        </w:tc>
        <w:tc>
          <w:tcPr>
            <w:tcW w:w="6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143,340</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6" w:name="page7"/>
    <w:bookmarkEnd w:id="6"/>
    <w:p>
      <w:pPr>
        <w:ind w:left="360"/>
        <w:spacing w:after="0"/>
        <w:rPr>
          <w:sz w:val="20"/>
          <w:szCs w:val="20"/>
          <w:color w:val="auto"/>
        </w:rPr>
      </w:pPr>
      <w:r>
        <w:rPr>
          <w:rFonts w:ascii="Arial" w:cs="Arial" w:eastAsia="Arial" w:hAnsi="Arial"/>
          <w:sz w:val="16"/>
          <w:szCs w:val="16"/>
          <w:color w:val="auto"/>
        </w:rPr>
        <w:t>The following summarizes the changes in shareholders’ equity for the six month period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tcBorders>
            <w:gridSpan w:val="5"/>
          </w:tcPr>
          <w:p>
            <w:pPr>
              <w:jc w:val="center"/>
              <w:ind w:right="20"/>
              <w:spacing w:after="0"/>
              <w:rPr>
                <w:sz w:val="20"/>
                <w:szCs w:val="20"/>
                <w:color w:val="auto"/>
              </w:rPr>
            </w:pPr>
            <w:r>
              <w:rPr>
                <w:rFonts w:ascii="Arial" w:cs="Arial" w:eastAsia="Arial" w:hAnsi="Arial"/>
                <w:sz w:val="16"/>
                <w:szCs w:val="16"/>
                <w:color w:val="auto"/>
                <w:w w:val="91"/>
              </w:rPr>
              <w:t>Accumulated Other Comprehensive Income (Loss)</w:t>
            </w:r>
          </w:p>
        </w:tc>
        <w:tc>
          <w:tcPr>
            <w:tcW w:w="4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0"/>
              <w:spacing w:after="0"/>
              <w:rPr>
                <w:sz w:val="20"/>
                <w:szCs w:val="20"/>
                <w:color w:val="auto"/>
              </w:rPr>
            </w:pPr>
            <w:r>
              <w:rPr>
                <w:rFonts w:ascii="Arial" w:cs="Arial" w:eastAsia="Arial" w:hAnsi="Arial"/>
                <w:sz w:val="16"/>
                <w:szCs w:val="16"/>
                <w:color w:val="auto"/>
              </w:rPr>
              <w:t>Trust for</w:t>
            </w:r>
          </w:p>
        </w:tc>
        <w:tc>
          <w:tcPr>
            <w:tcW w:w="120" w:type="dxa"/>
            <w:vAlign w:val="bottom"/>
          </w:tcPr>
          <w:p>
            <w:pPr>
              <w:spacing w:after="0"/>
              <w:rPr>
                <w:sz w:val="12"/>
                <w:szCs w:val="12"/>
                <w:color w:val="auto"/>
              </w:rPr>
            </w:pPr>
          </w:p>
        </w:tc>
        <w:tc>
          <w:tcPr>
            <w:tcW w:w="1060" w:type="dxa"/>
            <w:vAlign w:val="bottom"/>
            <w:vMerge w:val="restart"/>
          </w:tcPr>
          <w:p>
            <w:pPr>
              <w:jc w:val="center"/>
              <w:ind w:right="80"/>
              <w:spacing w:after="0"/>
              <w:rPr>
                <w:sz w:val="20"/>
                <w:szCs w:val="20"/>
                <w:color w:val="auto"/>
              </w:rPr>
            </w:pPr>
            <w:r>
              <w:rPr>
                <w:rFonts w:ascii="Arial" w:cs="Arial" w:eastAsia="Arial" w:hAnsi="Arial"/>
                <w:sz w:val="16"/>
                <w:szCs w:val="16"/>
                <w:color w:val="auto"/>
                <w:w w:val="92"/>
              </w:rPr>
              <w:t>Foreign</w:t>
            </w:r>
          </w:p>
        </w:tc>
        <w:tc>
          <w:tcPr>
            <w:tcW w:w="1180" w:type="dxa"/>
            <w:vAlign w:val="bottom"/>
            <w:gridSpan w:val="2"/>
          </w:tcPr>
          <w:p>
            <w:pPr>
              <w:jc w:val="center"/>
              <w:spacing w:after="0" w:line="149" w:lineRule="exact"/>
              <w:rPr>
                <w:sz w:val="20"/>
                <w:szCs w:val="20"/>
                <w:color w:val="auto"/>
              </w:rPr>
            </w:pPr>
            <w:r>
              <w:rPr>
                <w:rFonts w:ascii="Arial" w:cs="Arial" w:eastAsia="Arial" w:hAnsi="Arial"/>
                <w:sz w:val="16"/>
                <w:szCs w:val="16"/>
                <w:color w:val="auto"/>
                <w:w w:val="91"/>
              </w:rPr>
              <w:t>Gain (Loss) on</w:t>
            </w:r>
          </w:p>
        </w:tc>
        <w:tc>
          <w:tcPr>
            <w:tcW w:w="1220" w:type="dxa"/>
            <w:vAlign w:val="bottom"/>
            <w:gridSpan w:val="2"/>
          </w:tcPr>
          <w:p>
            <w:pPr>
              <w:jc w:val="center"/>
              <w:ind w:left="20"/>
              <w:spacing w:after="0" w:line="149" w:lineRule="exact"/>
              <w:rPr>
                <w:sz w:val="20"/>
                <w:szCs w:val="20"/>
                <w:color w:val="auto"/>
              </w:rPr>
            </w:pPr>
            <w:r>
              <w:rPr>
                <w:rFonts w:ascii="Arial" w:cs="Arial" w:eastAsia="Arial" w:hAnsi="Arial"/>
                <w:sz w:val="16"/>
                <w:szCs w:val="16"/>
                <w:color w:val="auto"/>
                <w:w w:val="91"/>
              </w:rPr>
              <w:t>Pension &amp; Other</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6"/>
                <w:szCs w:val="16"/>
                <w:color w:val="auto"/>
                <w:w w:val="98"/>
              </w:rPr>
              <w:t>Common</w:t>
            </w:r>
          </w:p>
        </w:tc>
        <w:tc>
          <w:tcPr>
            <w:tcW w:w="240" w:type="dxa"/>
            <w:vAlign w:val="bottom"/>
          </w:tcPr>
          <w:p>
            <w:pPr>
              <w:spacing w:after="0"/>
              <w:rPr>
                <w:sz w:val="13"/>
                <w:szCs w:val="13"/>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6"/>
                <w:szCs w:val="16"/>
                <w:color w:val="auto"/>
                <w:w w:val="93"/>
              </w:rPr>
              <w:t>Retained</w:t>
            </w: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80"/>
              <w:spacing w:after="0" w:line="157" w:lineRule="exact"/>
              <w:rPr>
                <w:sz w:val="20"/>
                <w:szCs w:val="20"/>
                <w:color w:val="auto"/>
              </w:rPr>
            </w:pPr>
            <w:r>
              <w:rPr>
                <w:rFonts w:ascii="Arial" w:cs="Arial" w:eastAsia="Arial" w:hAnsi="Arial"/>
                <w:sz w:val="16"/>
                <w:szCs w:val="16"/>
                <w:color w:val="auto"/>
                <w:w w:val="95"/>
              </w:rPr>
              <w:t>Derivative</w:t>
            </w:r>
          </w:p>
        </w:tc>
        <w:tc>
          <w:tcPr>
            <w:tcW w:w="1220" w:type="dxa"/>
            <w:vAlign w:val="bottom"/>
            <w:gridSpan w:val="2"/>
          </w:tcPr>
          <w:p>
            <w:pPr>
              <w:jc w:val="center"/>
              <w:ind w:left="20"/>
              <w:spacing w:after="0" w:line="157" w:lineRule="exact"/>
              <w:rPr>
                <w:sz w:val="20"/>
                <w:szCs w:val="20"/>
                <w:color w:val="auto"/>
              </w:rPr>
            </w:pPr>
            <w:r>
              <w:rPr>
                <w:rFonts w:ascii="Arial" w:cs="Arial" w:eastAsia="Arial" w:hAnsi="Arial"/>
                <w:sz w:val="16"/>
                <w:szCs w:val="16"/>
                <w:color w:val="auto"/>
                <w:w w:val="91"/>
              </w:rPr>
              <w:t>Post-retirement</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Total Shareholders’</w:t>
            </w: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20"/>
              <w:spacing w:after="0" w:line="157" w:lineRule="exact"/>
              <w:rPr>
                <w:sz w:val="20"/>
                <w:szCs w:val="20"/>
                <w:color w:val="auto"/>
              </w:rPr>
            </w:pPr>
            <w:r>
              <w:rPr>
                <w:rFonts w:ascii="Arial" w:cs="Arial" w:eastAsia="Arial" w:hAnsi="Arial"/>
                <w:sz w:val="16"/>
                <w:szCs w:val="16"/>
                <w:color w:val="auto"/>
              </w:rPr>
              <w:t>Savings</w:t>
            </w:r>
          </w:p>
        </w:tc>
        <w:tc>
          <w:tcPr>
            <w:tcW w:w="120" w:type="dxa"/>
            <w:vAlign w:val="bottom"/>
          </w:tcPr>
          <w:p>
            <w:pPr>
              <w:spacing w:after="0"/>
              <w:rPr>
                <w:sz w:val="13"/>
                <w:szCs w:val="13"/>
                <w:color w:val="auto"/>
              </w:rPr>
            </w:pPr>
          </w:p>
        </w:tc>
        <w:tc>
          <w:tcPr>
            <w:tcW w:w="1060" w:type="dxa"/>
            <w:vAlign w:val="bottom"/>
          </w:tcPr>
          <w:p>
            <w:pPr>
              <w:jc w:val="center"/>
              <w:ind w:right="100"/>
              <w:spacing w:after="0" w:line="157" w:lineRule="exact"/>
              <w:rPr>
                <w:sz w:val="20"/>
                <w:szCs w:val="20"/>
                <w:color w:val="auto"/>
              </w:rPr>
            </w:pPr>
            <w:r>
              <w:rPr>
                <w:rFonts w:ascii="Arial" w:cs="Arial" w:eastAsia="Arial" w:hAnsi="Arial"/>
                <w:sz w:val="16"/>
                <w:szCs w:val="16"/>
                <w:color w:val="auto"/>
                <w:w w:val="92"/>
              </w:rPr>
              <w:t>Currency</w:t>
            </w:r>
          </w:p>
        </w:tc>
        <w:tc>
          <w:tcPr>
            <w:tcW w:w="180" w:type="dxa"/>
            <w:vAlign w:val="bottom"/>
          </w:tcPr>
          <w:p>
            <w:pPr>
              <w:spacing w:after="0"/>
              <w:rPr>
                <w:sz w:val="13"/>
                <w:szCs w:val="13"/>
                <w:color w:val="auto"/>
              </w:rPr>
            </w:pPr>
          </w:p>
        </w:tc>
        <w:tc>
          <w:tcPr>
            <w:tcW w:w="1000" w:type="dxa"/>
            <w:vAlign w:val="bottom"/>
          </w:tcPr>
          <w:p>
            <w:pPr>
              <w:jc w:val="center"/>
              <w:ind w:right="80"/>
              <w:spacing w:after="0" w:line="157" w:lineRule="exact"/>
              <w:rPr>
                <w:sz w:val="20"/>
                <w:szCs w:val="20"/>
                <w:color w:val="auto"/>
              </w:rPr>
            </w:pPr>
            <w:r>
              <w:rPr>
                <w:rFonts w:ascii="Arial" w:cs="Arial" w:eastAsia="Arial" w:hAnsi="Arial"/>
                <w:sz w:val="16"/>
                <w:szCs w:val="16"/>
                <w:color w:val="auto"/>
                <w:w w:val="93"/>
              </w:rPr>
              <w:t>Financial</w:t>
            </w:r>
          </w:p>
        </w:tc>
        <w:tc>
          <w:tcPr>
            <w:tcW w:w="220" w:type="dxa"/>
            <w:vAlign w:val="bottom"/>
          </w:tcPr>
          <w:p>
            <w:pPr>
              <w:spacing w:after="0"/>
              <w:rPr>
                <w:sz w:val="13"/>
                <w:szCs w:val="13"/>
                <w:color w:val="auto"/>
              </w:rPr>
            </w:pPr>
          </w:p>
        </w:tc>
        <w:tc>
          <w:tcPr>
            <w:tcW w:w="1000" w:type="dxa"/>
            <w:vAlign w:val="bottom"/>
          </w:tcPr>
          <w:p>
            <w:pPr>
              <w:jc w:val="center"/>
              <w:ind w:right="40"/>
              <w:spacing w:after="0" w:line="157" w:lineRule="exact"/>
              <w:rPr>
                <w:sz w:val="20"/>
                <w:szCs w:val="20"/>
                <w:color w:val="auto"/>
              </w:rPr>
            </w:pPr>
            <w:r>
              <w:rPr>
                <w:rFonts w:ascii="Arial" w:cs="Arial" w:eastAsia="Arial" w:hAnsi="Arial"/>
                <w:sz w:val="16"/>
                <w:szCs w:val="16"/>
                <w:color w:val="auto"/>
                <w:w w:val="96"/>
              </w:rPr>
              <w:t>Benefit</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Stock</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4"/>
              </w:rPr>
              <w:t>Earnings</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w w:val="98"/>
              </w:rPr>
              <w:t>Restoration Plan</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90"/>
              </w:rPr>
              <w:t>Translation</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color w:val="auto"/>
                <w:w w:val="90"/>
              </w:rPr>
              <w:t>Instruments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Adjustment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97"/>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239,480</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(96,519)</w:t>
            </w:r>
          </w:p>
        </w:tc>
        <w:tc>
          <w:tcPr>
            <w:tcW w:w="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109,055</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30,267</w:t>
            </w:r>
          </w:p>
        </w:tc>
        <w:tc>
          <w:tcPr>
            <w:tcW w:w="24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30,267</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6"/>
              </w:rPr>
              <w:t>Foreign currency translation adjustment</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1,345</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of tax of $191)</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6"/>
                <w:szCs w:val="16"/>
                <w:color w:val="auto"/>
              </w:rPr>
              <w:t>Derivative financial instruments</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1,232</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05"/>
        </w:trPr>
        <w:tc>
          <w:tcPr>
            <w:tcW w:w="2740" w:type="dxa"/>
            <w:vAlign w:val="bottom"/>
          </w:tcPr>
          <w:p>
            <w:pPr>
              <w:ind w:left="20"/>
              <w:spacing w:after="0"/>
              <w:rPr>
                <w:sz w:val="20"/>
                <w:szCs w:val="20"/>
                <w:color w:val="auto"/>
              </w:rPr>
            </w:pPr>
            <w:r>
              <w:rPr>
                <w:rFonts w:ascii="Arial" w:cs="Arial" w:eastAsia="Arial" w:hAnsi="Arial"/>
                <w:sz w:val="16"/>
                <w:szCs w:val="16"/>
                <w:color w:val="auto"/>
              </w:rPr>
              <w:t>adjustment (net of tax of $359)</w:t>
            </w: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9"/>
              </w:rPr>
              <w:t>Amortization of prior service costs and</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6,637</w:t>
            </w: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6,637</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net gains or losses (net of tax of $1,846)</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40" w:type="dxa"/>
            <w:vAlign w:val="bottom"/>
          </w:tcPr>
          <w:p>
            <w:pPr>
              <w:ind w:left="20"/>
              <w:spacing w:after="0"/>
              <w:rPr>
                <w:sz w:val="20"/>
                <w:szCs w:val="20"/>
                <w:color w:val="auto"/>
              </w:rPr>
            </w:pPr>
            <w:r>
              <w:rPr>
                <w:rFonts w:ascii="Arial" w:cs="Arial" w:eastAsia="Arial" w:hAnsi="Arial"/>
                <w:sz w:val="16"/>
                <w:szCs w:val="16"/>
                <w:color w:val="auto"/>
                <w:w w:val="89"/>
              </w:rPr>
              <w:t>Cash dividends declared ($0.24 per share)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(8,070)</w:t>
            </w:r>
          </w:p>
        </w:tc>
        <w:tc>
          <w:tcPr>
            <w:tcW w:w="24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(8,070)</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05"/>
        </w:trPr>
        <w:tc>
          <w:tcPr>
            <w:tcW w:w="2740" w:type="dxa"/>
            <w:vAlign w:val="bottom"/>
          </w:tcPr>
          <w:p>
            <w:pPr>
              <w:ind w:left="20"/>
              <w:spacing w:after="0"/>
              <w:rPr>
                <w:sz w:val="20"/>
                <w:szCs w:val="20"/>
                <w:color w:val="auto"/>
              </w:rPr>
            </w:pPr>
            <w:r>
              <w:rPr>
                <w:rFonts w:ascii="Arial" w:cs="Arial" w:eastAsia="Arial" w:hAnsi="Arial"/>
                <w:sz w:val="16"/>
                <w:szCs w:val="16"/>
                <w:color w:val="auto"/>
              </w:rPr>
              <w:t>Issued upon exercise of stock options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915</w:t>
            </w:r>
          </w:p>
        </w:tc>
        <w:tc>
          <w:tcPr>
            <w:tcW w:w="2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8"/>
              </w:rPr>
              <w:t>Tredegar common stock purchased by</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trust for savings restoration plan</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261,699</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(89,882)</w:t>
            </w:r>
          </w:p>
        </w:tc>
        <w:tc>
          <w:tcPr>
            <w:tcW w:w="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7" w:name="page8"/>
    <w:bookmarkEnd w:id="7"/>
    <w:p>
      <w:pPr>
        <w:ind w:left="360"/>
        <w:spacing w:after="0"/>
        <w:rPr>
          <w:sz w:val="20"/>
          <w:szCs w:val="20"/>
          <w:color w:val="auto"/>
        </w:rPr>
      </w:pPr>
      <w:r>
        <w:rPr>
          <w:rFonts w:ascii="Arial" w:cs="Arial" w:eastAsia="Arial" w:hAnsi="Arial"/>
          <w:sz w:val="16"/>
          <w:szCs w:val="16"/>
          <w:color w:val="auto"/>
        </w:rPr>
        <w:t>The following summarizes the changes in shareholders’ equity for the three month period ended June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760" w:type="dxa"/>
            <w:vAlign w:val="bottom"/>
            <w:tcBorders>
              <w:top w:val="single" w:sz="8" w:color="auto"/>
              <w:bottom w:val="single" w:sz="8" w:color="auto"/>
            </w:tcBorders>
            <w:gridSpan w:val="5"/>
          </w:tcPr>
          <w:p>
            <w:pPr>
              <w:jc w:val="right"/>
              <w:ind w:right="260"/>
              <w:spacing w:after="0"/>
              <w:rPr>
                <w:sz w:val="20"/>
                <w:szCs w:val="20"/>
                <w:color w:val="auto"/>
              </w:rPr>
            </w:pPr>
            <w:r>
              <w:rPr>
                <w:rFonts w:ascii="Arial" w:cs="Arial" w:eastAsia="Arial" w:hAnsi="Arial"/>
                <w:sz w:val="16"/>
                <w:szCs w:val="16"/>
                <w:color w:val="auto"/>
                <w:w w:val="94"/>
              </w:rPr>
              <w:t>Accumulated Other Comprehensive Income (Loss)</w:t>
            </w:r>
          </w:p>
        </w:tc>
        <w:tc>
          <w:tcPr>
            <w:tcW w:w="6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6"/>
                <w:szCs w:val="16"/>
                <w:color w:val="auto"/>
                <w:w w:val="97"/>
              </w:rPr>
              <w:t>Trust for</w:t>
            </w: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100"/>
              <w:spacing w:after="0" w:line="149" w:lineRule="exact"/>
              <w:rPr>
                <w:sz w:val="20"/>
                <w:szCs w:val="20"/>
                <w:color w:val="auto"/>
              </w:rPr>
            </w:pPr>
            <w:r>
              <w:rPr>
                <w:rFonts w:ascii="Arial" w:cs="Arial" w:eastAsia="Arial" w:hAnsi="Arial"/>
                <w:sz w:val="16"/>
                <w:szCs w:val="16"/>
                <w:color w:val="auto"/>
                <w:w w:val="89"/>
              </w:rPr>
              <w:t>Gain (Loss)</w:t>
            </w:r>
          </w:p>
        </w:tc>
        <w:tc>
          <w:tcPr>
            <w:tcW w:w="480" w:type="dxa"/>
            <w:vAlign w:val="bottom"/>
          </w:tcPr>
          <w:p>
            <w:pPr>
              <w:spacing w:after="0"/>
              <w:rPr>
                <w:sz w:val="12"/>
                <w:szCs w:val="12"/>
                <w:color w:val="auto"/>
              </w:rPr>
            </w:pPr>
          </w:p>
        </w:tc>
        <w:tc>
          <w:tcPr>
            <w:tcW w:w="900" w:type="dxa"/>
            <w:vAlign w:val="bottom"/>
          </w:tcPr>
          <w:p>
            <w:pPr>
              <w:jc w:val="right"/>
              <w:ind w:right="100"/>
              <w:spacing w:after="0" w:line="149" w:lineRule="exact"/>
              <w:rPr>
                <w:sz w:val="20"/>
                <w:szCs w:val="20"/>
                <w:color w:val="auto"/>
              </w:rPr>
            </w:pPr>
            <w:r>
              <w:rPr>
                <w:rFonts w:ascii="Arial" w:cs="Arial" w:eastAsia="Arial" w:hAnsi="Arial"/>
                <w:sz w:val="16"/>
                <w:szCs w:val="16"/>
                <w:color w:val="auto"/>
                <w:w w:val="95"/>
              </w:rPr>
              <w:t>Pension &amp;</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6"/>
                <w:szCs w:val="16"/>
                <w:color w:val="auto"/>
                <w:w w:val="98"/>
              </w:rPr>
              <w:t>Common</w:t>
            </w:r>
          </w:p>
        </w:tc>
        <w:tc>
          <w:tcPr>
            <w:tcW w:w="420" w:type="dxa"/>
            <w:vAlign w:val="bottom"/>
          </w:tcPr>
          <w:p>
            <w:pPr>
              <w:spacing w:after="0"/>
              <w:rPr>
                <w:sz w:val="13"/>
                <w:szCs w:val="13"/>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6"/>
                <w:szCs w:val="16"/>
                <w:color w:val="auto"/>
                <w:w w:val="96"/>
              </w:rPr>
              <w:t>Retained</w:t>
            </w:r>
          </w:p>
        </w:tc>
        <w:tc>
          <w:tcPr>
            <w:tcW w:w="5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vMerge w:val="restart"/>
          </w:tcPr>
          <w:p>
            <w:pPr>
              <w:jc w:val="right"/>
              <w:ind w:right="360"/>
              <w:spacing w:after="0"/>
              <w:rPr>
                <w:sz w:val="20"/>
                <w:szCs w:val="20"/>
                <w:color w:val="auto"/>
              </w:rPr>
            </w:pPr>
            <w:r>
              <w:rPr>
                <w:rFonts w:ascii="Arial" w:cs="Arial" w:eastAsia="Arial" w:hAnsi="Arial"/>
                <w:sz w:val="16"/>
                <w:szCs w:val="16"/>
                <w:color w:val="auto"/>
              </w:rPr>
              <w:t>Foreign</w:t>
            </w:r>
          </w:p>
        </w:tc>
        <w:tc>
          <w:tcPr>
            <w:tcW w:w="1340" w:type="dxa"/>
            <w:vAlign w:val="bottom"/>
            <w:gridSpan w:val="2"/>
          </w:tcPr>
          <w:p>
            <w:pPr>
              <w:jc w:val="right"/>
              <w:ind w:right="220"/>
              <w:spacing w:after="0" w:line="157" w:lineRule="exact"/>
              <w:rPr>
                <w:sz w:val="20"/>
                <w:szCs w:val="20"/>
                <w:color w:val="auto"/>
              </w:rPr>
            </w:pPr>
            <w:r>
              <w:rPr>
                <w:rFonts w:ascii="Arial" w:cs="Arial" w:eastAsia="Arial" w:hAnsi="Arial"/>
                <w:sz w:val="16"/>
                <w:szCs w:val="16"/>
                <w:color w:val="auto"/>
              </w:rPr>
              <w:t>on Derivative</w:t>
            </w:r>
          </w:p>
        </w:tc>
        <w:tc>
          <w:tcPr>
            <w:tcW w:w="138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0"/>
              </w:rPr>
              <w:t>Other Post-</w:t>
            </w:r>
          </w:p>
        </w:tc>
        <w:tc>
          <w:tcPr>
            <w:tcW w:w="66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gridSpan w:val="2"/>
          </w:tcPr>
          <w:p>
            <w:pPr>
              <w:jc w:val="right"/>
              <w:ind w:right="400"/>
              <w:spacing w:after="0" w:line="157" w:lineRule="exact"/>
              <w:rPr>
                <w:sz w:val="20"/>
                <w:szCs w:val="20"/>
                <w:color w:val="auto"/>
              </w:rPr>
            </w:pPr>
            <w:r>
              <w:rPr>
                <w:rFonts w:ascii="Arial" w:cs="Arial" w:eastAsia="Arial" w:hAnsi="Arial"/>
                <w:sz w:val="16"/>
                <w:szCs w:val="16"/>
                <w:color w:val="auto"/>
              </w:rPr>
              <w:t>Savings</w:t>
            </w:r>
          </w:p>
        </w:tc>
        <w:tc>
          <w:tcPr>
            <w:tcW w:w="5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340" w:type="dxa"/>
            <w:vAlign w:val="bottom"/>
            <w:gridSpan w:val="2"/>
          </w:tcPr>
          <w:p>
            <w:pPr>
              <w:ind w:left="300"/>
              <w:spacing w:after="0" w:line="157" w:lineRule="exact"/>
              <w:rPr>
                <w:sz w:val="20"/>
                <w:szCs w:val="20"/>
                <w:color w:val="auto"/>
              </w:rPr>
            </w:pPr>
            <w:r>
              <w:rPr>
                <w:rFonts w:ascii="Arial" w:cs="Arial" w:eastAsia="Arial" w:hAnsi="Arial"/>
                <w:sz w:val="16"/>
                <w:szCs w:val="16"/>
                <w:color w:val="auto"/>
              </w:rPr>
              <w:t>Financial</w:t>
            </w:r>
          </w:p>
        </w:tc>
        <w:tc>
          <w:tcPr>
            <w:tcW w:w="138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3"/>
              </w:rPr>
              <w:t>retirement Benefit</w:t>
            </w:r>
          </w:p>
        </w:tc>
        <w:tc>
          <w:tcPr>
            <w:tcW w:w="6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w w:val="84"/>
              </w:rPr>
              <w:t>Stock</w:t>
            </w:r>
          </w:p>
        </w:tc>
        <w:tc>
          <w:tcPr>
            <w:tcW w:w="1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Earnings</w:t>
            </w: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8"/>
              </w:rPr>
              <w:t>Restoration Plan</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4"/>
              </w:rPr>
              <w:t>Currency Translation</w:t>
            </w:r>
          </w:p>
        </w:tc>
        <w:tc>
          <w:tcPr>
            <w:tcW w:w="1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Instruments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Adjustment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Shareholders’ Equity</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Balance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46,054</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504,161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(1,601)</w:t>
            </w:r>
          </w:p>
        </w:tc>
        <w:tc>
          <w:tcPr>
            <w:tcW w:w="5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(112,192)</w:t>
            </w:r>
          </w:p>
        </w:tc>
        <w:tc>
          <w:tcPr>
            <w:tcW w:w="400" w:type="dxa"/>
            <w:vAlign w:val="bottom"/>
            <w:vMerge w:val="restart"/>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(5,082)</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(92,750)</w:t>
            </w: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338,590</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1, 2020</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2"/>
                <w:szCs w:val="12"/>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11,196</w:t>
            </w:r>
          </w:p>
        </w:tc>
        <w:tc>
          <w:tcPr>
            <w:tcW w:w="500" w:type="dxa"/>
            <w:vAlign w:val="bottom"/>
          </w:tcPr>
          <w:p>
            <w:pPr>
              <w:spacing w:after="0"/>
              <w:rPr>
                <w:sz w:val="12"/>
                <w:szCs w:val="12"/>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2"/>
                <w:szCs w:val="12"/>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11,196</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(loss)</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translation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(474)</w:t>
            </w:r>
          </w:p>
        </w:tc>
        <w:tc>
          <w:tcPr>
            <w:tcW w:w="4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$177)</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Derivative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financial</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instruments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1,258</w:t>
            </w: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tax of $339)</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of prior service</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costs and net gains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or losses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6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$835)</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Cash</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dividends declared</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color w:val="auto"/>
              </w:rPr>
              <w:t>(4,021)</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($0.12 per share)</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Stock-based</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compensation</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1,394</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Tredegar</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purchased by trust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for savings</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restoration plan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rPr>
              <w:t>Balance June 30,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47,448</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511,345</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(1,610)</w:t>
            </w:r>
          </w:p>
        </w:tc>
        <w:tc>
          <w:tcPr>
            <w:tcW w:w="5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(112,666)</w:t>
            </w:r>
          </w:p>
        </w:tc>
        <w:tc>
          <w:tcPr>
            <w:tcW w:w="400" w:type="dxa"/>
            <w:vAlign w:val="bottom"/>
            <w:vMerge w:val="restart"/>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(3,824)</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(89,819)</w:t>
            </w: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350,874</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815" w:right="239" w:bottom="1440" w:gutter="0" w:footer="0" w:header="0"/>
        </w:sectPr>
      </w:pPr>
    </w:p>
    <w:bookmarkStart w:id="8" w:name="page9"/>
    <w:bookmarkEnd w:id="8"/>
    <w:p>
      <w:pPr>
        <w:ind w:left="360"/>
        <w:spacing w:after="0"/>
        <w:rPr>
          <w:sz w:val="20"/>
          <w:szCs w:val="20"/>
          <w:color w:val="auto"/>
        </w:rPr>
      </w:pPr>
      <w:r>
        <w:rPr>
          <w:rFonts w:ascii="Arial" w:cs="Arial" w:eastAsia="Arial" w:hAnsi="Arial"/>
          <w:sz w:val="16"/>
          <w:szCs w:val="16"/>
          <w:color w:val="auto"/>
        </w:rPr>
        <w:t>The following summarizes the changes in shareholders’ equity for the six month period ended June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120"/>
              <w:spacing w:after="0" w:line="181" w:lineRule="exact"/>
              <w:rPr>
                <w:sz w:val="20"/>
                <w:szCs w:val="20"/>
                <w:color w:val="auto"/>
              </w:rPr>
            </w:pPr>
            <w:r>
              <w:rPr>
                <w:rFonts w:ascii="Arial" w:cs="Arial" w:eastAsia="Arial" w:hAnsi="Arial"/>
                <w:sz w:val="16"/>
                <w:szCs w:val="16"/>
                <w:color w:val="auto"/>
                <w:w w:val="93"/>
              </w:rPr>
              <w:t>Accumulated Other</w:t>
            </w: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Comprehensive Income (Loss)</w:t>
            </w:r>
          </w:p>
        </w:tc>
        <w:tc>
          <w:tcPr>
            <w:tcW w:w="9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6"/>
                <w:szCs w:val="16"/>
                <w:color w:val="auto"/>
              </w:rPr>
              <w:t>Trust for</w:t>
            </w: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120"/>
              <w:spacing w:after="0" w:line="149" w:lineRule="exact"/>
              <w:rPr>
                <w:sz w:val="20"/>
                <w:szCs w:val="20"/>
                <w:color w:val="auto"/>
              </w:rPr>
            </w:pPr>
            <w:r>
              <w:rPr>
                <w:rFonts w:ascii="Arial" w:cs="Arial" w:eastAsia="Arial" w:hAnsi="Arial"/>
                <w:sz w:val="16"/>
                <w:szCs w:val="16"/>
                <w:color w:val="auto"/>
              </w:rPr>
              <w:t>Gain</w:t>
            </w:r>
          </w:p>
        </w:tc>
        <w:tc>
          <w:tcPr>
            <w:tcW w:w="420" w:type="dxa"/>
            <w:vAlign w:val="bottom"/>
          </w:tcPr>
          <w:p>
            <w:pPr>
              <w:spacing w:after="0"/>
              <w:rPr>
                <w:sz w:val="12"/>
                <w:szCs w:val="12"/>
                <w:color w:val="auto"/>
              </w:rPr>
            </w:pPr>
          </w:p>
        </w:tc>
        <w:tc>
          <w:tcPr>
            <w:tcW w:w="900" w:type="dxa"/>
            <w:vAlign w:val="bottom"/>
            <w:vMerge w:val="restart"/>
          </w:tcPr>
          <w:p>
            <w:pPr>
              <w:jc w:val="right"/>
              <w:ind w:right="100"/>
              <w:spacing w:after="0"/>
              <w:rPr>
                <w:sz w:val="20"/>
                <w:szCs w:val="20"/>
                <w:color w:val="auto"/>
              </w:rPr>
            </w:pPr>
            <w:r>
              <w:rPr>
                <w:rFonts w:ascii="Arial" w:cs="Arial" w:eastAsia="Arial" w:hAnsi="Arial"/>
                <w:sz w:val="16"/>
                <w:szCs w:val="16"/>
                <w:color w:val="auto"/>
                <w:w w:val="95"/>
              </w:rPr>
              <w:t>Pension &amp;</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vMerge w:val="restart"/>
          </w:tcPr>
          <w:p>
            <w:pPr>
              <w:jc w:val="right"/>
              <w:ind w:right="340"/>
              <w:spacing w:after="0"/>
              <w:rPr>
                <w:sz w:val="20"/>
                <w:szCs w:val="20"/>
                <w:color w:val="auto"/>
              </w:rPr>
            </w:pPr>
            <w:r>
              <w:rPr>
                <w:rFonts w:ascii="Arial" w:cs="Arial" w:eastAsia="Arial" w:hAnsi="Arial"/>
                <w:sz w:val="16"/>
                <w:szCs w:val="16"/>
                <w:color w:val="auto"/>
              </w:rPr>
              <w:t>Foreign</w:t>
            </w:r>
          </w:p>
        </w:tc>
        <w:tc>
          <w:tcPr>
            <w:tcW w:w="142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92"/>
              </w:rPr>
              <w:t>(Loss) on</w:t>
            </w:r>
          </w:p>
        </w:tc>
        <w:tc>
          <w:tcPr>
            <w:tcW w:w="4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20"/>
              <w:spacing w:after="0"/>
              <w:rPr>
                <w:sz w:val="20"/>
                <w:szCs w:val="20"/>
                <w:color w:val="auto"/>
              </w:rPr>
            </w:pPr>
            <w:r>
              <w:rPr>
                <w:rFonts w:ascii="Arial" w:cs="Arial" w:eastAsia="Arial" w:hAnsi="Arial"/>
                <w:sz w:val="16"/>
                <w:szCs w:val="16"/>
                <w:color w:val="auto"/>
              </w:rPr>
              <w:t>Common</w:t>
            </w:r>
          </w:p>
        </w:tc>
        <w:tc>
          <w:tcPr>
            <w:tcW w:w="380" w:type="dxa"/>
            <w:vAlign w:val="bottom"/>
          </w:tcPr>
          <w:p>
            <w:pPr>
              <w:spacing w:after="0"/>
              <w:rPr>
                <w:sz w:val="13"/>
                <w:szCs w:val="13"/>
                <w:color w:val="auto"/>
              </w:rPr>
            </w:pPr>
          </w:p>
        </w:tc>
        <w:tc>
          <w:tcPr>
            <w:tcW w:w="1040" w:type="dxa"/>
            <w:vAlign w:val="bottom"/>
            <w:vMerge w:val="restart"/>
          </w:tcPr>
          <w:p>
            <w:pPr>
              <w:jc w:val="right"/>
              <w:ind w:right="320"/>
              <w:spacing w:after="0"/>
              <w:rPr>
                <w:sz w:val="20"/>
                <w:szCs w:val="20"/>
                <w:color w:val="auto"/>
              </w:rPr>
            </w:pPr>
            <w:r>
              <w:rPr>
                <w:rFonts w:ascii="Arial" w:cs="Arial" w:eastAsia="Arial" w:hAnsi="Arial"/>
                <w:sz w:val="16"/>
                <w:szCs w:val="16"/>
                <w:color w:val="auto"/>
                <w:w w:val="96"/>
              </w:rPr>
              <w:t>Retained</w:t>
            </w:r>
          </w:p>
        </w:tc>
        <w:tc>
          <w:tcPr>
            <w:tcW w:w="1300" w:type="dxa"/>
            <w:vAlign w:val="bottom"/>
            <w:gridSpan w:val="2"/>
          </w:tcPr>
          <w:p>
            <w:pPr>
              <w:jc w:val="center"/>
              <w:ind w:right="80"/>
              <w:spacing w:after="0" w:line="157" w:lineRule="exact"/>
              <w:rPr>
                <w:sz w:val="20"/>
                <w:szCs w:val="20"/>
                <w:color w:val="auto"/>
              </w:rPr>
            </w:pPr>
            <w:r>
              <w:rPr>
                <w:rFonts w:ascii="Arial" w:cs="Arial" w:eastAsia="Arial" w:hAnsi="Arial"/>
                <w:sz w:val="16"/>
                <w:szCs w:val="16"/>
                <w:color w:val="auto"/>
                <w:w w:val="87"/>
              </w:rPr>
              <w:t>Savings</w:t>
            </w:r>
          </w:p>
        </w:tc>
        <w:tc>
          <w:tcPr>
            <w:tcW w:w="5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2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5"/>
              </w:rPr>
              <w:t>Derivative</w:t>
            </w:r>
          </w:p>
        </w:tc>
        <w:tc>
          <w:tcPr>
            <w:tcW w:w="132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0"/>
              </w:rPr>
              <w:t>Other Post-</w:t>
            </w:r>
          </w:p>
        </w:tc>
        <w:tc>
          <w:tcPr>
            <w:tcW w:w="5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300" w:type="dxa"/>
            <w:vAlign w:val="bottom"/>
            <w:gridSpan w:val="2"/>
          </w:tcPr>
          <w:p>
            <w:pPr>
              <w:jc w:val="center"/>
              <w:ind w:right="80"/>
              <w:spacing w:after="0" w:line="157" w:lineRule="exact"/>
              <w:rPr>
                <w:sz w:val="20"/>
                <w:szCs w:val="20"/>
                <w:color w:val="auto"/>
              </w:rPr>
            </w:pPr>
            <w:r>
              <w:rPr>
                <w:rFonts w:ascii="Arial" w:cs="Arial" w:eastAsia="Arial" w:hAnsi="Arial"/>
                <w:sz w:val="16"/>
                <w:szCs w:val="16"/>
                <w:color w:val="auto"/>
                <w:w w:val="90"/>
              </w:rPr>
              <w:t>Restoration</w:t>
            </w:r>
          </w:p>
        </w:tc>
        <w:tc>
          <w:tcPr>
            <w:tcW w:w="1600" w:type="dxa"/>
            <w:vAlign w:val="bottom"/>
            <w:gridSpan w:val="2"/>
          </w:tcPr>
          <w:p>
            <w:pPr>
              <w:jc w:val="right"/>
              <w:ind w:right="480"/>
              <w:spacing w:after="0" w:line="157" w:lineRule="exact"/>
              <w:rPr>
                <w:sz w:val="20"/>
                <w:szCs w:val="20"/>
                <w:color w:val="auto"/>
              </w:rPr>
            </w:pPr>
            <w:r>
              <w:rPr>
                <w:rFonts w:ascii="Arial" w:cs="Arial" w:eastAsia="Arial" w:hAnsi="Arial"/>
                <w:sz w:val="16"/>
                <w:szCs w:val="16"/>
                <w:color w:val="auto"/>
              </w:rPr>
              <w:t>Currency</w:t>
            </w:r>
          </w:p>
        </w:tc>
        <w:tc>
          <w:tcPr>
            <w:tcW w:w="142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3"/>
              </w:rPr>
              <w:t>Financial</w:t>
            </w:r>
          </w:p>
        </w:tc>
        <w:tc>
          <w:tcPr>
            <w:tcW w:w="132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3"/>
              </w:rPr>
              <w:t>retirement Benefit</w:t>
            </w:r>
          </w:p>
        </w:tc>
        <w:tc>
          <w:tcPr>
            <w:tcW w:w="1480" w:type="dxa"/>
            <w:vAlign w:val="bottom"/>
            <w:gridSpan w:val="2"/>
          </w:tcPr>
          <w:p>
            <w:pPr>
              <w:jc w:val="right"/>
              <w:ind w:right="180"/>
              <w:spacing w:after="0" w:line="157" w:lineRule="exact"/>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w w:val="89"/>
              </w:rPr>
              <w:t>Stock</w:t>
            </w:r>
          </w:p>
        </w:tc>
        <w:tc>
          <w:tcPr>
            <w:tcW w:w="14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Earnings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0"/>
              <w:spacing w:after="0"/>
              <w:rPr>
                <w:sz w:val="20"/>
                <w:szCs w:val="20"/>
                <w:color w:val="auto"/>
              </w:rPr>
            </w:pPr>
            <w:r>
              <w:rPr>
                <w:rFonts w:ascii="Arial" w:cs="Arial" w:eastAsia="Arial" w:hAnsi="Arial"/>
                <w:sz w:val="16"/>
                <w:szCs w:val="16"/>
                <w:color w:val="auto"/>
                <w:w w:val="93"/>
              </w:rPr>
              <w:t>Plan</w:t>
            </w:r>
          </w:p>
        </w:tc>
        <w:tc>
          <w:tcPr>
            <w:tcW w:w="16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Translation</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90"/>
              </w:rPr>
              <w:t>Instruments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Adjustment</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Balance at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45,514</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530,478</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(100,663)</w:t>
            </w:r>
          </w:p>
        </w:tc>
        <w:tc>
          <w:tcPr>
            <w:tcW w:w="5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(1,307)</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(95,681)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376,749</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1, 2020</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2"/>
                <w:szCs w:val="12"/>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2"/>
                <w:szCs w:val="12"/>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(11,126)</w:t>
            </w:r>
          </w:p>
        </w:tc>
        <w:tc>
          <w:tcPr>
            <w:tcW w:w="400" w:type="dxa"/>
            <w:vAlign w:val="bottom"/>
          </w:tcPr>
          <w:p>
            <w:pPr>
              <w:spacing w:after="0"/>
              <w:rPr>
                <w:sz w:val="12"/>
                <w:szCs w:val="12"/>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2"/>
                <w:szCs w:val="12"/>
                <w:color w:val="auto"/>
              </w:rPr>
            </w:pPr>
          </w:p>
        </w:tc>
        <w:tc>
          <w:tcPr>
            <w:tcW w:w="90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(11,126)</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(loss)</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Foreign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currency</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translation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tax benefit of</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(12,003)</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$1,106)</w:t>
            </w: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Derivative</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financial</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instruments</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tax benefit of</w:t>
            </w:r>
          </w:p>
        </w:tc>
        <w:tc>
          <w:tcPr>
            <w:tcW w:w="280" w:type="dxa"/>
            <w:vAlign w:val="bottom"/>
          </w:tcPr>
          <w:p>
            <w:pPr>
              <w:spacing w:after="0"/>
              <w:rPr>
                <w:sz w:val="13"/>
                <w:szCs w:val="1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ind w:left="260"/>
              <w:spacing w:after="0"/>
              <w:rPr>
                <w:sz w:val="20"/>
                <w:szCs w:val="20"/>
                <w:color w:val="auto"/>
              </w:rPr>
            </w:pPr>
            <w:r>
              <w:rPr>
                <w:rFonts w:ascii="Arial" w:cs="Arial" w:eastAsia="Arial" w:hAnsi="Arial"/>
                <w:sz w:val="16"/>
                <w:szCs w:val="16"/>
                <w:color w:val="auto"/>
              </w:rPr>
              <w:t>(2,517)</w:t>
            </w:r>
          </w:p>
        </w:tc>
        <w:tc>
          <w:tcPr>
            <w:tcW w:w="4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$887)</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of prior service</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costs and net gains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or losses (net of</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5,862</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5,862</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$1,671)</w:t>
            </w: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Cash</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dividends declared</w:t>
            </w:r>
          </w:p>
        </w:tc>
        <w:tc>
          <w:tcPr>
            <w:tcW w:w="280" w:type="dxa"/>
            <w:vAlign w:val="bottom"/>
          </w:tcPr>
          <w:p>
            <w:pPr>
              <w:spacing w:after="0"/>
              <w:rPr>
                <w:sz w:val="13"/>
                <w:szCs w:val="1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(8,025)</w:t>
            </w:r>
          </w:p>
        </w:tc>
        <w:tc>
          <w:tcPr>
            <w:tcW w:w="40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(8,025)</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($0.24 per share)</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Stock-based</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compensation</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2,520</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Repurchase</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of employee</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common stock for</w:t>
            </w:r>
          </w:p>
        </w:tc>
        <w:tc>
          <w:tcPr>
            <w:tcW w:w="280" w:type="dxa"/>
            <w:vAlign w:val="bottom"/>
          </w:tcPr>
          <w:p>
            <w:pPr>
              <w:spacing w:after="0"/>
              <w:rPr>
                <w:sz w:val="13"/>
                <w:szCs w:val="13"/>
                <w:color w:val="auto"/>
              </w:rPr>
            </w:pPr>
          </w:p>
        </w:tc>
        <w:tc>
          <w:tcPr>
            <w:tcW w:w="1080" w:type="dxa"/>
            <w:vAlign w:val="bottom"/>
            <w:vMerge w:val="restart"/>
          </w:tcPr>
          <w:p>
            <w:pPr>
              <w:jc w:val="right"/>
              <w:ind w:right="160"/>
              <w:spacing w:after="0"/>
              <w:rPr>
                <w:sz w:val="20"/>
                <w:szCs w:val="20"/>
                <w:color w:val="auto"/>
              </w:rPr>
            </w:pPr>
            <w:r>
              <w:rPr>
                <w:rFonts w:ascii="Arial" w:cs="Arial" w:eastAsia="Arial" w:hAnsi="Arial"/>
                <w:sz w:val="16"/>
                <w:szCs w:val="16"/>
                <w:color w:val="auto"/>
              </w:rPr>
              <w:t>(586)</w:t>
            </w:r>
          </w:p>
        </w:tc>
        <w:tc>
          <w:tcPr>
            <w:tcW w:w="380" w:type="dxa"/>
            <w:vAlign w:val="bottom"/>
          </w:tcPr>
          <w:p>
            <w:pPr>
              <w:spacing w:after="0"/>
              <w:rPr>
                <w:sz w:val="13"/>
                <w:szCs w:val="13"/>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tax withholdings</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Tredegar</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common stock</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purchased by trust</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for savings</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restoration plan</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Balance at</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47,448</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color w:val="auto"/>
              </w:rPr>
              <w:t>511,345</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rPr>
              <w:t>(1,610)</w:t>
            </w:r>
          </w:p>
        </w:tc>
        <w:tc>
          <w:tcPr>
            <w:tcW w:w="56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60"/>
              <w:spacing w:after="0"/>
              <w:rPr>
                <w:sz w:val="20"/>
                <w:szCs w:val="20"/>
                <w:color w:val="auto"/>
              </w:rPr>
            </w:pPr>
            <w:r>
              <w:rPr>
                <w:rFonts w:ascii="Arial" w:cs="Arial" w:eastAsia="Arial" w:hAnsi="Arial"/>
                <w:sz w:val="16"/>
                <w:szCs w:val="16"/>
                <w:color w:val="auto"/>
              </w:rPr>
              <w:t>(112,666)</w:t>
            </w:r>
          </w:p>
        </w:tc>
        <w:tc>
          <w:tcPr>
            <w:tcW w:w="52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260"/>
              <w:spacing w:after="0"/>
              <w:rPr>
                <w:sz w:val="20"/>
                <w:szCs w:val="20"/>
                <w:color w:val="auto"/>
              </w:rPr>
            </w:pPr>
            <w:r>
              <w:rPr>
                <w:rFonts w:ascii="Arial" w:cs="Arial" w:eastAsia="Arial" w:hAnsi="Arial"/>
                <w:sz w:val="16"/>
                <w:szCs w:val="16"/>
                <w:color w:val="auto"/>
              </w:rPr>
              <w:t>(3,824)</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(89,819)</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350,874</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June 30, 2020</w:t>
            </w:r>
          </w:p>
        </w:tc>
        <w:tc>
          <w:tcPr>
            <w:tcW w:w="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911" w:right="239" w:bottom="1440" w:gutter="0" w:footer="0" w:header="0"/>
        </w:sectPr>
      </w:pPr>
    </w:p>
    <w:bookmarkStart w:id="9" w:name="page10"/>
    <w:bookmarkEnd w:id="9"/>
    <w:p>
      <w:pPr>
        <w:jc w:val="center"/>
        <w:ind w:right="-2"/>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306" w:lineRule="exact"/>
        <w:rPr>
          <w:sz w:val="20"/>
          <w:szCs w:val="20"/>
          <w:color w:val="auto"/>
        </w:rPr>
      </w:pPr>
    </w:p>
    <w:p>
      <w:pPr>
        <w:ind w:left="3"/>
        <w:spacing w:after="0"/>
        <w:tabs>
          <w:tab w:leader="none" w:pos="223"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85" w:lineRule="exact"/>
        <w:rPr>
          <w:sz w:val="20"/>
          <w:szCs w:val="20"/>
          <w:color w:val="auto"/>
        </w:rPr>
      </w:pPr>
    </w:p>
    <w:p>
      <w:pPr>
        <w:ind w:left="3" w:firstLine="362"/>
        <w:spacing w:after="0" w:line="304" w:lineRule="auto"/>
        <w:rPr>
          <w:sz w:val="20"/>
          <w:szCs w:val="20"/>
          <w:color w:val="auto"/>
        </w:rPr>
      </w:pPr>
      <w:r>
        <w:rPr>
          <w:rFonts w:ascii="Arial" w:cs="Arial" w:eastAsia="Arial" w:hAnsi="Arial"/>
          <w:sz w:val="14"/>
          <w:szCs w:val="14"/>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consolidated financial position as of June 30, 2021, the consolidated results of operations for the three and six months ended June 30, 2021 and 2020, the consolidated cash flows for the six months ended June 30, 2021 and 2020, and the consolidated changes in shareholders’ equity for the six months ended June 30, 2021 and 2020, in accordance with U.S. generally accepted accounting principles (“GAAP”). All such adjustments, unless otherwise detailed in the notes to the condensed consolidated financial statements, are deemed to be of a normal, recurring nature.</w:t>
      </w:r>
    </w:p>
    <w:p>
      <w:pPr>
        <w:spacing w:after="0" w:line="30" w:lineRule="exact"/>
        <w:rPr>
          <w:sz w:val="20"/>
          <w:szCs w:val="20"/>
          <w:color w:val="auto"/>
        </w:rPr>
      </w:pPr>
    </w:p>
    <w:p>
      <w:pPr>
        <w:ind w:left="3" w:firstLine="362"/>
        <w:spacing w:after="0" w:line="256" w:lineRule="auto"/>
        <w:rPr>
          <w:sz w:val="20"/>
          <w:szCs w:val="20"/>
          <w:color w:val="auto"/>
        </w:rPr>
      </w:pPr>
      <w:r>
        <w:rPr>
          <w:rFonts w:ascii="Arial" w:cs="Arial" w:eastAsia="Arial" w:hAnsi="Arial"/>
          <w:sz w:val="16"/>
          <w:szCs w:val="16"/>
          <w:color w:val="auto"/>
        </w:rPr>
        <w:t>The Company operates on a calendar fiscal year except for the Aluminum Extrusions segment, which operates on a 52/53-week fiscal year basis. As such, the fiscal second quarter for 2021 and 2020 for this segment references 13-week periods ended June 27, 2021 and June 28, 2020,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June 27, 2021 and June 30, 2021. As of December 31, 2020, the Company’s cash and cash equivalents declined by $3.8 million since the Company made payments to the Aluminum Extrusions segment to fund its working capital during the intervening period.</w:t>
      </w:r>
    </w:p>
    <w:p>
      <w:pPr>
        <w:spacing w:after="0" w:line="62" w:lineRule="exact"/>
        <w:rPr>
          <w:sz w:val="20"/>
          <w:szCs w:val="20"/>
          <w:color w:val="auto"/>
        </w:rPr>
      </w:pPr>
    </w:p>
    <w:p>
      <w:pPr>
        <w:jc w:val="both"/>
        <w:ind w:left="3" w:right="140" w:firstLine="362"/>
        <w:spacing w:after="0" w:line="291" w:lineRule="auto"/>
        <w:rPr>
          <w:sz w:val="20"/>
          <w:szCs w:val="20"/>
          <w:color w:val="auto"/>
        </w:rPr>
      </w:pPr>
      <w:r>
        <w:rPr>
          <w:rFonts w:ascii="Arial" w:cs="Arial" w:eastAsia="Arial" w:hAnsi="Arial"/>
          <w:sz w:val="15"/>
          <w:szCs w:val="15"/>
          <w:color w:val="auto"/>
        </w:rPr>
        <w:t>The financial position data as of December 31, 2020 that is included herein was derived from the audited consolidated financial statements provided in the Company’s Annual Report on Form 10-K for the year ended December 31, 2020 (“2020 Form 10-K”) but does not include all disclosures required by GAAP. These financial statements should be read in conjunction with the consolidated financial statements and related notes included in the 2020 Form 10-K.</w:t>
      </w:r>
    </w:p>
    <w:p>
      <w:pPr>
        <w:spacing w:after="0" w:line="24" w:lineRule="exact"/>
        <w:rPr>
          <w:sz w:val="20"/>
          <w:szCs w:val="20"/>
          <w:color w:val="auto"/>
        </w:rPr>
      </w:pPr>
    </w:p>
    <w:p>
      <w:pPr>
        <w:ind w:left="3" w:right="120" w:firstLine="362"/>
        <w:spacing w:after="0" w:line="291" w:lineRule="auto"/>
        <w:rPr>
          <w:sz w:val="20"/>
          <w:szCs w:val="20"/>
          <w:color w:val="auto"/>
        </w:rPr>
      </w:pPr>
      <w:r>
        <w:rPr>
          <w:rFonts w:ascii="Arial" w:cs="Arial" w:eastAsia="Arial" w:hAnsi="Arial"/>
          <w:sz w:val="15"/>
          <w:szCs w:val="15"/>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within the Surface Protection component of PE Films. All historical results for Personal Care Films have been presented as discontinued operations.</w:t>
      </w:r>
    </w:p>
    <w:p>
      <w:pPr>
        <w:spacing w:after="0" w:line="36" w:lineRule="exact"/>
        <w:rPr>
          <w:sz w:val="20"/>
          <w:szCs w:val="20"/>
          <w:color w:val="auto"/>
        </w:rPr>
      </w:pPr>
    </w:p>
    <w:p>
      <w:pPr>
        <w:ind w:left="3" w:right="240" w:firstLine="362"/>
        <w:spacing w:after="0" w:line="265" w:lineRule="auto"/>
        <w:rPr>
          <w:sz w:val="20"/>
          <w:szCs w:val="20"/>
          <w:color w:val="auto"/>
        </w:rPr>
      </w:pPr>
      <w:r>
        <w:rPr>
          <w:rFonts w:ascii="Arial" w:cs="Arial" w:eastAsia="Arial" w:hAnsi="Arial"/>
          <w:sz w:val="16"/>
          <w:szCs w:val="16"/>
          <w:color w:val="auto"/>
        </w:rPr>
        <w:t>On December 31, 2020, the Company completed the sale of Bright View Technologies, which was part of its PE Films segment. The sale did not represent a strategic shift nor did it have a major effect on the Company's historical and ongoing operations, thus all financial information for Bright View Technologies has been presented in continuing operations.</w:t>
      </w:r>
    </w:p>
    <w:p>
      <w:pPr>
        <w:spacing w:after="0" w:line="54" w:lineRule="exact"/>
        <w:rPr>
          <w:sz w:val="20"/>
          <w:szCs w:val="20"/>
          <w:color w:val="auto"/>
        </w:rPr>
      </w:pPr>
    </w:p>
    <w:p>
      <w:pPr>
        <w:ind w:left="363"/>
        <w:spacing w:after="0"/>
        <w:rPr>
          <w:sz w:val="20"/>
          <w:szCs w:val="20"/>
          <w:color w:val="auto"/>
        </w:rPr>
      </w:pPr>
      <w:r>
        <w:rPr>
          <w:rFonts w:ascii="Arial" w:cs="Arial" w:eastAsia="Arial" w:hAnsi="Arial"/>
          <w:sz w:val="16"/>
          <w:szCs w:val="16"/>
          <w:color w:val="auto"/>
        </w:rPr>
        <w:t>The results of operations for the three and six months ended June 30, 2021, are not necessarily indicative of the results to be expected for the full year.</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Accounting Standards Adopted:</w:t>
      </w:r>
    </w:p>
    <w:p>
      <w:pPr>
        <w:spacing w:after="0" w:line="93" w:lineRule="exact"/>
        <w:rPr>
          <w:sz w:val="20"/>
          <w:szCs w:val="20"/>
          <w:color w:val="auto"/>
        </w:rPr>
      </w:pPr>
    </w:p>
    <w:p>
      <w:pPr>
        <w:ind w:left="3" w:firstLine="362"/>
        <w:spacing w:after="0" w:line="283" w:lineRule="auto"/>
        <w:rPr>
          <w:sz w:val="20"/>
          <w:szCs w:val="20"/>
          <w:color w:val="auto"/>
        </w:rPr>
      </w:pPr>
      <w:r>
        <w:rPr>
          <w:rFonts w:ascii="Arial" w:cs="Arial" w:eastAsia="Arial" w:hAnsi="Arial"/>
          <w:sz w:val="15"/>
          <w:szCs w:val="15"/>
          <w:color w:val="auto"/>
        </w:rPr>
        <w:t>In December 2019, the Financial Accounting Standards Board issued Accounting Standards Update ("ASU") 2019-12, which simplifies the accounting for income taxes by eliminating certain exceptions related to the approach for intraperiod tax allocation, the methodology for calculating income taxes in an interim period, hybrid taxes and the recognition of deferred tax liabilities for outside basis differences. It also clarifies and simplifies other aspects of the accounting for income taxes. In the first quarter of 2021, the Company adopted ASU 2019-12, which did not have a material impact on the Company's consolidated financial statements.</w:t>
      </w:r>
    </w:p>
    <w:p>
      <w:pPr>
        <w:spacing w:after="0" w:line="39" w:lineRule="exact"/>
        <w:rPr>
          <w:sz w:val="20"/>
          <w:szCs w:val="20"/>
          <w:color w:val="auto"/>
        </w:rPr>
      </w:pPr>
    </w:p>
    <w:p>
      <w:pPr>
        <w:ind w:left="3" w:right="7440" w:hanging="3"/>
        <w:spacing w:after="0" w:line="356" w:lineRule="auto"/>
        <w:tabs>
          <w:tab w:leader="none" w:pos="24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AND ASSETS HELD FOR SALE </w:t>
      </w:r>
      <w:r>
        <w:rPr>
          <w:rFonts w:ascii="Arial" w:cs="Arial" w:eastAsia="Arial" w:hAnsi="Arial"/>
          <w:sz w:val="16"/>
          <w:szCs w:val="16"/>
          <w:b w:val="1"/>
          <w:bCs w:val="1"/>
          <w:u w:val="single" w:color="auto"/>
          <w:color w:val="auto"/>
        </w:rPr>
        <w:t>Divestitures</w:t>
      </w:r>
    </w:p>
    <w:p>
      <w:pPr>
        <w:spacing w:after="0" w:line="1" w:lineRule="exact"/>
        <w:rPr>
          <w:rFonts w:ascii="Arial" w:cs="Arial" w:eastAsia="Arial" w:hAnsi="Arial"/>
          <w:sz w:val="16"/>
          <w:szCs w:val="16"/>
          <w:b w:val="1"/>
          <w:bCs w:val="1"/>
          <w:color w:val="auto"/>
        </w:rPr>
      </w:pPr>
    </w:p>
    <w:p>
      <w:pPr>
        <w:ind w:left="3"/>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Personal Care Films</w:t>
      </w:r>
    </w:p>
    <w:p>
      <w:pPr>
        <w:spacing w:after="0" w:line="93" w:lineRule="exact"/>
        <w:rPr>
          <w:sz w:val="20"/>
          <w:szCs w:val="20"/>
          <w:color w:val="auto"/>
        </w:rPr>
      </w:pPr>
    </w:p>
    <w:p>
      <w:pPr>
        <w:ind w:left="3" w:right="120" w:firstLine="362"/>
        <w:spacing w:after="0" w:line="265" w:lineRule="auto"/>
        <w:rPr>
          <w:sz w:val="20"/>
          <w:szCs w:val="20"/>
          <w:color w:val="auto"/>
        </w:rPr>
      </w:pPr>
      <w:r>
        <w:rPr>
          <w:rFonts w:ascii="Arial" w:cs="Arial" w:eastAsia="Arial" w:hAnsi="Arial"/>
          <w:sz w:val="16"/>
          <w:szCs w:val="16"/>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3"/>
          </w:cols>
          <w:pgMar w:left="317" w:top="811" w:right="339" w:bottom="1440" w:gutter="0" w:footer="0" w:header="0"/>
        </w:sectPr>
      </w:pPr>
    </w:p>
    <w:bookmarkStart w:id="10" w:name="page11"/>
    <w:bookmarkEnd w:id="10"/>
    <w:p>
      <w:pPr>
        <w:ind w:left="360"/>
        <w:spacing w:after="0"/>
        <w:rPr>
          <w:sz w:val="20"/>
          <w:szCs w:val="20"/>
          <w:color w:val="auto"/>
        </w:rPr>
      </w:pPr>
      <w:r>
        <w:rPr>
          <w:rFonts w:ascii="Arial" w:cs="Arial" w:eastAsia="Arial" w:hAnsi="Arial"/>
          <w:sz w:val="14"/>
          <w:szCs w:val="14"/>
          <w:color w:val="auto"/>
        </w:rPr>
        <w:t>The following table summarizes the financial results of discontinued operations reflected in the consolidated statements of income for the three and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and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Three Months Ended June 30,</w:t>
            </w:r>
          </w:p>
        </w:tc>
        <w:tc>
          <w:tcPr>
            <w:tcW w:w="7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3860" w:type="dxa"/>
            <w:vAlign w:val="bottom"/>
          </w:tcPr>
          <w:p>
            <w:pPr>
              <w:ind w:left="380"/>
              <w:spacing w:after="0"/>
              <w:rPr>
                <w:sz w:val="20"/>
                <w:szCs w:val="20"/>
                <w:color w:val="auto"/>
              </w:rPr>
            </w:pPr>
            <w:r>
              <w:rPr>
                <w:rFonts w:ascii="Arial" w:cs="Arial" w:eastAsia="Arial" w:hAnsi="Arial"/>
                <w:sz w:val="16"/>
                <w:szCs w:val="16"/>
                <w:b w:val="1"/>
                <w:bCs w:val="1"/>
                <w:color w:val="auto"/>
              </w:rPr>
              <w:t>Revenues and other items:</w:t>
            </w: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Sales</w:t>
            </w:r>
          </w:p>
        </w:tc>
        <w:tc>
          <w:tcPr>
            <w:tcW w:w="5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5"/>
              </w:rPr>
              <w:t>32,378</w:t>
            </w:r>
          </w:p>
        </w:tc>
        <w:tc>
          <w:tcPr>
            <w:tcW w:w="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68,544</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Other income (expense), net</w:t>
            </w:r>
          </w:p>
        </w:tc>
        <w:tc>
          <w:tcPr>
            <w:tcW w:w="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(180)</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97"/>
        </w:trPr>
        <w:tc>
          <w:tcPr>
            <w:tcW w:w="3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5"/>
              </w:rPr>
              <w:t>32,198</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68,283</w:t>
            </w:r>
          </w:p>
        </w:tc>
        <w:tc>
          <w:tcPr>
            <w:tcW w:w="0" w:type="dxa"/>
            <w:vAlign w:val="bottom"/>
          </w:tcPr>
          <w:p>
            <w:pPr>
              <w:spacing w:after="0"/>
              <w:rPr>
                <w:sz w:val="1"/>
                <w:szCs w:val="1"/>
                <w:color w:val="auto"/>
              </w:rPr>
            </w:pPr>
          </w:p>
        </w:tc>
      </w:tr>
      <w:tr>
        <w:trPr>
          <w:trHeight w:val="205"/>
        </w:trPr>
        <w:tc>
          <w:tcPr>
            <w:tcW w:w="3860" w:type="dxa"/>
            <w:vAlign w:val="bottom"/>
          </w:tcPr>
          <w:p>
            <w:pPr>
              <w:ind w:left="380"/>
              <w:spacing w:after="0"/>
              <w:rPr>
                <w:sz w:val="20"/>
                <w:szCs w:val="20"/>
                <w:color w:val="auto"/>
              </w:rPr>
            </w:pPr>
            <w:r>
              <w:rPr>
                <w:rFonts w:ascii="Arial" w:cs="Arial" w:eastAsia="Arial" w:hAnsi="Arial"/>
                <w:sz w:val="16"/>
                <w:szCs w:val="16"/>
                <w:b w:val="1"/>
                <w:bCs w:val="1"/>
                <w:color w:val="auto"/>
              </w:rPr>
              <w:t>Costs and expenses:</w:t>
            </w: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goods sold</w:t>
            </w:r>
          </w:p>
        </w:tc>
        <w:tc>
          <w:tcPr>
            <w:tcW w:w="5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5"/>
              </w:rPr>
              <w:t>27,785</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57,927</w:t>
            </w:r>
          </w:p>
        </w:tc>
        <w:tc>
          <w:tcPr>
            <w:tcW w:w="0" w:type="dxa"/>
            <w:vAlign w:val="bottom"/>
          </w:tcPr>
          <w:p>
            <w:pPr>
              <w:spacing w:after="0"/>
              <w:rPr>
                <w:sz w:val="1"/>
                <w:szCs w:val="1"/>
                <w:color w:val="auto"/>
              </w:rPr>
            </w:pPr>
          </w:p>
        </w:tc>
      </w:tr>
      <w:tr>
        <w:trPr>
          <w:trHeight w:val="205"/>
        </w:trPr>
        <w:tc>
          <w:tcPr>
            <w:tcW w:w="3860" w:type="dxa"/>
            <w:vAlign w:val="bottom"/>
          </w:tcPr>
          <w:p>
            <w:pPr>
              <w:ind w:left="660"/>
              <w:spacing w:after="0"/>
              <w:rPr>
                <w:sz w:val="20"/>
                <w:szCs w:val="20"/>
                <w:color w:val="auto"/>
              </w:rPr>
            </w:pPr>
            <w:r>
              <w:rPr>
                <w:rFonts w:ascii="Arial" w:cs="Arial" w:eastAsia="Arial" w:hAnsi="Arial"/>
                <w:sz w:val="16"/>
                <w:szCs w:val="16"/>
                <w:color w:val="auto"/>
              </w:rPr>
              <w:t>Freight</w:t>
            </w:r>
          </w:p>
        </w:tc>
        <w:tc>
          <w:tcPr>
            <w:tcW w:w="560" w:type="dxa"/>
            <w:vAlign w:val="bottom"/>
          </w:tcPr>
          <w:p>
            <w:pPr>
              <w:spacing w:after="0"/>
              <w:rPr>
                <w:sz w:val="17"/>
                <w:szCs w:val="17"/>
                <w:color w:val="auto"/>
              </w:rPr>
            </w:pP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7"/>
                <w:szCs w:val="17"/>
                <w:color w:val="auto"/>
              </w:rPr>
            </w:pPr>
          </w:p>
        </w:tc>
        <w:tc>
          <w:tcPr>
            <w:tcW w:w="740" w:type="dxa"/>
            <w:vAlign w:val="bottom"/>
          </w:tcPr>
          <w:p>
            <w:pPr>
              <w:jc w:val="right"/>
              <w:ind w:right="220"/>
              <w:spacing w:after="0"/>
              <w:rPr>
                <w:sz w:val="20"/>
                <w:szCs w:val="20"/>
                <w:color w:val="auto"/>
              </w:rPr>
            </w:pPr>
            <w:r>
              <w:rPr>
                <w:rFonts w:ascii="Arial" w:cs="Arial" w:eastAsia="Arial" w:hAnsi="Arial"/>
                <w:sz w:val="16"/>
                <w:szCs w:val="16"/>
                <w:color w:val="auto"/>
              </w:rPr>
              <w:t>1,570</w:t>
            </w:r>
          </w:p>
        </w:tc>
        <w:tc>
          <w:tcPr>
            <w:tcW w:w="540" w:type="dxa"/>
            <w:vAlign w:val="bottom"/>
          </w:tcPr>
          <w:p>
            <w:pPr>
              <w:spacing w:after="0"/>
              <w:rPr>
                <w:sz w:val="17"/>
                <w:szCs w:val="17"/>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3,275</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4,022</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1,219</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0" w:type="dxa"/>
            <w:vAlign w:val="bottom"/>
          </w:tcPr>
          <w:p>
            <w:pPr>
              <w:spacing w:after="0"/>
              <w:rPr>
                <w:sz w:val="1"/>
                <w:szCs w:val="1"/>
                <w:color w:val="auto"/>
              </w:rPr>
            </w:pPr>
          </w:p>
        </w:tc>
      </w:tr>
      <w:tr>
        <w:trPr>
          <w:trHeight w:val="205"/>
        </w:trPr>
        <w:tc>
          <w:tcPr>
            <w:tcW w:w="3860" w:type="dxa"/>
            <w:vAlign w:val="bottom"/>
          </w:tcPr>
          <w:p>
            <w:pPr>
              <w:ind w:left="660"/>
              <w:spacing w:after="0"/>
              <w:rPr>
                <w:sz w:val="20"/>
                <w:szCs w:val="20"/>
                <w:color w:val="auto"/>
              </w:rPr>
            </w:pPr>
            <w:r>
              <w:rPr>
                <w:rFonts w:ascii="Arial" w:cs="Arial" w:eastAsia="Arial" w:hAnsi="Arial"/>
                <w:sz w:val="16"/>
                <w:szCs w:val="16"/>
                <w:color w:val="auto"/>
              </w:rPr>
              <w:t>Research and development</w:t>
            </w:r>
          </w:p>
        </w:tc>
        <w:tc>
          <w:tcPr>
            <w:tcW w:w="560" w:type="dxa"/>
            <w:vAlign w:val="bottom"/>
          </w:tcPr>
          <w:p>
            <w:pPr>
              <w:spacing w:after="0"/>
              <w:rPr>
                <w:sz w:val="17"/>
                <w:szCs w:val="17"/>
                <w:color w:val="auto"/>
              </w:rPr>
            </w:pP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7"/>
                <w:szCs w:val="17"/>
                <w:color w:val="auto"/>
              </w:rPr>
            </w:pPr>
          </w:p>
        </w:tc>
        <w:tc>
          <w:tcPr>
            <w:tcW w:w="740" w:type="dxa"/>
            <w:vAlign w:val="bottom"/>
          </w:tcPr>
          <w:p>
            <w:pPr>
              <w:jc w:val="right"/>
              <w:ind w:right="220"/>
              <w:spacing w:after="0"/>
              <w:rPr>
                <w:sz w:val="20"/>
                <w:szCs w:val="20"/>
                <w:color w:val="auto"/>
              </w:rPr>
            </w:pPr>
            <w:r>
              <w:rPr>
                <w:rFonts w:ascii="Arial" w:cs="Arial" w:eastAsia="Arial" w:hAnsi="Arial"/>
                <w:sz w:val="16"/>
                <w:szCs w:val="16"/>
                <w:color w:val="auto"/>
              </w:rPr>
              <w:t>2,628</w:t>
            </w:r>
          </w:p>
        </w:tc>
        <w:tc>
          <w:tcPr>
            <w:tcW w:w="540" w:type="dxa"/>
            <w:vAlign w:val="bottom"/>
          </w:tcPr>
          <w:p>
            <w:pPr>
              <w:spacing w:after="0"/>
              <w:rPr>
                <w:sz w:val="17"/>
                <w:szCs w:val="17"/>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5,313</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660"/>
              <w:spacing w:after="0" w:line="157" w:lineRule="exact"/>
              <w:rPr>
                <w:sz w:val="20"/>
                <w:szCs w:val="20"/>
                <w:color w:val="auto"/>
              </w:rPr>
            </w:pPr>
            <w:r>
              <w:rPr>
                <w:rFonts w:ascii="Arial" w:cs="Arial" w:eastAsia="Arial" w:hAnsi="Arial"/>
                <w:sz w:val="16"/>
                <w:szCs w:val="16"/>
                <w:color w:val="auto"/>
                <w:w w:val="99"/>
              </w:rPr>
              <w:t>Asset impairments and costs associated with</w:t>
            </w:r>
          </w:p>
        </w:tc>
        <w:tc>
          <w:tcPr>
            <w:tcW w:w="5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126</w:t>
            </w:r>
          </w:p>
        </w:tc>
        <w:tc>
          <w:tcPr>
            <w:tcW w:w="5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exit and disposal activities, net of adjustments</w:t>
            </w:r>
          </w:p>
        </w:tc>
        <w:tc>
          <w:tcPr>
            <w:tcW w:w="56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660"/>
              <w:spacing w:after="0" w:line="157" w:lineRule="exact"/>
              <w:rPr>
                <w:sz w:val="20"/>
                <w:szCs w:val="20"/>
                <w:color w:val="auto"/>
              </w:rPr>
            </w:pPr>
            <w:r>
              <w:rPr>
                <w:rFonts w:ascii="Arial" w:cs="Arial" w:eastAsia="Arial" w:hAnsi="Arial"/>
                <w:sz w:val="16"/>
                <w:szCs w:val="16"/>
                <w:color w:val="auto"/>
                <w:w w:val="98"/>
              </w:rPr>
              <w:t>Adjustment to the fair value estimates used in</w:t>
            </w:r>
          </w:p>
        </w:tc>
        <w:tc>
          <w:tcPr>
            <w:tcW w:w="560" w:type="dxa"/>
            <w:vAlign w:val="bottom"/>
          </w:tcPr>
          <w:p>
            <w:pPr>
              <w:spacing w:after="0"/>
              <w:rPr>
                <w:sz w:val="13"/>
                <w:szCs w:val="13"/>
                <w:color w:val="auto"/>
              </w:rPr>
            </w:pPr>
          </w:p>
        </w:tc>
        <w:tc>
          <w:tcPr>
            <w:tcW w:w="1400" w:type="dxa"/>
            <w:vAlign w:val="bottom"/>
            <w:vMerge w:val="restart"/>
          </w:tcPr>
          <w:p>
            <w:pPr>
              <w:jc w:val="right"/>
              <w:ind w:right="180"/>
              <w:spacing w:after="0"/>
              <w:rPr>
                <w:sz w:val="20"/>
                <w:szCs w:val="20"/>
                <w:color w:val="auto"/>
              </w:rPr>
            </w:pPr>
            <w:r>
              <w:rPr>
                <w:rFonts w:ascii="Arial" w:cs="Arial" w:eastAsia="Arial" w:hAnsi="Arial"/>
                <w:sz w:val="16"/>
                <w:szCs w:val="16"/>
                <w:color w:val="auto"/>
              </w:rPr>
              <w:t>(819)</w:t>
            </w:r>
          </w:p>
        </w:tc>
        <w:tc>
          <w:tcPr>
            <w:tcW w:w="1060" w:type="dxa"/>
            <w:vAlign w:val="bottom"/>
          </w:tcPr>
          <w:p>
            <w:pPr>
              <w:spacing w:after="0"/>
              <w:rPr>
                <w:sz w:val="13"/>
                <w:szCs w:val="13"/>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300" w:type="dxa"/>
            <w:vAlign w:val="bottom"/>
            <w:vMerge w:val="restart"/>
          </w:tcPr>
          <w:p>
            <w:pPr>
              <w:jc w:val="right"/>
              <w:ind w:right="180"/>
              <w:spacing w:after="0"/>
              <w:rPr>
                <w:sz w:val="20"/>
                <w:szCs w:val="20"/>
                <w:color w:val="auto"/>
              </w:rPr>
            </w:pPr>
            <w:r>
              <w:rPr>
                <w:rFonts w:ascii="Arial" w:cs="Arial" w:eastAsia="Arial" w:hAnsi="Arial"/>
                <w:sz w:val="16"/>
                <w:szCs w:val="16"/>
                <w:color w:val="auto"/>
              </w:rPr>
              <w:t>(1,118)</w:t>
            </w:r>
          </w:p>
        </w:tc>
        <w:tc>
          <w:tcPr>
            <w:tcW w:w="5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tcPr>
          <w:p>
            <w:pPr>
              <w:ind w:left="300"/>
              <w:spacing w:after="0" w:line="206" w:lineRule="exact"/>
              <w:rPr>
                <w:sz w:val="20"/>
                <w:szCs w:val="20"/>
                <w:color w:val="auto"/>
              </w:rPr>
            </w:pPr>
            <w:r>
              <w:rPr>
                <w:rFonts w:ascii="Arial" w:cs="Arial" w:eastAsia="Arial" w:hAnsi="Arial"/>
                <w:sz w:val="16"/>
                <w:szCs w:val="16"/>
                <w:color w:val="auto"/>
              </w:rPr>
              <w:t>the disposal of Personal Care Films</w:t>
            </w:r>
            <w:r>
              <w:rPr>
                <w:rFonts w:ascii="Arial" w:cs="Arial" w:eastAsia="Arial" w:hAnsi="Arial"/>
                <w:sz w:val="20"/>
                <w:szCs w:val="20"/>
                <w:color w:val="auto"/>
                <w:vertAlign w:val="superscript"/>
              </w:rPr>
              <w:t>(a)</w:t>
            </w:r>
          </w:p>
        </w:tc>
        <w:tc>
          <w:tcPr>
            <w:tcW w:w="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(650)</w:t>
            </w:r>
          </w:p>
        </w:tc>
        <w:tc>
          <w:tcPr>
            <w:tcW w:w="1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5"/>
              </w:rPr>
              <w:t>36,131</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101</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74,188</w:t>
            </w:r>
          </w:p>
        </w:tc>
        <w:tc>
          <w:tcPr>
            <w:tcW w:w="0" w:type="dxa"/>
            <w:vAlign w:val="bottom"/>
          </w:tcPr>
          <w:p>
            <w:pPr>
              <w:spacing w:after="0"/>
              <w:rPr>
                <w:sz w:val="1"/>
                <w:szCs w:val="1"/>
                <w:color w:val="auto"/>
              </w:rPr>
            </w:pPr>
          </w:p>
        </w:tc>
      </w:tr>
      <w:tr>
        <w:trPr>
          <w:trHeight w:val="149"/>
        </w:trPr>
        <w:tc>
          <w:tcPr>
            <w:tcW w:w="3860" w:type="dxa"/>
            <w:vAlign w:val="bottom"/>
          </w:tcPr>
          <w:p>
            <w:pPr>
              <w:ind w:left="380"/>
              <w:spacing w:after="0" w:line="149" w:lineRule="exact"/>
              <w:rPr>
                <w:sz w:val="20"/>
                <w:szCs w:val="20"/>
                <w:color w:val="auto"/>
              </w:rPr>
            </w:pPr>
            <w:r>
              <w:rPr>
                <w:rFonts w:ascii="Arial" w:cs="Arial" w:eastAsia="Arial" w:hAnsi="Arial"/>
                <w:sz w:val="16"/>
                <w:szCs w:val="16"/>
                <w:color w:val="auto"/>
                <w:w w:val="97"/>
              </w:rPr>
              <w:t>Income (loss) from discontinued operations before</w:t>
            </w:r>
          </w:p>
        </w:tc>
        <w:tc>
          <w:tcPr>
            <w:tcW w:w="560" w:type="dxa"/>
            <w:vAlign w:val="bottom"/>
          </w:tcPr>
          <w:p>
            <w:pPr>
              <w:spacing w:after="0"/>
              <w:rPr>
                <w:sz w:val="12"/>
                <w:szCs w:val="12"/>
                <w:color w:val="auto"/>
              </w:rPr>
            </w:pPr>
          </w:p>
        </w:tc>
        <w:tc>
          <w:tcPr>
            <w:tcW w:w="1400" w:type="dxa"/>
            <w:vAlign w:val="bottom"/>
            <w:vMerge w:val="restart"/>
          </w:tcPr>
          <w:p>
            <w:pPr>
              <w:jc w:val="right"/>
              <w:ind w:right="220"/>
              <w:spacing w:after="0"/>
              <w:rPr>
                <w:sz w:val="20"/>
                <w:szCs w:val="20"/>
                <w:color w:val="auto"/>
              </w:rPr>
            </w:pPr>
            <w:r>
              <w:rPr>
                <w:rFonts w:ascii="Arial" w:cs="Arial" w:eastAsia="Arial" w:hAnsi="Arial"/>
                <w:sz w:val="16"/>
                <w:szCs w:val="16"/>
                <w:color w:val="auto"/>
              </w:rPr>
              <w:t>650</w:t>
            </w:r>
          </w:p>
        </w:tc>
        <w:tc>
          <w:tcPr>
            <w:tcW w:w="1060" w:type="dxa"/>
            <w:vAlign w:val="bottom"/>
          </w:tcPr>
          <w:p>
            <w:pPr>
              <w:spacing w:after="0"/>
              <w:rPr>
                <w:sz w:val="12"/>
                <w:szCs w:val="12"/>
                <w:color w:val="auto"/>
              </w:rPr>
            </w:pPr>
          </w:p>
        </w:tc>
        <w:tc>
          <w:tcPr>
            <w:tcW w:w="740" w:type="dxa"/>
            <w:vAlign w:val="bottom"/>
            <w:vMerge w:val="restart"/>
          </w:tcPr>
          <w:p>
            <w:pPr>
              <w:jc w:val="right"/>
              <w:ind w:right="180"/>
              <w:spacing w:after="0"/>
              <w:rPr>
                <w:sz w:val="20"/>
                <w:szCs w:val="20"/>
                <w:color w:val="auto"/>
              </w:rPr>
            </w:pPr>
            <w:r>
              <w:rPr>
                <w:rFonts w:ascii="Arial" w:cs="Arial" w:eastAsia="Arial" w:hAnsi="Arial"/>
                <w:sz w:val="16"/>
                <w:szCs w:val="16"/>
                <w:color w:val="auto"/>
                <w:w w:val="90"/>
              </w:rPr>
              <w:t>(3,933)</w:t>
            </w:r>
          </w:p>
        </w:tc>
        <w:tc>
          <w:tcPr>
            <w:tcW w:w="540" w:type="dxa"/>
            <w:vAlign w:val="bottom"/>
          </w:tcPr>
          <w:p>
            <w:pPr>
              <w:spacing w:after="0"/>
              <w:rPr>
                <w:sz w:val="12"/>
                <w:szCs w:val="12"/>
                <w:color w:val="auto"/>
              </w:rPr>
            </w:pPr>
          </w:p>
        </w:tc>
        <w:tc>
          <w:tcPr>
            <w:tcW w:w="1300" w:type="dxa"/>
            <w:vAlign w:val="bottom"/>
            <w:vMerge w:val="restart"/>
          </w:tcPr>
          <w:p>
            <w:pPr>
              <w:jc w:val="right"/>
              <w:ind w:right="180"/>
              <w:spacing w:after="0"/>
              <w:rPr>
                <w:sz w:val="20"/>
                <w:szCs w:val="20"/>
                <w:color w:val="auto"/>
              </w:rPr>
            </w:pPr>
            <w:r>
              <w:rPr>
                <w:rFonts w:ascii="Arial" w:cs="Arial" w:eastAsia="Arial" w:hAnsi="Arial"/>
                <w:sz w:val="16"/>
                <w:szCs w:val="16"/>
                <w:color w:val="auto"/>
              </w:rPr>
              <w:t>(101)</w:t>
            </w:r>
          </w:p>
        </w:tc>
        <w:tc>
          <w:tcPr>
            <w:tcW w:w="5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(5,905)</w:t>
            </w:r>
          </w:p>
        </w:tc>
        <w:tc>
          <w:tcPr>
            <w:tcW w:w="0" w:type="dxa"/>
            <w:vAlign w:val="bottom"/>
          </w:tcPr>
          <w:p>
            <w:pPr>
              <w:spacing w:after="0"/>
              <w:rPr>
                <w:sz w:val="1"/>
                <w:szCs w:val="1"/>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5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Income tax expense (benefit)</w:t>
            </w:r>
          </w:p>
        </w:tc>
        <w:tc>
          <w:tcPr>
            <w:tcW w:w="5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142</w:t>
            </w:r>
          </w:p>
        </w:tc>
        <w:tc>
          <w:tcPr>
            <w:tcW w:w="1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(797)</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149"/>
        </w:trPr>
        <w:tc>
          <w:tcPr>
            <w:tcW w:w="3860" w:type="dxa"/>
            <w:vAlign w:val="bottom"/>
          </w:tcPr>
          <w:p>
            <w:pPr>
              <w:ind w:left="380"/>
              <w:spacing w:after="0" w:line="149" w:lineRule="exact"/>
              <w:rPr>
                <w:sz w:val="20"/>
                <w:szCs w:val="20"/>
                <w:color w:val="auto"/>
              </w:rPr>
            </w:pPr>
            <w:r>
              <w:rPr>
                <w:rFonts w:ascii="Arial" w:cs="Arial" w:eastAsia="Arial" w:hAnsi="Arial"/>
                <w:sz w:val="16"/>
                <w:szCs w:val="16"/>
                <w:b w:val="1"/>
                <w:bCs w:val="1"/>
                <w:color w:val="auto"/>
                <w:w w:val="94"/>
              </w:rPr>
              <w:t>Income (loss) from discontinued operations, net</w:t>
            </w:r>
          </w:p>
        </w:tc>
        <w:tc>
          <w:tcPr>
            <w:tcW w:w="56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220"/>
              <w:spacing w:after="0"/>
              <w:rPr>
                <w:sz w:val="20"/>
                <w:szCs w:val="20"/>
                <w:color w:val="auto"/>
              </w:rPr>
            </w:pPr>
            <w:r>
              <w:rPr>
                <w:rFonts w:ascii="Arial" w:cs="Arial" w:eastAsia="Arial" w:hAnsi="Arial"/>
                <w:sz w:val="16"/>
                <w:szCs w:val="16"/>
                <w:color w:val="auto"/>
              </w:rPr>
              <w:t>508</w:t>
            </w:r>
          </w:p>
        </w:tc>
        <w:tc>
          <w:tcPr>
            <w:tcW w:w="1060" w:type="dxa"/>
            <w:vAlign w:val="bottom"/>
            <w:vMerge w:val="restart"/>
          </w:tcPr>
          <w:p>
            <w:pPr>
              <w:jc w:val="right"/>
              <w:ind w:right="66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80"/>
              <w:spacing w:after="0"/>
              <w:rPr>
                <w:sz w:val="20"/>
                <w:szCs w:val="20"/>
                <w:color w:val="auto"/>
              </w:rPr>
            </w:pPr>
            <w:r>
              <w:rPr>
                <w:rFonts w:ascii="Arial" w:cs="Arial" w:eastAsia="Arial" w:hAnsi="Arial"/>
                <w:sz w:val="16"/>
                <w:szCs w:val="16"/>
                <w:color w:val="auto"/>
                <w:w w:val="90"/>
              </w:rPr>
              <w:t>(3,136)</w:t>
            </w:r>
          </w:p>
        </w:tc>
        <w:tc>
          <w:tcPr>
            <w:tcW w:w="54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80"/>
              <w:spacing w:after="0"/>
              <w:rPr>
                <w:sz w:val="20"/>
                <w:szCs w:val="20"/>
                <w:color w:val="auto"/>
              </w:rPr>
            </w:pPr>
            <w:r>
              <w:rPr>
                <w:rFonts w:ascii="Arial" w:cs="Arial" w:eastAsia="Arial" w:hAnsi="Arial"/>
                <w:sz w:val="16"/>
                <w:szCs w:val="16"/>
                <w:color w:val="auto"/>
              </w:rPr>
              <w:t>(79)</w:t>
            </w:r>
          </w:p>
        </w:tc>
        <w:tc>
          <w:tcPr>
            <w:tcW w:w="58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(4,794)</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of tax</w:t>
            </w:r>
          </w:p>
        </w:tc>
        <w:tc>
          <w:tcPr>
            <w:tcW w:w="5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4692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ind w:left="220" w:right="100" w:hanging="207"/>
        <w:spacing w:after="0" w:line="236" w:lineRule="auto"/>
        <w:tabs>
          <w:tab w:leader="none" w:pos="22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net increase to the estimated fair value of Personal Care Films primarily due to lower costs associated with IT transition-related services to provide the seller developed assets, which did not exist at the time of the sale, to support the seller's IT infrastructure.</w:t>
      </w:r>
    </w:p>
    <w:p>
      <w:pPr>
        <w:spacing w:after="0" w:line="145" w:lineRule="exact"/>
        <w:rPr>
          <w:sz w:val="20"/>
          <w:szCs w:val="20"/>
          <w:color w:val="auto"/>
        </w:rPr>
      </w:pPr>
    </w:p>
    <w:p>
      <w:pPr>
        <w:ind w:right="240" w:firstLine="362"/>
        <w:spacing w:after="0" w:line="275" w:lineRule="auto"/>
        <w:rPr>
          <w:sz w:val="20"/>
          <w:szCs w:val="20"/>
          <w:color w:val="auto"/>
        </w:rPr>
      </w:pPr>
      <w:r>
        <w:rPr>
          <w:rFonts w:ascii="Arial" w:cs="Arial" w:eastAsia="Arial" w:hAnsi="Arial"/>
          <w:sz w:val="16"/>
          <w:szCs w:val="16"/>
          <w:color w:val="auto"/>
        </w:rPr>
        <w:t>The assets and liabilities of the discontinued operations reflected in the consolidated balance sheets as of June 30, 2021 and December 31, 2020, respectively, were as follows:</w:t>
      </w:r>
    </w:p>
    <w:tbl>
      <w:tblPr>
        <w:tblLayout w:type="fixed"/>
        <w:tblInd w:w="0" w:type="dxa"/>
        <w:tblCellMar>
          <w:top w:w="0" w:type="dxa"/>
          <w:left w:w="0" w:type="dxa"/>
          <w:bottom w:w="0" w:type="dxa"/>
          <w:right w:w="0" w:type="dxa"/>
        </w:tblCellMar>
      </w:tblPr>
      <w:tr>
        <w:trPr>
          <w:trHeight w:val="210"/>
        </w:trPr>
        <w:tc>
          <w:tcPr>
            <w:tcW w:w="56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w w:val="93"/>
              </w:rPr>
              <w:t>December 31,</w:t>
            </w:r>
          </w:p>
        </w:tc>
      </w:tr>
      <w:tr>
        <w:trPr>
          <w:trHeight w:val="205"/>
        </w:trPr>
        <w:tc>
          <w:tcPr>
            <w:tcW w:w="5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3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2020</w:t>
            </w:r>
          </w:p>
        </w:tc>
      </w:tr>
      <w:tr>
        <w:trPr>
          <w:trHeight w:val="197"/>
        </w:trPr>
        <w:tc>
          <w:tcPr>
            <w:tcW w:w="56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Assets</w:t>
            </w:r>
          </w:p>
        </w:tc>
        <w:tc>
          <w:tcPr>
            <w:tcW w:w="3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600" w:type="dxa"/>
            <w:vAlign w:val="bottom"/>
          </w:tcPr>
          <w:p>
            <w:pPr>
              <w:ind w:left="380"/>
              <w:spacing w:after="0" w:line="206" w:lineRule="exact"/>
              <w:rPr>
                <w:sz w:val="20"/>
                <w:szCs w:val="20"/>
                <w:color w:val="auto"/>
              </w:rPr>
            </w:pPr>
            <w:r>
              <w:rPr>
                <w:rFonts w:ascii="Arial" w:cs="Arial" w:eastAsia="Arial" w:hAnsi="Arial"/>
                <w:sz w:val="16"/>
                <w:szCs w:val="16"/>
                <w:color w:val="auto"/>
              </w:rPr>
              <w:t xml:space="preserve">Prepaid expenses and other </w:t>
            </w:r>
            <w:r>
              <w:rPr>
                <w:rFonts w:ascii="Arial" w:cs="Arial" w:eastAsia="Arial" w:hAnsi="Arial"/>
                <w:sz w:val="20"/>
                <w:szCs w:val="20"/>
                <w:color w:val="auto"/>
                <w:vertAlign w:val="superscript"/>
              </w:rPr>
              <w:t>(a)</w:t>
            </w:r>
          </w:p>
        </w:tc>
        <w:tc>
          <w:tcPr>
            <w:tcW w:w="33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0"/>
              <w:spacing w:after="0"/>
              <w:rPr>
                <w:sz w:val="20"/>
                <w:szCs w:val="20"/>
                <w:color w:val="auto"/>
              </w:rPr>
            </w:pPr>
            <w:r>
              <w:rPr>
                <w:rFonts w:ascii="Arial" w:cs="Arial" w:eastAsia="Arial" w:hAnsi="Arial"/>
                <w:sz w:val="16"/>
                <w:szCs w:val="16"/>
                <w:color w:val="auto"/>
              </w:rPr>
              <w:t>151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1,339</w:t>
            </w:r>
          </w:p>
        </w:tc>
      </w:tr>
      <w:tr>
        <w:trPr>
          <w:trHeight w:val="205"/>
        </w:trPr>
        <w:tc>
          <w:tcPr>
            <w:tcW w:w="5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33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151</w:t>
            </w: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1"/>
        </w:trPr>
        <w:tc>
          <w:tcPr>
            <w:tcW w:w="56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assets of discontinued operations</w:t>
            </w:r>
          </w:p>
        </w:tc>
        <w:tc>
          <w:tcPr>
            <w:tcW w:w="338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302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17"/>
        </w:trPr>
        <w:tc>
          <w:tcPr>
            <w:tcW w:w="56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5600" w:type="dxa"/>
            <w:vAlign w:val="bottom"/>
          </w:tcPr>
          <w:p>
            <w:pPr>
              <w:ind w:left="380"/>
              <w:spacing w:after="0"/>
              <w:rPr>
                <w:sz w:val="20"/>
                <w:szCs w:val="20"/>
                <w:color w:val="auto"/>
              </w:rPr>
            </w:pPr>
            <w:r>
              <w:rPr>
                <w:rFonts w:ascii="Arial" w:cs="Arial" w:eastAsia="Arial" w:hAnsi="Arial"/>
                <w:sz w:val="16"/>
                <w:szCs w:val="16"/>
                <w:b w:val="1"/>
                <w:bCs w:val="1"/>
                <w:color w:val="auto"/>
              </w:rPr>
              <w:t>Liabilities</w:t>
            </w:r>
          </w:p>
        </w:tc>
        <w:tc>
          <w:tcPr>
            <w:tcW w:w="3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5"/>
        </w:trPr>
        <w:tc>
          <w:tcPr>
            <w:tcW w:w="5600" w:type="dxa"/>
            <w:vAlign w:val="bottom"/>
            <w:tcBorders>
              <w:bottom w:val="single" w:sz="8" w:color="auto"/>
            </w:tcBorders>
            <w:shd w:val="clear" w:color="auto" w:fill="CCEEFF"/>
          </w:tcPr>
          <w:p>
            <w:pPr>
              <w:ind w:left="380"/>
              <w:spacing w:after="0" w:line="206" w:lineRule="exact"/>
              <w:rPr>
                <w:sz w:val="20"/>
                <w:szCs w:val="20"/>
                <w:color w:val="auto"/>
              </w:rPr>
            </w:pPr>
            <w:r>
              <w:rPr>
                <w:rFonts w:ascii="Arial" w:cs="Arial" w:eastAsia="Arial" w:hAnsi="Arial"/>
                <w:sz w:val="16"/>
                <w:szCs w:val="16"/>
                <w:color w:val="auto"/>
              </w:rPr>
              <w:t xml:space="preserve">Accrued expenses </w:t>
            </w:r>
            <w:r>
              <w:rPr>
                <w:rFonts w:ascii="Arial" w:cs="Arial" w:eastAsia="Arial" w:hAnsi="Arial"/>
                <w:sz w:val="20"/>
                <w:szCs w:val="20"/>
                <w:color w:val="auto"/>
                <w:vertAlign w:val="superscript"/>
              </w:rPr>
              <w:t>(a)</w:t>
            </w:r>
          </w:p>
        </w:tc>
        <w:tc>
          <w:tcPr>
            <w:tcW w:w="338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4"/>
              </w:rPr>
              <w:t>1,033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7,521</w:t>
            </w:r>
          </w:p>
        </w:tc>
      </w:tr>
    </w:tbl>
    <w:p>
      <w:pPr>
        <w:spacing w:after="0" w:line="4" w:lineRule="exact"/>
        <w:rPr>
          <w:sz w:val="20"/>
          <w:szCs w:val="20"/>
          <w:color w:val="auto"/>
        </w:rPr>
      </w:pPr>
    </w:p>
    <w:p>
      <w:pPr>
        <w:ind w:left="220" w:right="120" w:hanging="207"/>
        <w:spacing w:after="0" w:line="244"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consolidated balance sheet of discontinued operations as of June 30, 2021 includes $0.2 million of other receivables related to the settlement of customary post-closing adjustments, accrued severance of $0.6 million, and other miscellaneous accrued expenses of $0.4 million. The consolidated balance sheet of discontinued operations as of December 31, 2020 includes $0.4 million of other receivables related to the settlement of customary post-closing adjustments, deferred assets of $0.9 million and deferred obligations of $5.3 million related to transition services, accrued severance of $2.1 million, and other miscellaneous accrued expenses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1" w:name="page12"/>
    <w:bookmarkEnd w:id="11"/>
    <w:p>
      <w:pPr>
        <w:spacing w:after="0" w:line="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significant operating and investing cash flow information for discontinued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2"/>
          </w:tcPr>
          <w:p>
            <w:pPr>
              <w:ind w:left="700"/>
              <w:spacing w:after="0"/>
              <w:rPr>
                <w:sz w:val="20"/>
                <w:szCs w:val="20"/>
                <w:color w:val="auto"/>
              </w:rPr>
            </w:pPr>
            <w:r>
              <w:rPr>
                <w:rFonts w:ascii="Arial" w:cs="Arial" w:eastAsia="Arial" w:hAnsi="Arial"/>
                <w:sz w:val="16"/>
                <w:szCs w:val="16"/>
                <w:color w:val="auto"/>
                <w:w w:val="95"/>
              </w:rPr>
              <w:t>Six Months Ended June 30,</w:t>
            </w:r>
          </w:p>
        </w:tc>
        <w:tc>
          <w:tcPr>
            <w:tcW w:w="1080" w:type="dxa"/>
            <w:vAlign w:val="bottom"/>
            <w:tcBorders>
              <w:top w:val="single" w:sz="8" w:color="auto"/>
            </w:tcBorders>
          </w:tcPr>
          <w:p>
            <w:pPr>
              <w:spacing w:after="0"/>
              <w:rPr>
                <w:sz w:val="19"/>
                <w:szCs w:val="19"/>
                <w:color w:val="auto"/>
              </w:rPr>
            </w:pPr>
          </w:p>
        </w:tc>
      </w:tr>
      <w:tr>
        <w:trPr>
          <w:trHeight w:val="205"/>
        </w:trPr>
        <w:tc>
          <w:tcPr>
            <w:tcW w:w="47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8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40"/>
              <w:spacing w:after="0"/>
              <w:rPr>
                <w:sz w:val="20"/>
                <w:szCs w:val="20"/>
                <w:color w:val="auto"/>
              </w:rPr>
            </w:pPr>
            <w:r>
              <w:rPr>
                <w:rFonts w:ascii="Arial" w:cs="Arial" w:eastAsia="Arial" w:hAnsi="Arial"/>
                <w:sz w:val="16"/>
                <w:szCs w:val="16"/>
                <w:color w:val="auto"/>
              </w:rPr>
              <w:t>2021</w:t>
            </w: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2020</w:t>
            </w:r>
          </w:p>
        </w:tc>
      </w:tr>
      <w:tr>
        <w:trPr>
          <w:trHeight w:val="197"/>
        </w:trPr>
        <w:tc>
          <w:tcPr>
            <w:tcW w:w="47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Operating activities</w:t>
            </w:r>
          </w:p>
        </w:tc>
        <w:tc>
          <w:tcPr>
            <w:tcW w:w="28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5"/>
        </w:trPr>
        <w:tc>
          <w:tcPr>
            <w:tcW w:w="47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8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tcPr>
          <w:p>
            <w:pPr>
              <w:ind w:left="13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4,394</w:t>
            </w:r>
          </w:p>
        </w:tc>
      </w:tr>
      <w:tr>
        <w:trPr>
          <w:trHeight w:val="205"/>
        </w:trPr>
        <w:tc>
          <w:tcPr>
            <w:tcW w:w="4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Asset impairment</w:t>
            </w:r>
          </w:p>
        </w:tc>
        <w:tc>
          <w:tcPr>
            <w:tcW w:w="2820" w:type="dxa"/>
            <w:vAlign w:val="bottom"/>
            <w:shd w:val="clear" w:color="auto" w:fill="CCEEFF"/>
          </w:tcPr>
          <w:p>
            <w:pPr>
              <w:spacing w:after="0"/>
              <w:rPr>
                <w:sz w:val="17"/>
                <w:szCs w:val="17"/>
                <w:color w:val="auto"/>
              </w:rPr>
            </w:pPr>
          </w:p>
        </w:tc>
        <w:tc>
          <w:tcPr>
            <w:tcW w:w="184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5"/>
        </w:trPr>
        <w:tc>
          <w:tcPr>
            <w:tcW w:w="4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w:t>
            </w:r>
          </w:p>
        </w:tc>
        <w:tc>
          <w:tcPr>
            <w:tcW w:w="28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(1,118)</w:t>
            </w: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8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(1,118)</w:t>
            </w: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4,728</w:t>
            </w:r>
          </w:p>
        </w:tc>
      </w:tr>
      <w:tr>
        <w:trPr>
          <w:trHeight w:val="205"/>
        </w:trPr>
        <w:tc>
          <w:tcPr>
            <w:tcW w:w="4780" w:type="dxa"/>
            <w:vAlign w:val="bottom"/>
          </w:tcPr>
          <w:p>
            <w:pPr>
              <w:ind w:left="380"/>
              <w:spacing w:after="0"/>
              <w:rPr>
                <w:sz w:val="20"/>
                <w:szCs w:val="20"/>
                <w:color w:val="auto"/>
              </w:rPr>
            </w:pPr>
            <w:r>
              <w:rPr>
                <w:rFonts w:ascii="Arial" w:cs="Arial" w:eastAsia="Arial" w:hAnsi="Arial"/>
                <w:sz w:val="16"/>
                <w:szCs w:val="16"/>
                <w:b w:val="1"/>
                <w:bCs w:val="1"/>
                <w:color w:val="auto"/>
              </w:rPr>
              <w:t>Investing activities</w:t>
            </w:r>
          </w:p>
        </w:tc>
        <w:tc>
          <w:tcPr>
            <w:tcW w:w="2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4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Capital expenditures</w:t>
            </w:r>
          </w:p>
        </w:tc>
        <w:tc>
          <w:tcPr>
            <w:tcW w:w="28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Assets Held For Sale</w:t>
      </w:r>
    </w:p>
    <w:p>
      <w:pPr>
        <w:spacing w:after="0" w:line="85" w:lineRule="exact"/>
        <w:rPr>
          <w:sz w:val="20"/>
          <w:szCs w:val="20"/>
          <w:color w:val="auto"/>
        </w:rPr>
      </w:pPr>
    </w:p>
    <w:p>
      <w:pPr>
        <w:ind w:right="160" w:firstLine="362"/>
        <w:spacing w:after="0" w:line="283" w:lineRule="auto"/>
        <w:rPr>
          <w:sz w:val="20"/>
          <w:szCs w:val="20"/>
          <w:color w:val="auto"/>
        </w:rPr>
      </w:pPr>
      <w:r>
        <w:rPr>
          <w:rFonts w:ascii="Arial" w:cs="Arial" w:eastAsia="Arial" w:hAnsi="Arial"/>
          <w:sz w:val="15"/>
          <w:szCs w:val="15"/>
          <w:color w:val="auto"/>
        </w:rPr>
        <w:t>In July 2019, the Company committed to a plan to close its manufacturing facility in Lake Zurich, Illinois, which historically was reported by the Company within the Personal Care Films component of its PE Films segment. During the third quarter of 2020, the held for sale criteria was met since the Company expected the sale of the facility to be completed within one year. The disposal group carrying value of $4.6 million consists of land, building, and building improvements and is reported in "Prepaid expenses and other" in the consolidated balance sheet. These assets were not included as part of the sale of Personal Care Films.</w:t>
      </w:r>
    </w:p>
    <w:p>
      <w:pPr>
        <w:spacing w:after="0" w:line="39"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b w:val="1"/>
          <w:bCs w:val="1"/>
          <w:color w:val="auto"/>
        </w:rPr>
        <w:t>3</w:t>
        <w:tab/>
        <w:t>LONG-LIVED ASSETS &amp; GOODWILL IMPAIRMENT</w:t>
      </w:r>
    </w:p>
    <w:p>
      <w:pPr>
        <w:spacing w:after="0" w:line="97" w:lineRule="exact"/>
        <w:rPr>
          <w:sz w:val="20"/>
          <w:szCs w:val="20"/>
          <w:color w:val="auto"/>
        </w:rPr>
      </w:pPr>
    </w:p>
    <w:p>
      <w:pPr>
        <w:ind w:right="20" w:firstLine="362"/>
        <w:spacing w:after="0" w:line="265" w:lineRule="auto"/>
        <w:rPr>
          <w:sz w:val="20"/>
          <w:szCs w:val="20"/>
          <w:color w:val="auto"/>
        </w:rPr>
      </w:pPr>
      <w:r>
        <w:rPr>
          <w:rFonts w:ascii="Arial" w:cs="Arial" w:eastAsia="Arial" w:hAnsi="Arial"/>
          <w:sz w:val="16"/>
          <w:szCs w:val="16"/>
          <w:color w:val="auto"/>
        </w:rPr>
        <w:t>The Company assesses its long-lived assets for impairment when events and circumstances indicate that the carrying amount of the assets may not be recoverable. Long-lived assets consist primarily of buildings, machinery and equipment. During the three months ended June 30, 2021, the Company did not identify any indicators of impairment for long-lived assets.</w:t>
      </w:r>
    </w:p>
    <w:p>
      <w:pPr>
        <w:spacing w:after="0" w:line="42" w:lineRule="exact"/>
        <w:rPr>
          <w:sz w:val="20"/>
          <w:szCs w:val="20"/>
          <w:color w:val="auto"/>
        </w:rPr>
      </w:pPr>
    </w:p>
    <w:p>
      <w:pPr>
        <w:ind w:right="200" w:firstLine="362"/>
        <w:spacing w:after="0" w:line="261" w:lineRule="auto"/>
        <w:rPr>
          <w:sz w:val="20"/>
          <w:szCs w:val="20"/>
          <w:color w:val="auto"/>
        </w:rPr>
      </w:pPr>
      <w:r>
        <w:rPr>
          <w:rFonts w:ascii="Arial" w:cs="Arial" w:eastAsia="Arial" w:hAnsi="Arial"/>
          <w:sz w:val="16"/>
          <w:szCs w:val="16"/>
          <w:color w:val="auto"/>
        </w:rPr>
        <w:t>The Company annually assesses goodwill for impairment on December 1st of each year or more frequently when events or circumstances indicate that the carrying amount of a reporting unit that includes goodwill exceeds its fair value. The Company evaluated whether triggering events occurred during the three months ended June 30, 2021 and 2020 for all reporting units that include goodwill and determined no events or circumstances existed that indicated the fair value of the reporting units are below their carrying amounts.</w:t>
      </w:r>
    </w:p>
    <w:p>
      <w:pPr>
        <w:spacing w:after="0" w:line="56" w:lineRule="exact"/>
        <w:rPr>
          <w:sz w:val="20"/>
          <w:szCs w:val="20"/>
          <w:color w:val="auto"/>
        </w:rPr>
      </w:pPr>
    </w:p>
    <w:p>
      <w:pPr>
        <w:ind w:right="220" w:firstLine="362"/>
        <w:spacing w:after="0" w:line="320" w:lineRule="auto"/>
        <w:rPr>
          <w:sz w:val="20"/>
          <w:szCs w:val="20"/>
          <w:color w:val="auto"/>
        </w:rPr>
      </w:pPr>
      <w:r>
        <w:rPr>
          <w:rFonts w:ascii="Arial" w:cs="Arial" w:eastAsia="Arial" w:hAnsi="Arial"/>
          <w:sz w:val="14"/>
          <w:szCs w:val="14"/>
          <w:color w:val="auto"/>
        </w:rPr>
        <w:t>During the first three months of 2020, the Company determined that trigger events did occur for the Aluminum Extrusions’ reporting units created as a result of acquisitions in 2012 (“AACOA”) and in 2017 (“Futura”). As a result of the impairment testing performed, the Company recognized a goodwill impairment charge of $13.7 million ($10.5 million after taxes), which represented the entire amount of goodwill associated with the AACOA reporting unit. No impairment was identified for Futura.</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continues to monitor developments related to the coronavirus ("COVID-19") pandemic and may perform updated analyses during 2021 as necessary.</w:t>
      </w:r>
    </w:p>
    <w:p>
      <w:pPr>
        <w:spacing w:after="0" w:line="89"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b w:val="1"/>
          <w:bCs w:val="1"/>
          <w:color w:val="auto"/>
        </w:rPr>
        <w:t>4</w:t>
        <w:tab/>
        <w:t>INVENTORIES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components of inventories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304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6"/>
                <w:szCs w:val="16"/>
                <w:color w:val="auto"/>
              </w:rPr>
              <w:t>June 30, 2021</w:t>
            </w:r>
          </w:p>
        </w:tc>
        <w:tc>
          <w:tcPr>
            <w:tcW w:w="5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color w:val="auto"/>
              </w:rPr>
              <w:t>December 31, 2020</w:t>
            </w: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Finished goods</w:t>
            </w:r>
          </w:p>
        </w:tc>
        <w:tc>
          <w:tcPr>
            <w:tcW w:w="30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20,378</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15,251</w:t>
            </w:r>
          </w:p>
        </w:tc>
      </w:tr>
      <w:tr>
        <w:trPr>
          <w:trHeight w:val="205"/>
        </w:trPr>
        <w:tc>
          <w:tcPr>
            <w:tcW w:w="3780" w:type="dxa"/>
            <w:vAlign w:val="bottom"/>
          </w:tcPr>
          <w:p>
            <w:pPr>
              <w:ind w:left="380"/>
              <w:spacing w:after="0"/>
              <w:rPr>
                <w:sz w:val="20"/>
                <w:szCs w:val="20"/>
                <w:color w:val="auto"/>
              </w:rPr>
            </w:pPr>
            <w:r>
              <w:rPr>
                <w:rFonts w:ascii="Arial" w:cs="Arial" w:eastAsia="Arial" w:hAnsi="Arial"/>
                <w:sz w:val="16"/>
                <w:szCs w:val="16"/>
                <w:color w:val="auto"/>
              </w:rPr>
              <w:t>Work-in-process</w:t>
            </w:r>
          </w:p>
        </w:tc>
        <w:tc>
          <w:tcPr>
            <w:tcW w:w="3040" w:type="dxa"/>
            <w:vAlign w:val="bottom"/>
          </w:tcPr>
          <w:p>
            <w:pPr>
              <w:spacing w:after="0"/>
              <w:rPr>
                <w:sz w:val="17"/>
                <w:szCs w:val="17"/>
                <w:color w:val="auto"/>
              </w:rPr>
            </w:pP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12,271</w:t>
            </w:r>
          </w:p>
        </w:tc>
        <w:tc>
          <w:tcPr>
            <w:tcW w:w="5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9,098</w:t>
            </w:r>
          </w:p>
        </w:tc>
      </w:tr>
      <w:tr>
        <w:trPr>
          <w:trHeight w:val="205"/>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Raw materials</w:t>
            </w:r>
          </w:p>
        </w:tc>
        <w:tc>
          <w:tcPr>
            <w:tcW w:w="304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29,774</w:t>
            </w:r>
          </w:p>
        </w:tc>
        <w:tc>
          <w:tcPr>
            <w:tcW w:w="5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25,913</w:t>
            </w:r>
          </w:p>
        </w:tc>
      </w:tr>
      <w:tr>
        <w:trPr>
          <w:trHeight w:val="205"/>
        </w:trPr>
        <w:tc>
          <w:tcPr>
            <w:tcW w:w="37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Stores, supplies and other</w:t>
            </w:r>
          </w:p>
        </w:tc>
        <w:tc>
          <w:tcPr>
            <w:tcW w:w="30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18,738</w:t>
            </w:r>
          </w:p>
        </w:tc>
        <w:tc>
          <w:tcPr>
            <w:tcW w:w="5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16,175</w:t>
            </w:r>
          </w:p>
        </w:tc>
      </w:tr>
      <w:tr>
        <w:trPr>
          <w:trHeight w:val="201"/>
        </w:trPr>
        <w:tc>
          <w:tcPr>
            <w:tcW w:w="37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81,161</w:t>
            </w: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66,437</w:t>
            </w:r>
          </w:p>
        </w:tc>
      </w:tr>
      <w:tr>
        <w:trPr>
          <w:trHeight w:val="772"/>
        </w:trPr>
        <w:tc>
          <w:tcPr>
            <w:tcW w:w="3780" w:type="dxa"/>
            <w:vAlign w:val="bottom"/>
          </w:tcPr>
          <w:p>
            <w:pPr>
              <w:spacing w:after="0"/>
              <w:rPr>
                <w:sz w:val="24"/>
                <w:szCs w:val="24"/>
                <w:color w:val="auto"/>
              </w:rPr>
            </w:pPr>
          </w:p>
        </w:tc>
        <w:tc>
          <w:tcPr>
            <w:tcW w:w="3040" w:type="dxa"/>
            <w:vAlign w:val="bottom"/>
          </w:tcPr>
          <w:p>
            <w:pPr>
              <w:jc w:val="right"/>
              <w:ind w:right="1040"/>
              <w:spacing w:after="0"/>
              <w:rPr>
                <w:sz w:val="20"/>
                <w:szCs w:val="20"/>
                <w:color w:val="auto"/>
              </w:rPr>
            </w:pPr>
            <w:r>
              <w:rPr>
                <w:rFonts w:ascii="Arial" w:cs="Arial" w:eastAsia="Arial" w:hAnsi="Arial"/>
                <w:sz w:val="16"/>
                <w:szCs w:val="16"/>
                <w:color w:val="auto"/>
              </w:rPr>
              <w:t>12</w:t>
            </w: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tabs>
          <w:tab w:leader="none" w:pos="22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EARNINGS PER SHARE</w:t>
      </w:r>
    </w:p>
    <w:p>
      <w:pPr>
        <w:spacing w:after="0" w:line="85" w:lineRule="exact"/>
        <w:rPr>
          <w:sz w:val="20"/>
          <w:szCs w:val="20"/>
          <w:color w:val="auto"/>
        </w:rPr>
      </w:pPr>
    </w:p>
    <w:p>
      <w:pPr>
        <w:jc w:val="both"/>
        <w:ind w:right="140" w:firstLine="362"/>
        <w:spacing w:after="0" w:line="265" w:lineRule="auto"/>
        <w:rPr>
          <w:sz w:val="20"/>
          <w:szCs w:val="20"/>
          <w:color w:val="auto"/>
        </w:rPr>
      </w:pPr>
      <w:r>
        <w:rPr>
          <w:rFonts w:ascii="Arial" w:cs="Arial" w:eastAsia="Arial" w:hAnsi="Arial"/>
          <w:sz w:val="16"/>
          <w:szCs w:val="16"/>
          <w:color w:val="auto"/>
        </w:rPr>
        <w:t>Basic earnings per share is computed by dividing net income (loss) from continuing and discontinued operations by the weighted average number of shares of common stock outstanding. Diluted earnings per share is computed by dividing net income (loss) from continuing and discontinued operations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15"/>
        </w:trPr>
        <w:tc>
          <w:tcPr>
            <w:tcW w:w="550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2"/>
          </w:tcPr>
          <w:p>
            <w:pPr>
              <w:jc w:val="right"/>
              <w:ind w:right="940"/>
              <w:spacing w:after="0"/>
              <w:rPr>
                <w:sz w:val="20"/>
                <w:szCs w:val="20"/>
                <w:color w:val="auto"/>
              </w:rPr>
            </w:pPr>
            <w:r>
              <w:rPr>
                <w:rFonts w:ascii="Arial" w:cs="Arial" w:eastAsia="Arial" w:hAnsi="Arial"/>
                <w:sz w:val="16"/>
                <w:szCs w:val="16"/>
                <w:color w:val="auto"/>
              </w:rPr>
              <w:t>Three Months Ended</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Six Months Ended</w:t>
            </w: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tcPr>
          <w:p>
            <w:pPr>
              <w:jc w:val="right"/>
              <w:ind w:right="1340"/>
              <w:spacing w:after="0"/>
              <w:rPr>
                <w:sz w:val="20"/>
                <w:szCs w:val="20"/>
                <w:color w:val="auto"/>
              </w:rPr>
            </w:pPr>
            <w:r>
              <w:rPr>
                <w:rFonts w:ascii="Arial" w:cs="Arial" w:eastAsia="Arial" w:hAnsi="Arial"/>
                <w:sz w:val="16"/>
                <w:szCs w:val="16"/>
                <w:color w:val="auto"/>
                <w:w w:val="87"/>
              </w:rPr>
              <w:t>June 30,</w:t>
            </w:r>
          </w:p>
        </w:tc>
        <w:tc>
          <w:tcPr>
            <w:tcW w:w="1980" w:type="dxa"/>
            <w:vAlign w:val="bottom"/>
          </w:tcPr>
          <w:p>
            <w:pPr>
              <w:jc w:val="right"/>
              <w:ind w:right="260"/>
              <w:spacing w:after="0"/>
              <w:rPr>
                <w:sz w:val="20"/>
                <w:szCs w:val="20"/>
                <w:color w:val="auto"/>
              </w:rPr>
            </w:pPr>
            <w:r>
              <w:rPr>
                <w:rFonts w:ascii="Arial" w:cs="Arial" w:eastAsia="Arial" w:hAnsi="Arial"/>
                <w:sz w:val="16"/>
                <w:szCs w:val="16"/>
                <w:color w:val="auto"/>
              </w:rPr>
              <w:t>June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2021</w:t>
            </w:r>
          </w:p>
        </w:tc>
        <w:tc>
          <w:tcPr>
            <w:tcW w:w="198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2020</w:t>
            </w:r>
          </w:p>
        </w:tc>
        <w:tc>
          <w:tcPr>
            <w:tcW w:w="198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color w:val="auto"/>
              </w:rPr>
              <w:t>2021</w:t>
            </w: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4"/>
              </w:rPr>
              <w:t>2020</w:t>
            </w: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w w:val="96"/>
              </w:rPr>
              <w:t>Weighted average shares outstanding used to compute basic earnings per</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980" w:type="dxa"/>
            <w:vAlign w:val="bottom"/>
            <w:vMerge w:val="restart"/>
            <w:shd w:val="clear" w:color="auto" w:fill="CCEEFF"/>
          </w:tcPr>
          <w:p>
            <w:pPr>
              <w:jc w:val="right"/>
              <w:ind w:right="380"/>
              <w:spacing w:after="0"/>
              <w:rPr>
                <w:sz w:val="20"/>
                <w:szCs w:val="20"/>
                <w:color w:val="auto"/>
              </w:rPr>
            </w:pPr>
            <w:r>
              <w:rPr>
                <w:rFonts w:ascii="Arial" w:cs="Arial" w:eastAsia="Arial" w:hAnsi="Arial"/>
                <w:sz w:val="16"/>
                <w:szCs w:val="16"/>
                <w:color w:val="auto"/>
              </w:rPr>
              <w:t>33,435</w:t>
            </w:r>
          </w:p>
        </w:tc>
        <w:tc>
          <w:tcPr>
            <w:tcW w:w="1980" w:type="dxa"/>
            <w:vAlign w:val="bottom"/>
            <w:vMerge w:val="restart"/>
            <w:shd w:val="clear" w:color="auto" w:fill="CCEEFF"/>
          </w:tcPr>
          <w:p>
            <w:pPr>
              <w:jc w:val="right"/>
              <w:ind w:right="820"/>
              <w:spacing w:after="0"/>
              <w:rPr>
                <w:sz w:val="20"/>
                <w:szCs w:val="20"/>
                <w:color w:val="auto"/>
              </w:rPr>
            </w:pPr>
            <w:r>
              <w:rPr>
                <w:rFonts w:ascii="Arial" w:cs="Arial" w:eastAsia="Arial" w:hAnsi="Arial"/>
                <w:sz w:val="16"/>
                <w:szCs w:val="16"/>
                <w:color w:val="auto"/>
              </w:rPr>
              <w:t>33,500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33,374</w:t>
            </w: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100" w:type="dxa"/>
            <w:vAlign w:val="bottom"/>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380"/>
              <w:spacing w:after="0" w:line="157" w:lineRule="exact"/>
              <w:rPr>
                <w:sz w:val="20"/>
                <w:szCs w:val="20"/>
                <w:color w:val="auto"/>
              </w:rPr>
            </w:pPr>
            <w:r>
              <w:rPr>
                <w:rFonts w:ascii="Arial" w:cs="Arial" w:eastAsia="Arial" w:hAnsi="Arial"/>
                <w:sz w:val="16"/>
                <w:szCs w:val="16"/>
                <w:color w:val="auto"/>
              </w:rPr>
              <w:t>Incremental dilutive shares attributable to stock options and restricted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1980" w:type="dxa"/>
            <w:vAlign w:val="bottom"/>
            <w:vMerge w:val="restart"/>
          </w:tcPr>
          <w:p>
            <w:pPr>
              <w:jc w:val="right"/>
              <w:ind w:right="380"/>
              <w:spacing w:after="0"/>
              <w:rPr>
                <w:sz w:val="20"/>
                <w:szCs w:val="20"/>
                <w:color w:val="auto"/>
              </w:rPr>
            </w:pPr>
            <w:r>
              <w:rPr>
                <w:rFonts w:ascii="Arial" w:cs="Arial" w:eastAsia="Arial" w:hAnsi="Arial"/>
                <w:sz w:val="16"/>
                <w:szCs w:val="16"/>
                <w:color w:val="auto"/>
              </w:rPr>
              <w:t>1</w:t>
            </w:r>
          </w:p>
        </w:tc>
        <w:tc>
          <w:tcPr>
            <w:tcW w:w="1980" w:type="dxa"/>
            <w:vAlign w:val="bottom"/>
            <w:vMerge w:val="restart"/>
          </w:tcPr>
          <w:p>
            <w:pPr>
              <w:jc w:val="right"/>
              <w:ind w:right="820"/>
              <w:spacing w:after="0"/>
              <w:rPr>
                <w:sz w:val="20"/>
                <w:szCs w:val="20"/>
                <w:color w:val="auto"/>
              </w:rPr>
            </w:pPr>
            <w:r>
              <w:rPr>
                <w:rFonts w:ascii="Arial" w:cs="Arial" w:eastAsia="Arial" w:hAnsi="Arial"/>
                <w:sz w:val="16"/>
                <w:szCs w:val="16"/>
                <w:color w:val="auto"/>
              </w:rPr>
              <w:t>192</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w:t>
            </w:r>
          </w:p>
        </w:tc>
        <w:tc>
          <w:tcPr>
            <w:tcW w:w="11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Shares used to compute diluted earnings per share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33,740</w:t>
            </w:r>
          </w:p>
        </w:tc>
        <w:tc>
          <w:tcPr>
            <w:tcW w:w="19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33,436</w:t>
            </w:r>
          </w:p>
        </w:tc>
        <w:tc>
          <w:tcPr>
            <w:tcW w:w="198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33,692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33,374</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180" w:firstLine="362"/>
        <w:spacing w:after="0" w:line="276" w:lineRule="auto"/>
        <w:rPr>
          <w:sz w:val="20"/>
          <w:szCs w:val="20"/>
          <w:color w:val="auto"/>
        </w:rPr>
      </w:pPr>
      <w:r>
        <w:rPr>
          <w:rFonts w:ascii="Arial" w:cs="Arial" w:eastAsia="Arial" w:hAnsi="Arial"/>
          <w:sz w:val="15"/>
          <w:szCs w:val="15"/>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996,400 and 703,958, respectively, for the three and six months ended June 30, 2021. The Company had a net loss from continuing operations for the six months ended June 30, 2020, so there was no dilutive impact for such shares. For the three months ended June 30, 2020, average out-of-the-money options to purchase shares that were excluded from the calculation of incremental shares attributable to stock options and restricted stock were 1,567,709. If the Company had reported net income from continuing operations for the six months ended June 30, 2020, average out-of-the-money options to purchase shares that would have been excluded from the calculation of incremental shares attributable to stock options and restricted stock would have been 1,125,203.</w:t>
      </w:r>
    </w:p>
    <w:p>
      <w:pPr>
        <w:spacing w:after="0" w:line="43"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b w:val="1"/>
          <w:bCs w:val="1"/>
          <w:color w:val="auto"/>
        </w:rPr>
        <w:t>6</w:t>
        <w:tab/>
        <w:t>ACCUMULATED OTHER COMPREHENSIVE INCOME (LOSS)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after-tax changes in accumulated other comprehensive income (loss) for the six months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00"/>
              <w:spacing w:after="0" w:line="181" w:lineRule="exact"/>
              <w:rPr>
                <w:sz w:val="20"/>
                <w:szCs w:val="20"/>
                <w:color w:val="auto"/>
              </w:rPr>
            </w:pPr>
            <w:r>
              <w:rPr>
                <w:rFonts w:ascii="Arial" w:cs="Arial" w:eastAsia="Arial" w:hAnsi="Arial"/>
                <w:sz w:val="16"/>
                <w:szCs w:val="16"/>
                <w:color w:val="auto"/>
              </w:rPr>
              <w:t>Foreign</w:t>
            </w:r>
          </w:p>
        </w:tc>
        <w:tc>
          <w:tcPr>
            <w:tcW w:w="5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ind w:left="160"/>
              <w:spacing w:after="0" w:line="181" w:lineRule="exact"/>
              <w:rPr>
                <w:sz w:val="20"/>
                <w:szCs w:val="20"/>
                <w:color w:val="auto"/>
              </w:rPr>
            </w:pPr>
            <w:r>
              <w:rPr>
                <w:rFonts w:ascii="Arial" w:cs="Arial" w:eastAsia="Arial" w:hAnsi="Arial"/>
                <w:sz w:val="16"/>
                <w:szCs w:val="16"/>
                <w:color w:val="auto"/>
              </w:rPr>
              <w:t>Gain (loss) on</w:t>
            </w:r>
          </w:p>
        </w:tc>
        <w:tc>
          <w:tcPr>
            <w:tcW w:w="4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vMerge w:val="restart"/>
          </w:tcPr>
          <w:p>
            <w:pPr>
              <w:jc w:val="right"/>
              <w:ind w:right="340"/>
              <w:spacing w:after="0"/>
              <w:rPr>
                <w:sz w:val="20"/>
                <w:szCs w:val="20"/>
                <w:color w:val="auto"/>
              </w:rPr>
            </w:pPr>
            <w:r>
              <w:rPr>
                <w:rFonts w:ascii="Arial" w:cs="Arial" w:eastAsia="Arial" w:hAnsi="Arial"/>
                <w:sz w:val="16"/>
                <w:szCs w:val="16"/>
                <w:color w:val="auto"/>
                <w:w w:val="89"/>
              </w:rPr>
              <w:t>Pension and other</w:t>
            </w:r>
          </w:p>
        </w:tc>
        <w:tc>
          <w:tcPr>
            <w:tcW w:w="5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right="420"/>
              <w:spacing w:after="0" w:line="157" w:lineRule="exact"/>
              <w:rPr>
                <w:sz w:val="20"/>
                <w:szCs w:val="20"/>
                <w:color w:val="auto"/>
              </w:rPr>
            </w:pPr>
            <w:r>
              <w:rPr>
                <w:rFonts w:ascii="Arial" w:cs="Arial" w:eastAsia="Arial" w:hAnsi="Arial"/>
                <w:sz w:val="16"/>
                <w:szCs w:val="16"/>
                <w:color w:val="auto"/>
                <w:w w:val="91"/>
              </w:rPr>
              <w:t>currency</w:t>
            </w:r>
          </w:p>
        </w:tc>
        <w:tc>
          <w:tcPr>
            <w:tcW w:w="580" w:type="dxa"/>
            <w:vAlign w:val="bottom"/>
          </w:tcPr>
          <w:p>
            <w:pPr>
              <w:spacing w:after="0"/>
              <w:rPr>
                <w:sz w:val="13"/>
                <w:szCs w:val="13"/>
                <w:color w:val="auto"/>
              </w:rPr>
            </w:pPr>
          </w:p>
        </w:tc>
        <w:tc>
          <w:tcPr>
            <w:tcW w:w="1500" w:type="dxa"/>
            <w:vAlign w:val="bottom"/>
          </w:tcPr>
          <w:p>
            <w:pPr>
              <w:jc w:val="center"/>
              <w:ind w:right="560"/>
              <w:spacing w:after="0" w:line="157" w:lineRule="exact"/>
              <w:rPr>
                <w:sz w:val="20"/>
                <w:szCs w:val="20"/>
                <w:color w:val="auto"/>
              </w:rPr>
            </w:pPr>
            <w:r>
              <w:rPr>
                <w:rFonts w:ascii="Arial" w:cs="Arial" w:eastAsia="Arial" w:hAnsi="Arial"/>
                <w:sz w:val="16"/>
                <w:szCs w:val="16"/>
                <w:color w:val="auto"/>
                <w:w w:val="96"/>
              </w:rPr>
              <w:t>derivative</w:t>
            </w:r>
          </w:p>
        </w:tc>
        <w:tc>
          <w:tcPr>
            <w:tcW w:w="4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4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360" w:type="dxa"/>
            <w:vAlign w:val="bottom"/>
          </w:tcPr>
          <w:p>
            <w:pPr>
              <w:spacing w:after="0"/>
              <w:rPr>
                <w:sz w:val="13"/>
                <w:szCs w:val="13"/>
                <w:color w:val="auto"/>
              </w:rPr>
            </w:pPr>
          </w:p>
        </w:tc>
        <w:tc>
          <w:tcPr>
            <w:tcW w:w="1300" w:type="dxa"/>
            <w:vAlign w:val="bottom"/>
          </w:tcPr>
          <w:p>
            <w:pPr>
              <w:jc w:val="center"/>
              <w:ind w:right="420"/>
              <w:spacing w:after="0" w:line="157" w:lineRule="exact"/>
              <w:rPr>
                <w:sz w:val="20"/>
                <w:szCs w:val="20"/>
                <w:color w:val="auto"/>
              </w:rPr>
            </w:pPr>
            <w:r>
              <w:rPr>
                <w:rFonts w:ascii="Arial" w:cs="Arial" w:eastAsia="Arial" w:hAnsi="Arial"/>
                <w:sz w:val="16"/>
                <w:szCs w:val="16"/>
                <w:color w:val="auto"/>
                <w:w w:val="92"/>
              </w:rPr>
              <w:t>translation</w:t>
            </w:r>
          </w:p>
        </w:tc>
        <w:tc>
          <w:tcPr>
            <w:tcW w:w="580" w:type="dxa"/>
            <w:vAlign w:val="bottom"/>
          </w:tcPr>
          <w:p>
            <w:pPr>
              <w:spacing w:after="0"/>
              <w:rPr>
                <w:sz w:val="13"/>
                <w:szCs w:val="13"/>
                <w:color w:val="auto"/>
              </w:rPr>
            </w:pPr>
          </w:p>
        </w:tc>
        <w:tc>
          <w:tcPr>
            <w:tcW w:w="1500" w:type="dxa"/>
            <w:vAlign w:val="bottom"/>
          </w:tcPr>
          <w:p>
            <w:pPr>
              <w:jc w:val="center"/>
              <w:ind w:right="560"/>
              <w:spacing w:after="0" w:line="157" w:lineRule="exact"/>
              <w:rPr>
                <w:sz w:val="20"/>
                <w:szCs w:val="20"/>
                <w:color w:val="auto"/>
              </w:rPr>
            </w:pPr>
            <w:r>
              <w:rPr>
                <w:rFonts w:ascii="Arial" w:cs="Arial" w:eastAsia="Arial" w:hAnsi="Arial"/>
                <w:sz w:val="16"/>
                <w:szCs w:val="16"/>
                <w:color w:val="auto"/>
                <w:w w:val="98"/>
              </w:rPr>
              <w:t>financial</w:t>
            </w:r>
          </w:p>
        </w:tc>
        <w:tc>
          <w:tcPr>
            <w:tcW w:w="2060" w:type="dxa"/>
            <w:vAlign w:val="bottom"/>
            <w:gridSpan w:val="2"/>
          </w:tcPr>
          <w:p>
            <w:pPr>
              <w:jc w:val="right"/>
              <w:ind w:right="360"/>
              <w:spacing w:after="0" w:line="157" w:lineRule="exact"/>
              <w:rPr>
                <w:sz w:val="20"/>
                <w:szCs w:val="20"/>
                <w:color w:val="auto"/>
              </w:rPr>
            </w:pPr>
            <w:r>
              <w:rPr>
                <w:rFonts w:ascii="Arial" w:cs="Arial" w:eastAsia="Arial" w:hAnsi="Arial"/>
                <w:sz w:val="16"/>
                <w:szCs w:val="16"/>
                <w:color w:val="auto"/>
                <w:w w:val="99"/>
              </w:rPr>
              <w:t>post-retirement benefit</w:t>
            </w:r>
          </w:p>
        </w:tc>
        <w:tc>
          <w:tcPr>
            <w:tcW w:w="540" w:type="dxa"/>
            <w:vAlign w:val="bottom"/>
          </w:tcPr>
          <w:p>
            <w:pPr>
              <w:spacing w:after="0"/>
              <w:rPr>
                <w:sz w:val="13"/>
                <w:szCs w:val="13"/>
                <w:color w:val="auto"/>
              </w:rPr>
            </w:pPr>
          </w:p>
        </w:tc>
        <w:tc>
          <w:tcPr>
            <w:tcW w:w="1080" w:type="dxa"/>
            <w:vAlign w:val="bottom"/>
            <w:vMerge w:val="restart"/>
          </w:tcPr>
          <w:p>
            <w:pPr>
              <w:jc w:val="right"/>
              <w:ind w:right="4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20"/>
              <w:spacing w:after="0"/>
              <w:rPr>
                <w:sz w:val="20"/>
                <w:szCs w:val="20"/>
                <w:color w:val="auto"/>
              </w:rPr>
            </w:pPr>
            <w:r>
              <w:rPr>
                <w:rFonts w:ascii="Arial" w:cs="Arial" w:eastAsia="Arial" w:hAnsi="Arial"/>
                <w:sz w:val="16"/>
                <w:szCs w:val="16"/>
                <w:color w:val="auto"/>
                <w:w w:val="91"/>
              </w:rPr>
              <w:t>adjustment</w:t>
            </w:r>
          </w:p>
        </w:tc>
        <w:tc>
          <w:tcPr>
            <w:tcW w:w="5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560"/>
              <w:spacing w:after="0"/>
              <w:rPr>
                <w:sz w:val="20"/>
                <w:szCs w:val="20"/>
                <w:color w:val="auto"/>
              </w:rPr>
            </w:pPr>
            <w:r>
              <w:rPr>
                <w:rFonts w:ascii="Arial" w:cs="Arial" w:eastAsia="Arial" w:hAnsi="Arial"/>
                <w:sz w:val="16"/>
                <w:szCs w:val="16"/>
                <w:color w:val="auto"/>
                <w:w w:val="89"/>
              </w:rPr>
              <w:t>instruments</w:t>
            </w: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w w:val="92"/>
              </w:rPr>
              <w:t>adjustments</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Beginning balance, January 1, 2021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center"/>
              <w:ind w:left="660"/>
              <w:spacing w:after="0"/>
              <w:rPr>
                <w:sz w:val="20"/>
                <w:szCs w:val="20"/>
                <w:color w:val="auto"/>
              </w:rPr>
            </w:pPr>
            <w:r>
              <w:rPr>
                <w:rFonts w:ascii="Arial" w:cs="Arial" w:eastAsia="Arial" w:hAnsi="Arial"/>
                <w:sz w:val="16"/>
                <w:szCs w:val="16"/>
                <w:color w:val="auto"/>
                <w:w w:val="89"/>
              </w:rPr>
              <w:t>2,264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(96,519)</w:t>
            </w:r>
          </w:p>
        </w:tc>
        <w:tc>
          <w:tcPr>
            <w:tcW w:w="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(178,404)</w:t>
            </w:r>
          </w:p>
        </w:tc>
        <w:tc>
          <w:tcPr>
            <w:tcW w:w="0" w:type="dxa"/>
            <w:vAlign w:val="bottom"/>
          </w:tcPr>
          <w:p>
            <w:pPr>
              <w:spacing w:after="0"/>
              <w:rPr>
                <w:sz w:val="1"/>
                <w:szCs w:val="1"/>
                <w:color w:val="auto"/>
              </w:rPr>
            </w:pPr>
          </w:p>
        </w:tc>
      </w:tr>
      <w:tr>
        <w:trPr>
          <w:trHeight w:val="157"/>
        </w:trPr>
        <w:tc>
          <w:tcPr>
            <w:tcW w:w="3840" w:type="dxa"/>
            <w:vAlign w:val="bottom"/>
          </w:tcPr>
          <w:p>
            <w:pPr>
              <w:ind w:left="560"/>
              <w:spacing w:after="0" w:line="157" w:lineRule="exact"/>
              <w:rPr>
                <w:sz w:val="20"/>
                <w:szCs w:val="20"/>
                <w:color w:val="auto"/>
              </w:rPr>
            </w:pPr>
            <w:r>
              <w:rPr>
                <w:rFonts w:ascii="Arial" w:cs="Arial" w:eastAsia="Arial" w:hAnsi="Arial"/>
                <w:sz w:val="16"/>
                <w:szCs w:val="16"/>
                <w:color w:val="auto"/>
              </w:rPr>
              <w:t>Other comprehensive income (loss) before</w:t>
            </w:r>
          </w:p>
        </w:tc>
        <w:tc>
          <w:tcPr>
            <w:tcW w:w="36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1,345</w:t>
            </w:r>
          </w:p>
        </w:tc>
        <w:tc>
          <w:tcPr>
            <w:tcW w:w="580" w:type="dxa"/>
            <w:vAlign w:val="bottom"/>
          </w:tcPr>
          <w:p>
            <w:pPr>
              <w:spacing w:after="0"/>
              <w:rPr>
                <w:sz w:val="13"/>
                <w:szCs w:val="13"/>
                <w:color w:val="auto"/>
              </w:rPr>
            </w:pPr>
          </w:p>
        </w:tc>
        <w:tc>
          <w:tcPr>
            <w:tcW w:w="1500" w:type="dxa"/>
            <w:vAlign w:val="bottom"/>
            <w:vMerge w:val="restart"/>
          </w:tcPr>
          <w:p>
            <w:pPr>
              <w:jc w:val="center"/>
              <w:ind w:left="660"/>
              <w:spacing w:after="0"/>
              <w:rPr>
                <w:sz w:val="20"/>
                <w:szCs w:val="20"/>
                <w:color w:val="auto"/>
              </w:rPr>
            </w:pPr>
            <w:r>
              <w:rPr>
                <w:rFonts w:ascii="Arial" w:cs="Arial" w:eastAsia="Arial" w:hAnsi="Arial"/>
                <w:sz w:val="16"/>
                <w:szCs w:val="16"/>
                <w:color w:val="auto"/>
                <w:w w:val="89"/>
              </w:rPr>
              <w:t>2,724</w:t>
            </w:r>
          </w:p>
        </w:tc>
        <w:tc>
          <w:tcPr>
            <w:tcW w:w="460" w:type="dxa"/>
            <w:vAlign w:val="bottom"/>
          </w:tcPr>
          <w:p>
            <w:pPr>
              <w:spacing w:after="0"/>
              <w:rPr>
                <w:sz w:val="13"/>
                <w:szCs w:val="13"/>
                <w:color w:val="auto"/>
              </w:rPr>
            </w:pPr>
          </w:p>
        </w:tc>
        <w:tc>
          <w:tcPr>
            <w:tcW w:w="1600" w:type="dxa"/>
            <w:vAlign w:val="bottom"/>
            <w:vMerge w:val="restart"/>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205"/>
        </w:trPr>
        <w:tc>
          <w:tcPr>
            <w:tcW w:w="3840" w:type="dxa"/>
            <w:vAlign w:val="bottom"/>
          </w:tcPr>
          <w:p>
            <w:pPr>
              <w:ind w:left="200"/>
              <w:spacing w:after="0"/>
              <w:rPr>
                <w:sz w:val="20"/>
                <w:szCs w:val="20"/>
                <w:color w:val="auto"/>
              </w:rPr>
            </w:pPr>
            <w:r>
              <w:rPr>
                <w:rFonts w:ascii="Arial" w:cs="Arial" w:eastAsia="Arial" w:hAnsi="Arial"/>
                <w:sz w:val="16"/>
                <w:szCs w:val="16"/>
                <w:color w:val="auto"/>
              </w:rPr>
              <w:t>reclassifications</w:t>
            </w:r>
          </w:p>
        </w:tc>
        <w:tc>
          <w:tcPr>
            <w:tcW w:w="3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ind w:left="560"/>
              <w:spacing w:after="0" w:line="157" w:lineRule="exact"/>
              <w:rPr>
                <w:sz w:val="20"/>
                <w:szCs w:val="20"/>
                <w:color w:val="auto"/>
              </w:rPr>
            </w:pPr>
            <w:r>
              <w:rPr>
                <w:rFonts w:ascii="Arial" w:cs="Arial" w:eastAsia="Arial" w:hAnsi="Arial"/>
                <w:sz w:val="16"/>
                <w:szCs w:val="16"/>
                <w:color w:val="auto"/>
              </w:rPr>
              <w:t>Amounts reclassified from accumulated other</w:t>
            </w:r>
          </w:p>
        </w:tc>
        <w:tc>
          <w:tcPr>
            <w:tcW w:w="3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center"/>
              <w:ind w:left="620"/>
              <w:spacing w:after="0"/>
              <w:rPr>
                <w:sz w:val="20"/>
                <w:szCs w:val="20"/>
                <w:color w:val="auto"/>
              </w:rPr>
            </w:pPr>
            <w:r>
              <w:rPr>
                <w:rFonts w:ascii="Arial" w:cs="Arial" w:eastAsia="Arial" w:hAnsi="Arial"/>
                <w:sz w:val="16"/>
                <w:szCs w:val="16"/>
                <w:color w:val="auto"/>
                <w:w w:val="94"/>
              </w:rPr>
              <w:t>(1,492)</w:t>
            </w:r>
          </w:p>
        </w:tc>
        <w:tc>
          <w:tcPr>
            <w:tcW w:w="4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6,637</w:t>
            </w:r>
          </w:p>
        </w:tc>
        <w:tc>
          <w:tcPr>
            <w:tcW w:w="5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480"/>
              <w:spacing w:after="0" w:line="149" w:lineRule="exact"/>
              <w:rPr>
                <w:sz w:val="20"/>
                <w:szCs w:val="20"/>
                <w:color w:val="auto"/>
              </w:rPr>
            </w:pPr>
            <w:r>
              <w:rPr>
                <w:rFonts w:ascii="Arial" w:cs="Arial" w:eastAsia="Arial" w:hAnsi="Arial"/>
                <w:sz w:val="16"/>
                <w:szCs w:val="16"/>
                <w:color w:val="auto"/>
                <w:w w:val="97"/>
              </w:rPr>
              <w:t>Net other comprehensive income (loss) - current</w:t>
            </w:r>
          </w:p>
        </w:tc>
        <w:tc>
          <w:tcPr>
            <w:tcW w:w="3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1,345</w:t>
            </w:r>
          </w:p>
        </w:tc>
        <w:tc>
          <w:tcPr>
            <w:tcW w:w="580" w:type="dxa"/>
            <w:vAlign w:val="bottom"/>
          </w:tcPr>
          <w:p>
            <w:pPr>
              <w:spacing w:after="0"/>
              <w:rPr>
                <w:sz w:val="12"/>
                <w:szCs w:val="12"/>
                <w:color w:val="auto"/>
              </w:rPr>
            </w:pPr>
          </w:p>
        </w:tc>
        <w:tc>
          <w:tcPr>
            <w:tcW w:w="1500" w:type="dxa"/>
            <w:vAlign w:val="bottom"/>
            <w:vMerge w:val="restart"/>
          </w:tcPr>
          <w:p>
            <w:pPr>
              <w:jc w:val="center"/>
              <w:ind w:left="660"/>
              <w:spacing w:after="0"/>
              <w:rPr>
                <w:sz w:val="20"/>
                <w:szCs w:val="20"/>
                <w:color w:val="auto"/>
              </w:rPr>
            </w:pPr>
            <w:r>
              <w:rPr>
                <w:rFonts w:ascii="Arial" w:cs="Arial" w:eastAsia="Arial" w:hAnsi="Arial"/>
                <w:sz w:val="16"/>
                <w:szCs w:val="16"/>
                <w:color w:val="auto"/>
                <w:w w:val="89"/>
              </w:rPr>
              <w:t>1,232</w:t>
            </w:r>
          </w:p>
        </w:tc>
        <w:tc>
          <w:tcPr>
            <w:tcW w:w="460" w:type="dxa"/>
            <w:vAlign w:val="bottom"/>
          </w:tcPr>
          <w:p>
            <w:pPr>
              <w:spacing w:after="0"/>
              <w:rPr>
                <w:sz w:val="12"/>
                <w:szCs w:val="12"/>
                <w:color w:val="auto"/>
              </w:rPr>
            </w:pPr>
          </w:p>
        </w:tc>
        <w:tc>
          <w:tcPr>
            <w:tcW w:w="1600" w:type="dxa"/>
            <w:vAlign w:val="bottom"/>
            <w:vMerge w:val="restart"/>
          </w:tcPr>
          <w:p>
            <w:pPr>
              <w:jc w:val="right"/>
              <w:ind w:right="220"/>
              <w:spacing w:after="0"/>
              <w:rPr>
                <w:sz w:val="20"/>
                <w:szCs w:val="20"/>
                <w:color w:val="auto"/>
              </w:rPr>
            </w:pPr>
            <w:r>
              <w:rPr>
                <w:rFonts w:ascii="Arial" w:cs="Arial" w:eastAsia="Arial" w:hAnsi="Arial"/>
                <w:sz w:val="16"/>
                <w:szCs w:val="16"/>
                <w:color w:val="auto"/>
              </w:rPr>
              <w:t>6,637</w:t>
            </w:r>
          </w:p>
        </w:tc>
        <w:tc>
          <w:tcPr>
            <w:tcW w:w="5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9,214</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period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Ending balance, June 30, 2021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center"/>
              <w:ind w:left="660"/>
              <w:spacing w:after="0"/>
              <w:rPr>
                <w:sz w:val="20"/>
                <w:szCs w:val="20"/>
                <w:color w:val="auto"/>
              </w:rPr>
            </w:pPr>
            <w:r>
              <w:rPr>
                <w:rFonts w:ascii="Arial" w:cs="Arial" w:eastAsia="Arial" w:hAnsi="Arial"/>
                <w:sz w:val="16"/>
                <w:szCs w:val="16"/>
                <w:color w:val="auto"/>
                <w:w w:val="89"/>
              </w:rPr>
              <w:t>3,496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(89,882)</w:t>
            </w:r>
          </w:p>
        </w:tc>
        <w:tc>
          <w:tcPr>
            <w:tcW w:w="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(169,190)</w:t>
            </w:r>
          </w:p>
        </w:tc>
        <w:tc>
          <w:tcPr>
            <w:tcW w:w="0" w:type="dxa"/>
            <w:vAlign w:val="bottom"/>
          </w:tcPr>
          <w:p>
            <w:pPr>
              <w:spacing w:after="0"/>
              <w:rPr>
                <w:sz w:val="1"/>
                <w:szCs w:val="1"/>
                <w:color w:val="auto"/>
              </w:rPr>
            </w:pPr>
          </w:p>
        </w:tc>
      </w:tr>
      <w:tr>
        <w:trPr>
          <w:trHeight w:val="772"/>
        </w:trPr>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13" w:name="page14"/>
    <w:bookmarkEnd w:id="13"/>
    <w:p>
      <w:pPr>
        <w:ind w:left="363"/>
        <w:spacing w:after="0"/>
        <w:rPr>
          <w:sz w:val="20"/>
          <w:szCs w:val="20"/>
          <w:color w:val="auto"/>
        </w:rPr>
      </w:pPr>
      <w:r>
        <w:rPr>
          <w:rFonts w:ascii="Arial" w:cs="Arial" w:eastAsia="Arial" w:hAnsi="Arial"/>
          <w:sz w:val="16"/>
          <w:szCs w:val="16"/>
          <w:color w:val="auto"/>
        </w:rPr>
        <w:t>The following table summarizes the after-tax changes in accumulated other comprehensive income (loss) for the six months ended June 30, 2020:</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8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620"/>
              <w:spacing w:after="0" w:line="181" w:lineRule="exact"/>
              <w:rPr>
                <w:sz w:val="20"/>
                <w:szCs w:val="20"/>
                <w:color w:val="auto"/>
              </w:rPr>
            </w:pPr>
            <w:r>
              <w:rPr>
                <w:rFonts w:ascii="Arial" w:cs="Arial" w:eastAsia="Arial" w:hAnsi="Arial"/>
                <w:sz w:val="16"/>
                <w:szCs w:val="16"/>
                <w:color w:val="auto"/>
              </w:rPr>
              <w:t>Foreign</w:t>
            </w:r>
          </w:p>
        </w:tc>
        <w:tc>
          <w:tcPr>
            <w:tcW w:w="3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ind w:left="120"/>
              <w:spacing w:after="0" w:line="181" w:lineRule="exact"/>
              <w:rPr>
                <w:sz w:val="20"/>
                <w:szCs w:val="20"/>
                <w:color w:val="auto"/>
              </w:rPr>
            </w:pPr>
            <w:r>
              <w:rPr>
                <w:rFonts w:ascii="Arial" w:cs="Arial" w:eastAsia="Arial" w:hAnsi="Arial"/>
                <w:sz w:val="16"/>
                <w:szCs w:val="16"/>
                <w:color w:val="auto"/>
              </w:rPr>
              <w:t>Gain (loss) on</w:t>
            </w:r>
          </w:p>
        </w:tc>
        <w:tc>
          <w:tcPr>
            <w:tcW w:w="4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vMerge w:val="restart"/>
          </w:tcPr>
          <w:p>
            <w:pPr>
              <w:jc w:val="right"/>
              <w:ind w:right="340"/>
              <w:spacing w:after="0"/>
              <w:rPr>
                <w:sz w:val="20"/>
                <w:szCs w:val="20"/>
                <w:color w:val="auto"/>
              </w:rPr>
            </w:pPr>
            <w:r>
              <w:rPr>
                <w:rFonts w:ascii="Arial" w:cs="Arial" w:eastAsia="Arial" w:hAnsi="Arial"/>
                <w:sz w:val="16"/>
                <w:szCs w:val="16"/>
                <w:color w:val="auto"/>
                <w:w w:val="89"/>
              </w:rPr>
              <w:t>Pension and other</w:t>
            </w:r>
          </w:p>
        </w:tc>
        <w:tc>
          <w:tcPr>
            <w:tcW w:w="5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jc w:val="center"/>
              <w:ind w:right="640"/>
              <w:spacing w:after="0" w:line="157" w:lineRule="exact"/>
              <w:rPr>
                <w:sz w:val="20"/>
                <w:szCs w:val="20"/>
                <w:color w:val="auto"/>
              </w:rPr>
            </w:pPr>
            <w:r>
              <w:rPr>
                <w:rFonts w:ascii="Arial" w:cs="Arial" w:eastAsia="Arial" w:hAnsi="Arial"/>
                <w:sz w:val="16"/>
                <w:szCs w:val="16"/>
                <w:color w:val="auto"/>
                <w:w w:val="91"/>
              </w:rPr>
              <w:t>currency</w:t>
            </w:r>
          </w:p>
        </w:tc>
        <w:tc>
          <w:tcPr>
            <w:tcW w:w="360" w:type="dxa"/>
            <w:vAlign w:val="bottom"/>
          </w:tcPr>
          <w:p>
            <w:pPr>
              <w:spacing w:after="0"/>
              <w:rPr>
                <w:sz w:val="13"/>
                <w:szCs w:val="13"/>
                <w:color w:val="auto"/>
              </w:rPr>
            </w:pPr>
          </w:p>
        </w:tc>
        <w:tc>
          <w:tcPr>
            <w:tcW w:w="1420" w:type="dxa"/>
            <w:vAlign w:val="bottom"/>
          </w:tcPr>
          <w:p>
            <w:pPr>
              <w:jc w:val="center"/>
              <w:ind w:right="540"/>
              <w:spacing w:after="0" w:line="157" w:lineRule="exact"/>
              <w:rPr>
                <w:sz w:val="20"/>
                <w:szCs w:val="20"/>
                <w:color w:val="auto"/>
              </w:rPr>
            </w:pPr>
            <w:r>
              <w:rPr>
                <w:rFonts w:ascii="Arial" w:cs="Arial" w:eastAsia="Arial" w:hAnsi="Arial"/>
                <w:sz w:val="16"/>
                <w:szCs w:val="16"/>
                <w:color w:val="auto"/>
                <w:w w:val="93"/>
              </w:rPr>
              <w:t>derivative</w:t>
            </w:r>
          </w:p>
        </w:tc>
        <w:tc>
          <w:tcPr>
            <w:tcW w:w="4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3"/>
                <w:szCs w:val="13"/>
                <w:color w:val="auto"/>
              </w:rPr>
            </w:pPr>
          </w:p>
        </w:tc>
        <w:tc>
          <w:tcPr>
            <w:tcW w:w="1520" w:type="dxa"/>
            <w:vAlign w:val="bottom"/>
          </w:tcPr>
          <w:p>
            <w:pPr>
              <w:jc w:val="center"/>
              <w:ind w:right="640"/>
              <w:spacing w:after="0" w:line="157" w:lineRule="exact"/>
              <w:rPr>
                <w:sz w:val="20"/>
                <w:szCs w:val="20"/>
                <w:color w:val="auto"/>
              </w:rPr>
            </w:pPr>
            <w:r>
              <w:rPr>
                <w:rFonts w:ascii="Arial" w:cs="Arial" w:eastAsia="Arial" w:hAnsi="Arial"/>
                <w:sz w:val="16"/>
                <w:szCs w:val="16"/>
                <w:color w:val="auto"/>
                <w:w w:val="92"/>
              </w:rPr>
              <w:t>translation</w:t>
            </w:r>
          </w:p>
        </w:tc>
        <w:tc>
          <w:tcPr>
            <w:tcW w:w="360" w:type="dxa"/>
            <w:vAlign w:val="bottom"/>
          </w:tcPr>
          <w:p>
            <w:pPr>
              <w:spacing w:after="0"/>
              <w:rPr>
                <w:sz w:val="13"/>
                <w:szCs w:val="13"/>
                <w:color w:val="auto"/>
              </w:rPr>
            </w:pPr>
          </w:p>
        </w:tc>
        <w:tc>
          <w:tcPr>
            <w:tcW w:w="1420" w:type="dxa"/>
            <w:vAlign w:val="bottom"/>
          </w:tcPr>
          <w:p>
            <w:pPr>
              <w:jc w:val="center"/>
              <w:ind w:right="540"/>
              <w:spacing w:after="0" w:line="157" w:lineRule="exact"/>
              <w:rPr>
                <w:sz w:val="20"/>
                <w:szCs w:val="20"/>
                <w:color w:val="auto"/>
              </w:rPr>
            </w:pPr>
            <w:r>
              <w:rPr>
                <w:rFonts w:ascii="Arial" w:cs="Arial" w:eastAsia="Arial" w:hAnsi="Arial"/>
                <w:sz w:val="16"/>
                <w:szCs w:val="16"/>
                <w:color w:val="auto"/>
                <w:w w:val="95"/>
              </w:rPr>
              <w:t>financial</w:t>
            </w:r>
          </w:p>
        </w:tc>
        <w:tc>
          <w:tcPr>
            <w:tcW w:w="2060" w:type="dxa"/>
            <w:vAlign w:val="bottom"/>
            <w:gridSpan w:val="2"/>
          </w:tcPr>
          <w:p>
            <w:pPr>
              <w:jc w:val="right"/>
              <w:ind w:right="360"/>
              <w:spacing w:after="0" w:line="157" w:lineRule="exact"/>
              <w:rPr>
                <w:sz w:val="20"/>
                <w:szCs w:val="20"/>
                <w:color w:val="auto"/>
              </w:rPr>
            </w:pPr>
            <w:r>
              <w:rPr>
                <w:rFonts w:ascii="Arial" w:cs="Arial" w:eastAsia="Arial" w:hAnsi="Arial"/>
                <w:sz w:val="16"/>
                <w:szCs w:val="16"/>
                <w:color w:val="auto"/>
                <w:w w:val="99"/>
              </w:rPr>
              <w:t>post-retirement benefit</w:t>
            </w:r>
          </w:p>
        </w:tc>
        <w:tc>
          <w:tcPr>
            <w:tcW w:w="54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660"/>
              <w:spacing w:after="0"/>
              <w:rPr>
                <w:sz w:val="20"/>
                <w:szCs w:val="20"/>
                <w:color w:val="auto"/>
              </w:rPr>
            </w:pPr>
            <w:r>
              <w:rPr>
                <w:rFonts w:ascii="Arial" w:cs="Arial" w:eastAsia="Arial" w:hAnsi="Arial"/>
                <w:sz w:val="16"/>
                <w:szCs w:val="16"/>
                <w:color w:val="auto"/>
                <w:w w:val="89"/>
              </w:rPr>
              <w:t>adjustment</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40"/>
              <w:spacing w:after="0"/>
              <w:rPr>
                <w:sz w:val="20"/>
                <w:szCs w:val="20"/>
                <w:color w:val="auto"/>
              </w:rPr>
            </w:pPr>
            <w:r>
              <w:rPr>
                <w:rFonts w:ascii="Arial" w:cs="Arial" w:eastAsia="Arial" w:hAnsi="Arial"/>
                <w:sz w:val="16"/>
                <w:szCs w:val="16"/>
                <w:color w:val="auto"/>
                <w:w w:val="91"/>
              </w:rPr>
              <w:t>instruments</w:t>
            </w: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w w:val="92"/>
              </w:rPr>
              <w:t>adjustments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Beginning balance, January 1, 2020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(100,663)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540"/>
              <w:spacing w:after="0"/>
              <w:rPr>
                <w:sz w:val="20"/>
                <w:szCs w:val="20"/>
                <w:color w:val="auto"/>
              </w:rPr>
            </w:pPr>
            <w:r>
              <w:rPr>
                <w:rFonts w:ascii="Arial" w:cs="Arial" w:eastAsia="Arial" w:hAnsi="Arial"/>
                <w:sz w:val="16"/>
                <w:szCs w:val="16"/>
                <w:color w:val="auto"/>
                <w:w w:val="94"/>
              </w:rPr>
              <w:t>(1,307)</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(95,681)</w:t>
            </w:r>
          </w:p>
        </w:tc>
        <w:tc>
          <w:tcPr>
            <w:tcW w:w="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(197,651)</w:t>
            </w:r>
          </w:p>
        </w:tc>
        <w:tc>
          <w:tcPr>
            <w:tcW w:w="0" w:type="dxa"/>
            <w:vAlign w:val="bottom"/>
          </w:tcPr>
          <w:p>
            <w:pPr>
              <w:spacing w:after="0"/>
              <w:rPr>
                <w:sz w:val="1"/>
                <w:szCs w:val="1"/>
                <w:color w:val="auto"/>
              </w:rPr>
            </w:pPr>
          </w:p>
        </w:tc>
      </w:tr>
      <w:tr>
        <w:trPr>
          <w:trHeight w:val="157"/>
        </w:trPr>
        <w:tc>
          <w:tcPr>
            <w:tcW w:w="3860" w:type="dxa"/>
            <w:vAlign w:val="bottom"/>
          </w:tcPr>
          <w:p>
            <w:pPr>
              <w:ind w:left="560"/>
              <w:spacing w:after="0" w:line="157" w:lineRule="exact"/>
              <w:rPr>
                <w:sz w:val="20"/>
                <w:szCs w:val="20"/>
                <w:color w:val="auto"/>
              </w:rPr>
            </w:pPr>
            <w:r>
              <w:rPr>
                <w:rFonts w:ascii="Arial" w:cs="Arial" w:eastAsia="Arial" w:hAnsi="Arial"/>
                <w:sz w:val="16"/>
                <w:szCs w:val="16"/>
                <w:color w:val="auto"/>
              </w:rPr>
              <w:t>Other comprehensive income (loss) before</w:t>
            </w:r>
          </w:p>
        </w:tc>
        <w:tc>
          <w:tcPr>
            <w:tcW w:w="400" w:type="dxa"/>
            <w:vAlign w:val="bottom"/>
          </w:tcPr>
          <w:p>
            <w:pPr>
              <w:spacing w:after="0"/>
              <w:rPr>
                <w:sz w:val="13"/>
                <w:szCs w:val="13"/>
                <w:color w:val="auto"/>
              </w:rPr>
            </w:pPr>
          </w:p>
        </w:tc>
        <w:tc>
          <w:tcPr>
            <w:tcW w:w="1520" w:type="dxa"/>
            <w:vAlign w:val="bottom"/>
            <w:vMerge w:val="restart"/>
          </w:tcPr>
          <w:p>
            <w:pPr>
              <w:jc w:val="right"/>
              <w:ind w:right="160"/>
              <w:spacing w:after="0"/>
              <w:rPr>
                <w:sz w:val="20"/>
                <w:szCs w:val="20"/>
                <w:color w:val="auto"/>
              </w:rPr>
            </w:pPr>
            <w:r>
              <w:rPr>
                <w:rFonts w:ascii="Arial" w:cs="Arial" w:eastAsia="Arial" w:hAnsi="Arial"/>
                <w:sz w:val="16"/>
                <w:szCs w:val="16"/>
                <w:color w:val="auto"/>
              </w:rPr>
              <w:t>(12,003)</w:t>
            </w:r>
          </w:p>
        </w:tc>
        <w:tc>
          <w:tcPr>
            <w:tcW w:w="360" w:type="dxa"/>
            <w:vAlign w:val="bottom"/>
          </w:tcPr>
          <w:p>
            <w:pPr>
              <w:spacing w:after="0"/>
              <w:rPr>
                <w:sz w:val="13"/>
                <w:szCs w:val="13"/>
                <w:color w:val="auto"/>
              </w:rPr>
            </w:pPr>
          </w:p>
        </w:tc>
        <w:tc>
          <w:tcPr>
            <w:tcW w:w="1420" w:type="dxa"/>
            <w:vAlign w:val="bottom"/>
            <w:vMerge w:val="restart"/>
          </w:tcPr>
          <w:p>
            <w:pPr>
              <w:jc w:val="center"/>
              <w:ind w:left="540"/>
              <w:spacing w:after="0"/>
              <w:rPr>
                <w:sz w:val="20"/>
                <w:szCs w:val="20"/>
                <w:color w:val="auto"/>
              </w:rPr>
            </w:pPr>
            <w:r>
              <w:rPr>
                <w:rFonts w:ascii="Arial" w:cs="Arial" w:eastAsia="Arial" w:hAnsi="Arial"/>
                <w:sz w:val="16"/>
                <w:szCs w:val="16"/>
                <w:color w:val="auto"/>
                <w:w w:val="94"/>
              </w:rPr>
              <w:t>(6,242)</w:t>
            </w:r>
          </w:p>
        </w:tc>
        <w:tc>
          <w:tcPr>
            <w:tcW w:w="460" w:type="dxa"/>
            <w:vAlign w:val="bottom"/>
          </w:tcPr>
          <w:p>
            <w:pPr>
              <w:spacing w:after="0"/>
              <w:rPr>
                <w:sz w:val="13"/>
                <w:szCs w:val="13"/>
                <w:color w:val="auto"/>
              </w:rPr>
            </w:pPr>
          </w:p>
        </w:tc>
        <w:tc>
          <w:tcPr>
            <w:tcW w:w="1600" w:type="dxa"/>
            <w:vAlign w:val="bottom"/>
            <w:vMerge w:val="restart"/>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(18,245)</w:t>
            </w:r>
          </w:p>
        </w:tc>
        <w:tc>
          <w:tcPr>
            <w:tcW w:w="0" w:type="dxa"/>
            <w:vAlign w:val="bottom"/>
          </w:tcPr>
          <w:p>
            <w:pPr>
              <w:spacing w:after="0"/>
              <w:rPr>
                <w:sz w:val="1"/>
                <w:szCs w:val="1"/>
                <w:color w:val="auto"/>
              </w:rPr>
            </w:pPr>
          </w:p>
        </w:tc>
      </w:tr>
      <w:tr>
        <w:trPr>
          <w:trHeight w:val="205"/>
        </w:trPr>
        <w:tc>
          <w:tcPr>
            <w:tcW w:w="3860" w:type="dxa"/>
            <w:vAlign w:val="bottom"/>
          </w:tcPr>
          <w:p>
            <w:pPr>
              <w:ind w:left="200"/>
              <w:spacing w:after="0"/>
              <w:rPr>
                <w:sz w:val="20"/>
                <w:szCs w:val="20"/>
                <w:color w:val="auto"/>
              </w:rPr>
            </w:pPr>
            <w:r>
              <w:rPr>
                <w:rFonts w:ascii="Arial" w:cs="Arial" w:eastAsia="Arial" w:hAnsi="Arial"/>
                <w:sz w:val="16"/>
                <w:szCs w:val="16"/>
                <w:color w:val="auto"/>
              </w:rPr>
              <w:t>reclassifications</w:t>
            </w:r>
          </w:p>
        </w:tc>
        <w:tc>
          <w:tcPr>
            <w:tcW w:w="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560"/>
              <w:spacing w:after="0" w:line="157" w:lineRule="exact"/>
              <w:rPr>
                <w:sz w:val="20"/>
                <w:szCs w:val="20"/>
                <w:color w:val="auto"/>
              </w:rPr>
            </w:pPr>
            <w:r>
              <w:rPr>
                <w:rFonts w:ascii="Arial" w:cs="Arial" w:eastAsia="Arial" w:hAnsi="Arial"/>
                <w:sz w:val="16"/>
                <w:szCs w:val="16"/>
                <w:color w:val="auto"/>
              </w:rPr>
              <w:t>Amounts reclassified from accumulated other</w:t>
            </w:r>
          </w:p>
        </w:tc>
        <w:tc>
          <w:tcPr>
            <w:tcW w:w="4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center"/>
              <w:ind w:left="560"/>
              <w:spacing w:after="0"/>
              <w:rPr>
                <w:sz w:val="20"/>
                <w:szCs w:val="20"/>
                <w:color w:val="auto"/>
              </w:rPr>
            </w:pPr>
            <w:r>
              <w:rPr>
                <w:rFonts w:ascii="Arial" w:cs="Arial" w:eastAsia="Arial" w:hAnsi="Arial"/>
                <w:sz w:val="16"/>
                <w:szCs w:val="16"/>
                <w:color w:val="auto"/>
                <w:w w:val="94"/>
              </w:rPr>
              <w:t>3,725</w:t>
            </w:r>
          </w:p>
        </w:tc>
        <w:tc>
          <w:tcPr>
            <w:tcW w:w="4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5,862</w:t>
            </w:r>
          </w:p>
        </w:tc>
        <w:tc>
          <w:tcPr>
            <w:tcW w:w="5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480"/>
              <w:spacing w:after="0" w:line="149" w:lineRule="exact"/>
              <w:rPr>
                <w:sz w:val="20"/>
                <w:szCs w:val="20"/>
                <w:color w:val="auto"/>
              </w:rPr>
            </w:pPr>
            <w:r>
              <w:rPr>
                <w:rFonts w:ascii="Arial" w:cs="Arial" w:eastAsia="Arial" w:hAnsi="Arial"/>
                <w:sz w:val="16"/>
                <w:szCs w:val="16"/>
                <w:color w:val="auto"/>
                <w:w w:val="98"/>
              </w:rPr>
              <w:t>Net other comprehensive income (loss) - current</w:t>
            </w:r>
          </w:p>
        </w:tc>
        <w:tc>
          <w:tcPr>
            <w:tcW w:w="400" w:type="dxa"/>
            <w:vAlign w:val="bottom"/>
          </w:tcPr>
          <w:p>
            <w:pPr>
              <w:spacing w:after="0"/>
              <w:rPr>
                <w:sz w:val="12"/>
                <w:szCs w:val="12"/>
                <w:color w:val="auto"/>
              </w:rPr>
            </w:pPr>
          </w:p>
        </w:tc>
        <w:tc>
          <w:tcPr>
            <w:tcW w:w="1520" w:type="dxa"/>
            <w:vAlign w:val="bottom"/>
            <w:vMerge w:val="restart"/>
          </w:tcPr>
          <w:p>
            <w:pPr>
              <w:jc w:val="right"/>
              <w:ind w:right="160"/>
              <w:spacing w:after="0"/>
              <w:rPr>
                <w:sz w:val="20"/>
                <w:szCs w:val="20"/>
                <w:color w:val="auto"/>
              </w:rPr>
            </w:pPr>
            <w:r>
              <w:rPr>
                <w:rFonts w:ascii="Arial" w:cs="Arial" w:eastAsia="Arial" w:hAnsi="Arial"/>
                <w:sz w:val="16"/>
                <w:szCs w:val="16"/>
                <w:color w:val="auto"/>
              </w:rPr>
              <w:t>(12,003)</w:t>
            </w:r>
          </w:p>
        </w:tc>
        <w:tc>
          <w:tcPr>
            <w:tcW w:w="360" w:type="dxa"/>
            <w:vAlign w:val="bottom"/>
          </w:tcPr>
          <w:p>
            <w:pPr>
              <w:spacing w:after="0"/>
              <w:rPr>
                <w:sz w:val="12"/>
                <w:szCs w:val="12"/>
                <w:color w:val="auto"/>
              </w:rPr>
            </w:pPr>
          </w:p>
        </w:tc>
        <w:tc>
          <w:tcPr>
            <w:tcW w:w="1420" w:type="dxa"/>
            <w:vAlign w:val="bottom"/>
            <w:vMerge w:val="restart"/>
          </w:tcPr>
          <w:p>
            <w:pPr>
              <w:jc w:val="center"/>
              <w:ind w:left="540"/>
              <w:spacing w:after="0"/>
              <w:rPr>
                <w:sz w:val="20"/>
                <w:szCs w:val="20"/>
                <w:color w:val="auto"/>
              </w:rPr>
            </w:pPr>
            <w:r>
              <w:rPr>
                <w:rFonts w:ascii="Arial" w:cs="Arial" w:eastAsia="Arial" w:hAnsi="Arial"/>
                <w:sz w:val="16"/>
                <w:szCs w:val="16"/>
                <w:color w:val="auto"/>
                <w:w w:val="94"/>
              </w:rPr>
              <w:t>(2,517)</w:t>
            </w:r>
          </w:p>
        </w:tc>
        <w:tc>
          <w:tcPr>
            <w:tcW w:w="460" w:type="dxa"/>
            <w:vAlign w:val="bottom"/>
          </w:tcPr>
          <w:p>
            <w:pPr>
              <w:spacing w:after="0"/>
              <w:rPr>
                <w:sz w:val="12"/>
                <w:szCs w:val="12"/>
                <w:color w:val="auto"/>
              </w:rPr>
            </w:pPr>
          </w:p>
        </w:tc>
        <w:tc>
          <w:tcPr>
            <w:tcW w:w="1600" w:type="dxa"/>
            <w:vAlign w:val="bottom"/>
            <w:vMerge w:val="restart"/>
          </w:tcPr>
          <w:p>
            <w:pPr>
              <w:jc w:val="right"/>
              <w:ind w:right="220"/>
              <w:spacing w:after="0"/>
              <w:rPr>
                <w:sz w:val="20"/>
                <w:szCs w:val="20"/>
                <w:color w:val="auto"/>
              </w:rPr>
            </w:pPr>
            <w:r>
              <w:rPr>
                <w:rFonts w:ascii="Arial" w:cs="Arial" w:eastAsia="Arial" w:hAnsi="Arial"/>
                <w:sz w:val="16"/>
                <w:szCs w:val="16"/>
                <w:color w:val="auto"/>
              </w:rPr>
              <w:t>5,862</w:t>
            </w:r>
          </w:p>
        </w:tc>
        <w:tc>
          <w:tcPr>
            <w:tcW w:w="5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period</w:t>
            </w: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Ending balance, June 30, 2020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(112,666)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center"/>
              <w:ind w:left="540"/>
              <w:spacing w:after="0"/>
              <w:rPr>
                <w:sz w:val="20"/>
                <w:szCs w:val="20"/>
                <w:color w:val="auto"/>
              </w:rPr>
            </w:pPr>
            <w:r>
              <w:rPr>
                <w:rFonts w:ascii="Arial" w:cs="Arial" w:eastAsia="Arial" w:hAnsi="Arial"/>
                <w:sz w:val="16"/>
                <w:szCs w:val="16"/>
                <w:color w:val="auto"/>
                <w:w w:val="94"/>
              </w:rPr>
              <w:t>(3,824)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(89,819)</w:t>
            </w:r>
          </w:p>
        </w:tc>
        <w:tc>
          <w:tcPr>
            <w:tcW w:w="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3" w:right="10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(loss) for the three months ended June 30, 2021 are summarized as follows:</w:t>
      </w:r>
    </w:p>
    <w:tbl>
      <w:tblPr>
        <w:tblLayout w:type="fixed"/>
        <w:tblInd w:w="3" w:type="dxa"/>
        <w:tblCellMar>
          <w:top w:w="0" w:type="dxa"/>
          <w:left w:w="0" w:type="dxa"/>
          <w:bottom w:w="0" w:type="dxa"/>
          <w:right w:w="0" w:type="dxa"/>
        </w:tblCellMar>
      </w:tblPr>
      <w:tr>
        <w:trPr>
          <w:trHeight w:val="162"/>
        </w:trPr>
        <w:tc>
          <w:tcPr>
            <w:tcW w:w="5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62"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118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vMerge w:val="continue"/>
          </w:tcPr>
          <w:p>
            <w:pPr>
              <w:spacing w:after="0"/>
              <w:rPr>
                <w:sz w:val="17"/>
                <w:szCs w:val="17"/>
                <w:color w:val="auto"/>
              </w:rPr>
            </w:pPr>
          </w:p>
        </w:tc>
        <w:tc>
          <w:tcPr>
            <w:tcW w:w="3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other comprehensive 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6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1,372</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(147)</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97"/>
        </w:trPr>
        <w:tc>
          <w:tcPr>
            <w:tcW w:w="506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180" w:type="dxa"/>
            <w:vAlign w:val="bottom"/>
          </w:tcPr>
          <w:p>
            <w:pPr>
              <w:spacing w:after="0"/>
              <w:rPr>
                <w:sz w:val="17"/>
                <w:szCs w:val="17"/>
                <w:color w:val="auto"/>
              </w:rPr>
            </w:pPr>
          </w:p>
        </w:tc>
        <w:tc>
          <w:tcPr>
            <w:tcW w:w="2000" w:type="dxa"/>
            <w:vAlign w:val="bottom"/>
          </w:tcPr>
          <w:p>
            <w:pPr>
              <w:jc w:val="right"/>
              <w:ind w:right="140"/>
              <w:spacing w:after="0"/>
              <w:rPr>
                <w:sz w:val="20"/>
                <w:szCs w:val="20"/>
                <w:color w:val="auto"/>
              </w:rPr>
            </w:pPr>
            <w:r>
              <w:rPr>
                <w:rFonts w:ascii="Arial" w:cs="Arial" w:eastAsia="Arial" w:hAnsi="Arial"/>
                <w:sz w:val="16"/>
                <w:szCs w:val="16"/>
                <w:color w:val="auto"/>
              </w:rPr>
              <w:t>1,241</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257</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984</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(4,240)</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(922)</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(3,318)</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3" w:hanging="303"/>
        <w:spacing w:after="0"/>
        <w:tabs>
          <w:tab w:leader="none" w:pos="303"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component of accumulated other comprehensive income (loss) is included in the computation of net periodic pension cost (see Note 9 for additional detail).</w:t>
      </w:r>
    </w:p>
    <w:p>
      <w:pPr>
        <w:spacing w:after="0" w:line="200" w:lineRule="exact"/>
        <w:rPr>
          <w:rFonts w:ascii="Arial" w:cs="Arial" w:eastAsia="Arial" w:hAnsi="Arial"/>
          <w:sz w:val="14"/>
          <w:szCs w:val="14"/>
          <w:color w:val="auto"/>
        </w:rPr>
      </w:pPr>
    </w:p>
    <w:p>
      <w:pPr>
        <w:spacing w:after="0" w:line="298" w:lineRule="exact"/>
        <w:rPr>
          <w:rFonts w:ascii="Arial" w:cs="Arial" w:eastAsia="Arial" w:hAnsi="Arial"/>
          <w:sz w:val="14"/>
          <w:szCs w:val="14"/>
          <w:color w:val="auto"/>
        </w:rPr>
      </w:pPr>
    </w:p>
    <w:p>
      <w:pPr>
        <w:ind w:left="5543"/>
        <w:spacing w:after="0"/>
        <w:rPr>
          <w:rFonts w:ascii="Arial" w:cs="Arial" w:eastAsia="Arial" w:hAnsi="Arial"/>
          <w:sz w:val="14"/>
          <w:szCs w:val="14"/>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1116" w:right="319" w:bottom="1440" w:gutter="0" w:footer="0" w:header="0"/>
        </w:sectPr>
      </w:pPr>
    </w:p>
    <w:bookmarkStart w:id="14" w:name="page15"/>
    <w:bookmarkEnd w:id="14"/>
    <w:p>
      <w:pPr>
        <w:ind w:right="124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(loss) for the six months ended June 30, 2021 are summarized as follows:</w:t>
      </w:r>
    </w:p>
    <w:tbl>
      <w:tblPr>
        <w:tblLayout w:type="fixed"/>
        <w:tblInd w:w="0" w:type="dxa"/>
        <w:tblCellMar>
          <w:top w:w="0" w:type="dxa"/>
          <w:left w:w="0" w:type="dxa"/>
          <w:bottom w:w="0" w:type="dxa"/>
          <w:right w:w="0" w:type="dxa"/>
        </w:tblCellMar>
      </w:tblPr>
      <w:tr>
        <w:trPr>
          <w:trHeight w:val="162"/>
        </w:trPr>
        <w:tc>
          <w:tcPr>
            <w:tcW w:w="50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right"/>
              <w:ind w:right="160"/>
              <w:spacing w:after="0" w:line="162" w:lineRule="exact"/>
              <w:rPr>
                <w:sz w:val="20"/>
                <w:szCs w:val="20"/>
                <w:color w:val="auto"/>
              </w:rPr>
            </w:pPr>
            <w:r>
              <w:rPr>
                <w:rFonts w:ascii="Arial" w:cs="Arial" w:eastAsia="Arial" w:hAnsi="Arial"/>
                <w:sz w:val="16"/>
                <w:szCs w:val="16"/>
                <w:color w:val="auto"/>
                <w:w w:val="93"/>
              </w:rPr>
              <w:t>Amount reclassified from</w:t>
            </w:r>
          </w:p>
        </w:tc>
        <w:tc>
          <w:tcPr>
            <w:tcW w:w="2900" w:type="dxa"/>
            <w:vAlign w:val="bottom"/>
            <w:tcBorders>
              <w:top w:val="single" w:sz="8" w:color="auto"/>
            </w:tcBorders>
          </w:tcPr>
          <w:p>
            <w:pPr>
              <w:ind w:left="500"/>
              <w:spacing w:after="0" w:line="162" w:lineRule="exact"/>
              <w:rPr>
                <w:sz w:val="20"/>
                <w:szCs w:val="20"/>
                <w:color w:val="auto"/>
              </w:rPr>
            </w:pPr>
            <w:r>
              <w:rPr>
                <w:rFonts w:ascii="Arial" w:cs="Arial" w:eastAsia="Arial" w:hAnsi="Arial"/>
                <w:sz w:val="16"/>
                <w:szCs w:val="16"/>
                <w:color w:val="auto"/>
                <w:w w:val="98"/>
              </w:rPr>
              <w:t>Location of gain (loss) reclassified</w:t>
            </w:r>
          </w:p>
        </w:tc>
        <w:tc>
          <w:tcPr>
            <w:tcW w:w="0" w:type="dxa"/>
            <w:vAlign w:val="bottom"/>
          </w:tcPr>
          <w:p>
            <w:pPr>
              <w:spacing w:after="0"/>
              <w:rPr>
                <w:sz w:val="1"/>
                <w:szCs w:val="1"/>
                <w:color w:val="auto"/>
              </w:rPr>
            </w:pPr>
          </w:p>
        </w:tc>
      </w:tr>
      <w:tr>
        <w:trPr>
          <w:trHeight w:val="157"/>
        </w:trPr>
        <w:tc>
          <w:tcPr>
            <w:tcW w:w="500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2840" w:type="dxa"/>
            <w:vAlign w:val="bottom"/>
            <w:gridSpan w:val="2"/>
          </w:tcPr>
          <w:p>
            <w:pPr>
              <w:jc w:val="right"/>
              <w:ind w:right="240"/>
              <w:spacing w:after="0" w:line="157" w:lineRule="exact"/>
              <w:rPr>
                <w:sz w:val="20"/>
                <w:szCs w:val="20"/>
                <w:color w:val="auto"/>
              </w:rPr>
            </w:pPr>
            <w:r>
              <w:rPr>
                <w:rFonts w:ascii="Arial" w:cs="Arial" w:eastAsia="Arial" w:hAnsi="Arial"/>
                <w:sz w:val="16"/>
                <w:szCs w:val="16"/>
                <w:color w:val="auto"/>
              </w:rPr>
              <w:t>other comprehensive income</w:t>
            </w:r>
          </w:p>
        </w:tc>
        <w:tc>
          <w:tcPr>
            <w:tcW w:w="2900" w:type="dxa"/>
            <w:vAlign w:val="bottom"/>
          </w:tcPr>
          <w:p>
            <w:pPr>
              <w:ind w:left="160"/>
              <w:spacing w:after="0" w:line="157" w:lineRule="exact"/>
              <w:rPr>
                <w:sz w:val="20"/>
                <w:szCs w:val="20"/>
                <w:color w:val="auto"/>
              </w:rPr>
            </w:pPr>
            <w:r>
              <w:rPr>
                <w:rFonts w:ascii="Arial" w:cs="Arial" w:eastAsia="Arial" w:hAnsi="Arial"/>
                <w:sz w:val="16"/>
                <w:szCs w:val="16"/>
                <w:color w:val="auto"/>
                <w:w w:val="96"/>
              </w:rPr>
              <w:t>from accumulated other comprehensive</w:t>
            </w:r>
          </w:p>
        </w:tc>
        <w:tc>
          <w:tcPr>
            <w:tcW w:w="0" w:type="dxa"/>
            <w:vAlign w:val="bottom"/>
          </w:tcPr>
          <w:p>
            <w:pPr>
              <w:spacing w:after="0"/>
              <w:rPr>
                <w:sz w:val="1"/>
                <w:szCs w:val="1"/>
                <w:color w:val="auto"/>
              </w:rPr>
            </w:pPr>
          </w:p>
        </w:tc>
      </w:tr>
      <w:tr>
        <w:trPr>
          <w:trHeight w:val="205"/>
        </w:trPr>
        <w:tc>
          <w:tcPr>
            <w:tcW w:w="50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00"/>
              <w:spacing w:after="0"/>
              <w:rPr>
                <w:sz w:val="20"/>
                <w:szCs w:val="20"/>
                <w:color w:val="auto"/>
              </w:rPr>
            </w:pPr>
            <w:r>
              <w:rPr>
                <w:rFonts w:ascii="Arial" w:cs="Arial" w:eastAsia="Arial" w:hAnsi="Arial"/>
                <w:sz w:val="16"/>
                <w:szCs w:val="16"/>
                <w:color w:val="auto"/>
              </w:rPr>
              <w:t>(loss)</w:t>
            </w:r>
          </w:p>
        </w:tc>
        <w:tc>
          <w:tcPr>
            <w:tcW w:w="29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0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2,012</w:t>
            </w:r>
          </w:p>
        </w:tc>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205"/>
        </w:trPr>
        <w:tc>
          <w:tcPr>
            <w:tcW w:w="500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940" w:type="dxa"/>
            <w:vAlign w:val="bottom"/>
          </w:tcPr>
          <w:p>
            <w:pPr>
              <w:spacing w:after="0"/>
              <w:rPr>
                <w:sz w:val="17"/>
                <w:szCs w:val="17"/>
                <w:color w:val="auto"/>
              </w:rPr>
            </w:pPr>
          </w:p>
        </w:tc>
        <w:tc>
          <w:tcPr>
            <w:tcW w:w="1900" w:type="dxa"/>
            <w:vAlign w:val="bottom"/>
          </w:tcPr>
          <w:p>
            <w:pPr>
              <w:jc w:val="right"/>
              <w:ind w:right="60"/>
              <w:spacing w:after="0"/>
              <w:rPr>
                <w:sz w:val="20"/>
                <w:szCs w:val="20"/>
                <w:color w:val="auto"/>
              </w:rPr>
            </w:pPr>
            <w:r>
              <w:rPr>
                <w:rFonts w:ascii="Arial" w:cs="Arial" w:eastAsia="Arial" w:hAnsi="Arial"/>
                <w:sz w:val="16"/>
                <w:szCs w:val="16"/>
                <w:color w:val="auto"/>
              </w:rPr>
              <w:t>(149)</w:t>
            </w:r>
          </w:p>
        </w:tc>
        <w:tc>
          <w:tcPr>
            <w:tcW w:w="2900" w:type="dxa"/>
            <w:vAlign w:val="bottom"/>
          </w:tcPr>
          <w:p>
            <w:pPr>
              <w:ind w:left="36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9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2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97"/>
        </w:trPr>
        <w:tc>
          <w:tcPr>
            <w:tcW w:w="500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940" w:type="dxa"/>
            <w:vAlign w:val="bottom"/>
          </w:tcPr>
          <w:p>
            <w:pPr>
              <w:spacing w:after="0"/>
              <w:rPr>
                <w:sz w:val="17"/>
                <w:szCs w:val="17"/>
                <w:color w:val="auto"/>
              </w:rPr>
            </w:pPr>
          </w:p>
        </w:tc>
        <w:tc>
          <w:tcPr>
            <w:tcW w:w="1900" w:type="dxa"/>
            <w:vAlign w:val="bottom"/>
          </w:tcPr>
          <w:p>
            <w:pPr>
              <w:jc w:val="right"/>
              <w:ind w:right="100"/>
              <w:spacing w:after="0"/>
              <w:rPr>
                <w:sz w:val="20"/>
                <w:szCs w:val="20"/>
                <w:color w:val="auto"/>
              </w:rPr>
            </w:pPr>
            <w:r>
              <w:rPr>
                <w:rFonts w:ascii="Arial" w:cs="Arial" w:eastAsia="Arial" w:hAnsi="Arial"/>
                <w:sz w:val="16"/>
                <w:szCs w:val="16"/>
                <w:color w:val="auto"/>
              </w:rPr>
              <w:t>1,896</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404</w:t>
            </w:r>
          </w:p>
        </w:tc>
        <w:tc>
          <w:tcPr>
            <w:tcW w:w="2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1,492</w:t>
            </w:r>
          </w:p>
        </w:tc>
        <w:tc>
          <w:tcPr>
            <w:tcW w:w="2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9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0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0"/>
              <w:spacing w:after="0"/>
              <w:rPr>
                <w:sz w:val="20"/>
                <w:szCs w:val="20"/>
                <w:color w:val="auto"/>
              </w:rPr>
            </w:pPr>
            <w:r>
              <w:rPr>
                <w:rFonts w:ascii="Arial" w:cs="Arial" w:eastAsia="Arial" w:hAnsi="Arial"/>
                <w:sz w:val="16"/>
                <w:szCs w:val="16"/>
                <w:color w:val="auto"/>
              </w:rPr>
              <w:t>(8,483)</w:t>
            </w:r>
          </w:p>
        </w:tc>
        <w:tc>
          <w:tcPr>
            <w:tcW w:w="2900" w:type="dxa"/>
            <w:vAlign w:val="bottom"/>
          </w:tcPr>
          <w:p>
            <w:pPr>
              <w:ind w:left="36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(1,846)</w:t>
            </w:r>
          </w:p>
        </w:tc>
        <w:tc>
          <w:tcPr>
            <w:tcW w:w="2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(6,637)</w:t>
            </w:r>
          </w:p>
        </w:tc>
        <w:tc>
          <w:tcPr>
            <w:tcW w:w="2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This component of accumulated other comprehensive income (loss) is included in the computation of net periodic pension cost (see Note 9 for additional detail).</w:t>
      </w:r>
    </w:p>
    <w:p>
      <w:pPr>
        <w:spacing w:after="0" w:line="200" w:lineRule="exact"/>
        <w:rPr>
          <w:sz w:val="20"/>
          <w:szCs w:val="20"/>
          <w:color w:val="auto"/>
        </w:rPr>
      </w:pPr>
    </w:p>
    <w:p>
      <w:pPr>
        <w:spacing w:after="0" w:line="202" w:lineRule="exact"/>
        <w:rPr>
          <w:sz w:val="20"/>
          <w:szCs w:val="20"/>
          <w:color w:val="auto"/>
        </w:rPr>
      </w:pPr>
    </w:p>
    <w:p>
      <w:pPr>
        <w:jc w:val="both"/>
        <w:ind w:right="50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for the three months ended June 30, 2020 are summarized as follows:</w:t>
      </w:r>
    </w:p>
    <w:tbl>
      <w:tblPr>
        <w:tblLayout w:type="fixed"/>
        <w:tblInd w:w="0" w:type="dxa"/>
        <w:tblCellMar>
          <w:top w:w="0" w:type="dxa"/>
          <w:left w:w="0" w:type="dxa"/>
          <w:bottom w:w="0" w:type="dxa"/>
          <w:right w:w="0" w:type="dxa"/>
        </w:tblCellMar>
      </w:tblPr>
      <w:tr>
        <w:trPr>
          <w:trHeight w:val="162"/>
        </w:trPr>
        <w:tc>
          <w:tcPr>
            <w:tcW w:w="49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62"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494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13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vMerge w:val="continue"/>
          </w:tcPr>
          <w:p>
            <w:pPr>
              <w:spacing w:after="0"/>
              <w:rPr>
                <w:sz w:val="17"/>
                <w:szCs w:val="17"/>
                <w:color w:val="auto"/>
              </w:rPr>
            </w:pPr>
          </w:p>
        </w:tc>
        <w:tc>
          <w:tcPr>
            <w:tcW w:w="3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other comprehensive 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494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(1,551)</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205"/>
        </w:trPr>
        <w:tc>
          <w:tcPr>
            <w:tcW w:w="494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30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(1,798)</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97"/>
        </w:trPr>
        <w:tc>
          <w:tcPr>
            <w:tcW w:w="494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30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(3,333)</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(721)</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(2,612)</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(3,766)</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(835)</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(2,931)</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60"/>
        </w:trPr>
        <w:tc>
          <w:tcPr>
            <w:tcW w:w="4940" w:type="dxa"/>
            <w:vAlign w:val="bottom"/>
          </w:tcPr>
          <w:p>
            <w:pPr>
              <w:spacing w:after="0"/>
              <w:rPr>
                <w:sz w:val="24"/>
                <w:szCs w:val="24"/>
                <w:color w:val="auto"/>
              </w:rPr>
            </w:pPr>
          </w:p>
        </w:tc>
        <w:tc>
          <w:tcPr>
            <w:tcW w:w="1300" w:type="dxa"/>
            <w:vAlign w:val="bottom"/>
          </w:tcPr>
          <w:p>
            <w:pPr>
              <w:jc w:val="right"/>
              <w:ind w:right="460"/>
              <w:spacing w:after="0"/>
              <w:rPr>
                <w:sz w:val="20"/>
                <w:szCs w:val="20"/>
                <w:color w:val="auto"/>
              </w:rPr>
            </w:pPr>
            <w:r>
              <w:rPr>
                <w:rFonts w:ascii="Arial" w:cs="Arial" w:eastAsia="Arial" w:hAnsi="Arial"/>
                <w:sz w:val="16"/>
                <w:szCs w:val="16"/>
                <w:color w:val="auto"/>
              </w:rPr>
              <w:t>15</w:t>
            </w: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5" w:name="page16"/>
    <w:bookmarkEnd w:id="15"/>
    <w:p>
      <w:pPr>
        <w:ind w:left="3"/>
        <w:spacing w:after="0"/>
        <w:tabs>
          <w:tab w:leader="none" w:pos="283"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This component of accumulated other comprehensive income (loss) is included in the computation of net periodic pension cost (see Note 9 for additional detail).</w:t>
      </w:r>
    </w:p>
    <w:p>
      <w:pPr>
        <w:spacing w:after="0" w:line="100" w:lineRule="exact"/>
        <w:rPr>
          <w:sz w:val="20"/>
          <w:szCs w:val="20"/>
          <w:color w:val="auto"/>
        </w:rPr>
      </w:pPr>
    </w:p>
    <w:p>
      <w:pPr>
        <w:ind w:left="363"/>
        <w:spacing w:after="0"/>
        <w:rPr>
          <w:sz w:val="20"/>
          <w:szCs w:val="20"/>
          <w:color w:val="auto"/>
        </w:rPr>
      </w:pPr>
      <w:r>
        <w:rPr>
          <w:rFonts w:ascii="Arial" w:cs="Arial" w:eastAsia="Arial" w:hAnsi="Arial"/>
          <w:sz w:val="14"/>
          <w:szCs w:val="14"/>
          <w:color w:val="auto"/>
        </w:rPr>
        <w:t>Reclassifications of balances out of accumulated other comprehensive income (loss) into net income for the six months ended June 30, 2020 are summarized as follows:</w:t>
      </w:r>
    </w:p>
    <w:p>
      <w:pPr>
        <w:spacing w:after="0" w:line="49"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0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81"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118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vMerge w:val="continue"/>
          </w:tcPr>
          <w:p>
            <w:pPr>
              <w:spacing w:after="0"/>
              <w:rPr>
                <w:sz w:val="17"/>
                <w:szCs w:val="17"/>
                <w:color w:val="auto"/>
              </w:rPr>
            </w:pPr>
          </w:p>
        </w:tc>
        <w:tc>
          <w:tcPr>
            <w:tcW w:w="3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other comprehensive 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6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(2,191)</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(2,592)</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97"/>
        </w:trPr>
        <w:tc>
          <w:tcPr>
            <w:tcW w:w="506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(4,752)</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(1,027)</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(3,725)</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(7,533)</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(1,671)</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(5,862)</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3" w:hanging="303"/>
        <w:spacing w:after="0"/>
        <w:tabs>
          <w:tab w:leader="none" w:pos="303"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component of accumulated other comprehensive income (loss) is included in the computation of net periodic pension cost (see Note 9 for additional detail).</w:t>
      </w:r>
    </w:p>
    <w:p>
      <w:pPr>
        <w:spacing w:after="0" w:line="84"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6"/>
          <w:szCs w:val="16"/>
          <w:b w:val="1"/>
          <w:bCs w:val="1"/>
          <w:color w:val="auto"/>
        </w:rPr>
        <w:t>7  INVESTMENTS</w:t>
      </w:r>
    </w:p>
    <w:p>
      <w:pPr>
        <w:spacing w:after="0" w:line="85" w:lineRule="exact"/>
        <w:rPr>
          <w:sz w:val="20"/>
          <w:szCs w:val="20"/>
          <w:color w:val="auto"/>
        </w:rPr>
      </w:pPr>
    </w:p>
    <w:p>
      <w:pPr>
        <w:ind w:left="3" w:right="340" w:firstLine="362"/>
        <w:spacing w:after="0" w:line="265" w:lineRule="auto"/>
        <w:rPr>
          <w:sz w:val="20"/>
          <w:szCs w:val="20"/>
          <w:color w:val="auto"/>
        </w:rPr>
      </w:pPr>
      <w:r>
        <w:rPr>
          <w:rFonts w:ascii="Arial" w:cs="Arial" w:eastAsia="Arial" w:hAnsi="Arial"/>
          <w:sz w:val="16"/>
          <w:szCs w:val="16"/>
          <w:color w:val="auto"/>
        </w:rPr>
        <w:t>The Company's aggregate investment of $7.5 million, for an approximate 19% ownership interest, in kaleo, Inc. (“kaléo”), a privately held specialty pharmaceutical company dedicated to building innovative solutions for serious and life-threatening medical conditions, is accounted for under the fair value method in the condensed consolidated financial statements.</w:t>
      </w:r>
    </w:p>
    <w:p>
      <w:pPr>
        <w:spacing w:after="0" w:line="54" w:lineRule="exact"/>
        <w:rPr>
          <w:sz w:val="20"/>
          <w:szCs w:val="20"/>
          <w:color w:val="auto"/>
        </w:rPr>
      </w:pPr>
    </w:p>
    <w:p>
      <w:pPr>
        <w:ind w:left="3" w:right="160" w:firstLine="362"/>
        <w:spacing w:after="0" w:line="258" w:lineRule="auto"/>
        <w:rPr>
          <w:sz w:val="20"/>
          <w:szCs w:val="20"/>
          <w:color w:val="auto"/>
        </w:rPr>
      </w:pPr>
      <w:r>
        <w:rPr>
          <w:rFonts w:ascii="Arial" w:cs="Arial" w:eastAsia="Arial" w:hAnsi="Arial"/>
          <w:sz w:val="16"/>
          <w:szCs w:val="16"/>
          <w:color w:val="auto"/>
        </w:rPr>
        <w:t>The estimated fair value of the Company’s investment was $35.2 million as of June 30, 2021 and $34.6 million as of December 31, 2020. kaléo’s stock is not publicly traded. The ultimate value of the Company’s ownership interest in kaléo could be materially different from the estimated fair value and will ultimately be determined and realized only if and when a liquidity event occurs. Amounts recognized associated with the Company’s investment in kaléo are included in “Other income (expense), net” in the consolidated statements of income and separately stated in the net sales and earnings before interest, taxes, depreciation and amortization ("EBITDA") from ongoing operations by segment table in Note 11.</w:t>
      </w:r>
    </w:p>
    <w:p>
      <w:pPr>
        <w:spacing w:after="0" w:line="61" w:lineRule="exact"/>
        <w:rPr>
          <w:sz w:val="20"/>
          <w:szCs w:val="20"/>
          <w:color w:val="auto"/>
        </w:rPr>
      </w:pPr>
    </w:p>
    <w:p>
      <w:pPr>
        <w:ind w:left="3" w:right="20" w:firstLine="362"/>
        <w:spacing w:after="0" w:line="292" w:lineRule="auto"/>
        <w:rPr>
          <w:sz w:val="20"/>
          <w:szCs w:val="20"/>
          <w:color w:val="auto"/>
        </w:rPr>
      </w:pPr>
      <w:r>
        <w:rPr>
          <w:rFonts w:ascii="Arial" w:cs="Arial" w:eastAsia="Arial" w:hAnsi="Arial"/>
          <w:sz w:val="14"/>
          <w:szCs w:val="14"/>
          <w:color w:val="auto"/>
        </w:rPr>
        <w:t>The Company estimated the fair value of its investment in kaléo at June 30, 2021 by: (i) computing the weighted average estimated enterprise value (“EV”) utilizing both the discounted cash flow method (the “DCF Method”) and the application of a market multiple to EBITDA (the “EBITDA Multiple Method”), (ii) applying adjustments for any surplus or deficient working capital and estimates of contingent liabilities, (iii) adding cash and cash equivalents, (iv) subtracting interest-bearing debt, (v) subtracting a private company liquidity discount estimated at approximately 20% at June 30, 2021 (consistent with 20% at both December 31, 2020 and June 30, 2020) of the net result of</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(i) through (iv), and (vi) applying liquidation preferences and fully diluted ownership percentages to the estimated equity value computed in (i) through (v).</w:t>
      </w:r>
    </w:p>
    <w:p>
      <w:pPr>
        <w:spacing w:after="0" w:line="69" w:lineRule="exact"/>
        <w:rPr>
          <w:sz w:val="20"/>
          <w:szCs w:val="20"/>
          <w:color w:val="auto"/>
        </w:rPr>
      </w:pPr>
    </w:p>
    <w:p>
      <w:pPr>
        <w:ind w:left="3" w:right="180" w:firstLine="362"/>
        <w:spacing w:after="0" w:line="258" w:lineRule="auto"/>
        <w:rPr>
          <w:sz w:val="20"/>
          <w:szCs w:val="20"/>
          <w:color w:val="auto"/>
        </w:rPr>
      </w:pPr>
      <w:r>
        <w:rPr>
          <w:rFonts w:ascii="Arial" w:cs="Arial" w:eastAsia="Arial" w:hAnsi="Arial"/>
          <w:sz w:val="16"/>
          <w:szCs w:val="16"/>
          <w:color w:val="auto"/>
        </w:rPr>
        <w:t>The Company’s estimate of kaléo’s EV as of June 30, 2021 and December 31, 2020 was determined by weighting the EBITDA Multiple Method by 20% and the DCF Method by 80%. A heavier weighting towards the DCF Method was used since kaléo’s projections better reflect ongoing pricing pressures and expected changes in market access. The DCF Method projections rely on numerous assumptions and Level 3 inputs. In addition, there are various regulatory and legal enforcement efforts, including an ongoing Department of Justice investigation related to kaléo’s discontinued Evzio business, which could have a material adverse effect on kaléo’s business that require assessment in any valuation method applied.</w:t>
      </w:r>
    </w:p>
    <w:p>
      <w:pPr>
        <w:spacing w:after="0" w:line="57" w:lineRule="exact"/>
        <w:rPr>
          <w:sz w:val="20"/>
          <w:szCs w:val="20"/>
          <w:color w:val="auto"/>
        </w:rPr>
      </w:pPr>
    </w:p>
    <w:p>
      <w:pPr>
        <w:ind w:left="3"/>
        <w:spacing w:after="0"/>
        <w:tabs>
          <w:tab w:leader="none" w:pos="223" w:val="left"/>
        </w:tabs>
        <w:rPr>
          <w:sz w:val="20"/>
          <w:szCs w:val="20"/>
          <w:color w:val="auto"/>
        </w:rPr>
      </w:pPr>
      <w:r>
        <w:rPr>
          <w:rFonts w:ascii="Arial" w:cs="Arial" w:eastAsia="Arial" w:hAnsi="Arial"/>
          <w:sz w:val="16"/>
          <w:szCs w:val="16"/>
          <w:b w:val="1"/>
          <w:bCs w:val="1"/>
          <w:color w:val="auto"/>
        </w:rPr>
        <w:t>8</w:t>
        <w:tab/>
        <w:t>FINANCIAL INSTRUMENTS</w:t>
      </w:r>
    </w:p>
    <w:p>
      <w:pPr>
        <w:spacing w:after="0" w:line="97" w:lineRule="exact"/>
        <w:rPr>
          <w:sz w:val="20"/>
          <w:szCs w:val="20"/>
          <w:color w:val="auto"/>
        </w:rPr>
      </w:pPr>
    </w:p>
    <w:p>
      <w:pPr>
        <w:ind w:left="3" w:right="60" w:firstLine="362"/>
        <w:spacing w:after="0" w:line="258" w:lineRule="auto"/>
        <w:rPr>
          <w:sz w:val="20"/>
          <w:szCs w:val="20"/>
          <w:color w:val="auto"/>
        </w:rPr>
      </w:pPr>
      <w:r>
        <w:rPr>
          <w:rFonts w:ascii="Arial" w:cs="Arial" w:eastAsia="Arial" w:hAnsi="Arial"/>
          <w:sz w:val="16"/>
          <w:szCs w:val="16"/>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consolidated balance sheet at fair value. The fair value of derivative instruments is recorded on the consolidated balance sheets. If individual derivative instruments with the same counterparty can be settled on a net basis, the Company records the corresponding derivative fair values as a net asset or net liability.</w:t>
      </w:r>
    </w:p>
    <w:p>
      <w:pPr>
        <w:spacing w:after="0" w:line="200" w:lineRule="exact"/>
        <w:rPr>
          <w:sz w:val="20"/>
          <w:szCs w:val="20"/>
          <w:color w:val="auto"/>
        </w:rPr>
      </w:pPr>
    </w:p>
    <w:p>
      <w:pPr>
        <w:spacing w:after="0" w:line="27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903" w:right="319" w:bottom="1440" w:gutter="0" w:footer="0" w:header="0"/>
        </w:sectPr>
      </w:pPr>
    </w:p>
    <w:bookmarkStart w:id="16" w:name="page17"/>
    <w:bookmarkEnd w:id="16"/>
    <w:p>
      <w:pPr>
        <w:ind w:right="20" w:firstLine="362"/>
        <w:spacing w:after="0" w:line="277" w:lineRule="auto"/>
        <w:rPr>
          <w:sz w:val="20"/>
          <w:szCs w:val="20"/>
          <w:color w:val="auto"/>
        </w:rPr>
      </w:pPr>
      <w:r>
        <w:rPr>
          <w:rFonts w:ascii="Arial" w:cs="Arial" w:eastAsia="Arial" w:hAnsi="Arial"/>
          <w:sz w:val="15"/>
          <w:szCs w:val="15"/>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The notional amount of aluminum futures contracts that hedged future purchases of aluminum to meet fixed-price forward sales contract obligations was $13.9 million (12.4 million pounds of aluminum) at June 30, 2021 and $12.1 million (13.0 million pounds of aluminum) at December 31, 2020.</w:t>
      </w:r>
    </w:p>
    <w:p>
      <w:pPr>
        <w:spacing w:after="0" w:line="36" w:lineRule="exact"/>
        <w:rPr>
          <w:sz w:val="20"/>
          <w:szCs w:val="20"/>
          <w:color w:val="auto"/>
        </w:rPr>
      </w:pPr>
    </w:p>
    <w:p>
      <w:pPr>
        <w:ind w:right="260" w:firstLine="362"/>
        <w:spacing w:after="0" w:line="275" w:lineRule="auto"/>
        <w:rPr>
          <w:sz w:val="20"/>
          <w:szCs w:val="20"/>
          <w:color w:val="auto"/>
        </w:rPr>
      </w:pPr>
      <w:r>
        <w:rPr>
          <w:rFonts w:ascii="Arial" w:cs="Arial" w:eastAsia="Arial" w:hAnsi="Arial"/>
          <w:sz w:val="16"/>
          <w:szCs w:val="16"/>
          <w:color w:val="auto"/>
        </w:rPr>
        <w:t>The table below summarizes the location and gross amounts of aluminum futures contract fair values (Level 2) in the consolidated balance sheets as of June 30, 2021 and December 31, 2020:</w:t>
      </w:r>
    </w:p>
    <w:tbl>
      <w:tblPr>
        <w:tblLayout w:type="fixed"/>
        <w:tblInd w:w="0" w:type="dxa"/>
        <w:tblCellMar>
          <w:top w:w="0" w:type="dxa"/>
          <w:left w:w="0" w:type="dxa"/>
          <w:bottom w:w="0" w:type="dxa"/>
          <w:right w:w="0" w:type="dxa"/>
        </w:tblCellMar>
      </w:tblPr>
      <w:tr>
        <w:trPr>
          <w:trHeight w:val="210"/>
        </w:trPr>
        <w:tc>
          <w:tcPr>
            <w:tcW w:w="4660" w:type="dxa"/>
            <w:vAlign w:val="bottom"/>
            <w:tcBorders>
              <w:top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6"/>
                <w:szCs w:val="16"/>
                <w:color w:val="auto"/>
                <w:w w:val="88"/>
              </w:rPr>
              <w:t>June 30, 2021</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3"/>
          </w:tcPr>
          <w:p>
            <w:pPr>
              <w:jc w:val="right"/>
              <w:ind w:right="740"/>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2260" w:type="dxa"/>
            <w:vAlign w:val="bottom"/>
          </w:tcPr>
          <w:p>
            <w:pPr>
              <w:jc w:val="center"/>
              <w:ind w:right="20"/>
              <w:spacing w:after="0" w:line="149" w:lineRule="exact"/>
              <w:rPr>
                <w:sz w:val="20"/>
                <w:szCs w:val="20"/>
                <w:color w:val="auto"/>
              </w:rPr>
            </w:pPr>
            <w:r>
              <w:rPr>
                <w:rFonts w:ascii="Arial" w:cs="Arial" w:eastAsia="Arial" w:hAnsi="Arial"/>
                <w:sz w:val="16"/>
                <w:szCs w:val="16"/>
                <w:color w:val="auto"/>
                <w:w w:val="88"/>
              </w:rPr>
              <w:t>Balance Sheet</w:t>
            </w:r>
          </w:p>
        </w:tc>
        <w:tc>
          <w:tcPr>
            <w:tcW w:w="120" w:type="dxa"/>
            <w:vAlign w:val="bottom"/>
          </w:tcPr>
          <w:p>
            <w:pPr>
              <w:spacing w:after="0"/>
              <w:rPr>
                <w:sz w:val="12"/>
                <w:szCs w:val="12"/>
                <w:color w:val="auto"/>
              </w:rPr>
            </w:pPr>
          </w:p>
        </w:tc>
        <w:tc>
          <w:tcPr>
            <w:tcW w:w="860" w:type="dxa"/>
            <w:vAlign w:val="bottom"/>
          </w:tcPr>
          <w:p>
            <w:pPr>
              <w:jc w:val="right"/>
              <w:ind w:right="280"/>
              <w:spacing w:after="0" w:line="149" w:lineRule="exact"/>
              <w:rPr>
                <w:sz w:val="20"/>
                <w:szCs w:val="20"/>
                <w:color w:val="auto"/>
              </w:rPr>
            </w:pPr>
            <w:r>
              <w:rPr>
                <w:rFonts w:ascii="Arial" w:cs="Arial" w:eastAsia="Arial" w:hAnsi="Arial"/>
                <w:sz w:val="16"/>
                <w:szCs w:val="16"/>
                <w:color w:val="auto"/>
              </w:rPr>
              <w:t>Fair</w:t>
            </w:r>
          </w:p>
        </w:tc>
        <w:tc>
          <w:tcPr>
            <w:tcW w:w="100" w:type="dxa"/>
            <w:vAlign w:val="bottom"/>
          </w:tcPr>
          <w:p>
            <w:pPr>
              <w:spacing w:after="0"/>
              <w:rPr>
                <w:sz w:val="12"/>
                <w:szCs w:val="12"/>
                <w:color w:val="auto"/>
              </w:rPr>
            </w:pPr>
          </w:p>
        </w:tc>
        <w:tc>
          <w:tcPr>
            <w:tcW w:w="2040" w:type="dxa"/>
            <w:vAlign w:val="bottom"/>
          </w:tcPr>
          <w:p>
            <w:pPr>
              <w:jc w:val="center"/>
              <w:ind w:left="40"/>
              <w:spacing w:after="0" w:line="149" w:lineRule="exact"/>
              <w:rPr>
                <w:sz w:val="20"/>
                <w:szCs w:val="20"/>
                <w:color w:val="auto"/>
              </w:rPr>
            </w:pPr>
            <w:r>
              <w:rPr>
                <w:rFonts w:ascii="Arial" w:cs="Arial" w:eastAsia="Arial" w:hAnsi="Arial"/>
                <w:sz w:val="16"/>
                <w:szCs w:val="16"/>
                <w:color w:val="auto"/>
                <w:w w:val="88"/>
              </w:rPr>
              <w:t>Balance Sheet</w:t>
            </w:r>
          </w:p>
        </w:tc>
        <w:tc>
          <w:tcPr>
            <w:tcW w:w="340" w:type="dxa"/>
            <w:vAlign w:val="bottom"/>
          </w:tcPr>
          <w:p>
            <w:pPr>
              <w:spacing w:after="0"/>
              <w:rPr>
                <w:sz w:val="12"/>
                <w:szCs w:val="12"/>
                <w:color w:val="auto"/>
              </w:rPr>
            </w:pPr>
          </w:p>
        </w:tc>
        <w:tc>
          <w:tcPr>
            <w:tcW w:w="880" w:type="dxa"/>
            <w:vAlign w:val="bottom"/>
          </w:tcPr>
          <w:p>
            <w:pPr>
              <w:jc w:val="right"/>
              <w:ind w:right="280"/>
              <w:spacing w:after="0" w:line="149" w:lineRule="exact"/>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center"/>
              <w:ind w:right="360"/>
              <w:spacing w:after="0"/>
              <w:rPr>
                <w:sz w:val="20"/>
                <w:szCs w:val="20"/>
                <w:color w:val="auto"/>
              </w:rPr>
            </w:pPr>
            <w:r>
              <w:rPr>
                <w:rFonts w:ascii="Arial" w:cs="Arial" w:eastAsia="Arial" w:hAnsi="Arial"/>
                <w:sz w:val="16"/>
                <w:szCs w:val="16"/>
                <w:color w:val="auto"/>
                <w:w w:val="93"/>
              </w:rPr>
              <w:t>Account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Value</w:t>
            </w:r>
          </w:p>
        </w:tc>
        <w:tc>
          <w:tcPr>
            <w:tcW w:w="2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3"/>
              </w:rPr>
              <w:t>Account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w w:val="87"/>
              </w:rPr>
              <w:t>Value</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Designated as Hedging Instruments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tcPr>
          <w:p>
            <w:pPr>
              <w:ind w:left="20"/>
              <w:spacing w:after="0" w:line="157" w:lineRule="exact"/>
              <w:rPr>
                <w:sz w:val="20"/>
                <w:szCs w:val="20"/>
                <w:color w:val="auto"/>
              </w:rPr>
            </w:pPr>
            <w:r>
              <w:rPr>
                <w:rFonts w:ascii="Arial" w:cs="Arial" w:eastAsia="Arial" w:hAnsi="Arial"/>
                <w:sz w:val="16"/>
                <w:szCs w:val="16"/>
                <w:color w:val="auto"/>
              </w:rPr>
              <w:t>Asset derivatives:</w:t>
            </w:r>
          </w:p>
        </w:tc>
        <w:tc>
          <w:tcPr>
            <w:tcW w:w="2260" w:type="dxa"/>
            <w:vAlign w:val="bottom"/>
          </w:tcPr>
          <w:p>
            <w:pPr>
              <w:jc w:val="center"/>
              <w:spacing w:after="0" w:line="157" w:lineRule="exact"/>
              <w:rPr>
                <w:sz w:val="20"/>
                <w:szCs w:val="20"/>
                <w:color w:val="auto"/>
              </w:rPr>
            </w:pPr>
            <w:r>
              <w:rPr>
                <w:rFonts w:ascii="Arial" w:cs="Arial" w:eastAsia="Arial" w:hAnsi="Arial"/>
                <w:sz w:val="16"/>
                <w:szCs w:val="16"/>
                <w:color w:val="auto"/>
                <w:w w:val="86"/>
              </w:rPr>
              <w:t>Prepaid expenses and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3"/>
                <w:szCs w:val="13"/>
                <w:color w:val="auto"/>
              </w:rPr>
            </w:pPr>
          </w:p>
        </w:tc>
        <w:tc>
          <w:tcPr>
            <w:tcW w:w="2040" w:type="dxa"/>
            <w:vAlign w:val="bottom"/>
          </w:tcPr>
          <w:p>
            <w:pPr>
              <w:jc w:val="center"/>
              <w:ind w:left="60"/>
              <w:spacing w:after="0" w:line="157" w:lineRule="exact"/>
              <w:rPr>
                <w:sz w:val="20"/>
                <w:szCs w:val="20"/>
                <w:color w:val="auto"/>
              </w:rPr>
            </w:pPr>
            <w:r>
              <w:rPr>
                <w:rFonts w:ascii="Arial" w:cs="Arial" w:eastAsia="Arial" w:hAnsi="Arial"/>
                <w:sz w:val="16"/>
                <w:szCs w:val="16"/>
                <w:color w:val="auto"/>
                <w:w w:val="86"/>
              </w:rPr>
              <w:t>Prepaid expenses and</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05"/>
        </w:trPr>
        <w:tc>
          <w:tcPr>
            <w:tcW w:w="4660" w:type="dxa"/>
            <w:vAlign w:val="bottom"/>
          </w:tcPr>
          <w:p>
            <w:pPr>
              <w:ind w:left="660"/>
              <w:spacing w:after="0"/>
              <w:rPr>
                <w:sz w:val="20"/>
                <w:szCs w:val="20"/>
                <w:color w:val="auto"/>
              </w:rPr>
            </w:pPr>
            <w:r>
              <w:rPr>
                <w:rFonts w:ascii="Arial" w:cs="Arial" w:eastAsia="Arial" w:hAnsi="Arial"/>
                <w:sz w:val="16"/>
                <w:szCs w:val="16"/>
                <w:color w:val="auto"/>
              </w:rPr>
              <w:t>Aluminum futures contracts</w:t>
            </w:r>
          </w:p>
        </w:tc>
        <w:tc>
          <w:tcPr>
            <w:tcW w:w="2260" w:type="dxa"/>
            <w:vAlign w:val="bottom"/>
          </w:tcPr>
          <w:p>
            <w:pPr>
              <w:jc w:val="center"/>
              <w:ind w:right="380"/>
              <w:spacing w:after="0"/>
              <w:rPr>
                <w:sz w:val="20"/>
                <w:szCs w:val="20"/>
                <w:color w:val="auto"/>
              </w:rPr>
            </w:pPr>
            <w:r>
              <w:rPr>
                <w:rFonts w:ascii="Arial" w:cs="Arial" w:eastAsia="Arial" w:hAnsi="Arial"/>
                <w:sz w:val="16"/>
                <w:szCs w:val="16"/>
                <w:color w:val="auto"/>
                <w:w w:val="87"/>
              </w:rPr>
              <w:t>other</w:t>
            </w: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140"/>
              <w:spacing w:after="0"/>
              <w:rPr>
                <w:sz w:val="20"/>
                <w:szCs w:val="20"/>
                <w:color w:val="auto"/>
              </w:rPr>
            </w:pPr>
            <w:r>
              <w:rPr>
                <w:rFonts w:ascii="Arial" w:cs="Arial" w:eastAsia="Arial" w:hAnsi="Arial"/>
                <w:sz w:val="16"/>
                <w:szCs w:val="16"/>
                <w:color w:val="auto"/>
                <w:w w:val="93"/>
              </w:rPr>
              <w:t>other</w:t>
            </w:r>
          </w:p>
        </w:tc>
        <w:tc>
          <w:tcPr>
            <w:tcW w:w="3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Liability derivatives:</w:t>
            </w:r>
          </w:p>
        </w:tc>
        <w:tc>
          <w:tcPr>
            <w:tcW w:w="2260" w:type="dxa"/>
            <w:vAlign w:val="bottom"/>
            <w:vMerge w:val="restart"/>
            <w:shd w:val="clear" w:color="auto" w:fill="CCEEFF"/>
          </w:tcPr>
          <w:p>
            <w:pPr>
              <w:jc w:val="center"/>
              <w:ind w:right="20"/>
              <w:spacing w:after="0"/>
              <w:rPr>
                <w:sz w:val="20"/>
                <w:szCs w:val="20"/>
                <w:color w:val="auto"/>
              </w:rPr>
            </w:pPr>
            <w:r>
              <w:rPr>
                <w:rFonts w:ascii="Arial" w:cs="Arial" w:eastAsia="Arial" w:hAnsi="Arial"/>
                <w:sz w:val="16"/>
                <w:szCs w:val="16"/>
                <w:color w:val="auto"/>
                <w:w w:val="88"/>
              </w:rPr>
              <w:t>Accrued expenses</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3"/>
                <w:szCs w:val="13"/>
                <w:color w:val="auto"/>
              </w:rPr>
            </w:pPr>
          </w:p>
        </w:tc>
        <w:tc>
          <w:tcPr>
            <w:tcW w:w="2040" w:type="dxa"/>
            <w:vAlign w:val="bottom"/>
            <w:vMerge w:val="restart"/>
            <w:shd w:val="clear" w:color="auto" w:fill="CCEEFF"/>
          </w:tcPr>
          <w:p>
            <w:pPr>
              <w:jc w:val="center"/>
              <w:ind w:left="40"/>
              <w:spacing w:after="0"/>
              <w:rPr>
                <w:sz w:val="20"/>
                <w:szCs w:val="20"/>
                <w:color w:val="auto"/>
              </w:rPr>
            </w:pPr>
            <w:r>
              <w:rPr>
                <w:rFonts w:ascii="Arial" w:cs="Arial" w:eastAsia="Arial" w:hAnsi="Arial"/>
                <w:sz w:val="16"/>
                <w:szCs w:val="16"/>
                <w:color w:val="auto"/>
                <w:w w:val="88"/>
              </w:rPr>
              <w:t>Accrued expenses</w:t>
            </w:r>
          </w:p>
        </w:tc>
        <w:tc>
          <w:tcPr>
            <w:tcW w:w="3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Aluminum futures contracts</w:t>
            </w:r>
          </w:p>
        </w:tc>
        <w:tc>
          <w:tcPr>
            <w:tcW w:w="2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w:t>
            </w:r>
          </w:p>
        </w:tc>
        <w:tc>
          <w:tcPr>
            <w:tcW w:w="2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w:t>
            </w: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right="120" w:firstLine="362"/>
        <w:spacing w:after="0" w:line="314" w:lineRule="auto"/>
        <w:rPr>
          <w:sz w:val="20"/>
          <w:szCs w:val="20"/>
          <w:color w:val="auto"/>
        </w:rPr>
      </w:pPr>
      <w:r>
        <w:rPr>
          <w:rFonts w:ascii="Arial" w:cs="Arial" w:eastAsia="Arial" w:hAnsi="Arial"/>
          <w:sz w:val="15"/>
          <w:szCs w:val="15"/>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7" w:lineRule="exact"/>
        <w:rPr>
          <w:sz w:val="20"/>
          <w:szCs w:val="20"/>
          <w:color w:val="auto"/>
        </w:rPr>
      </w:pPr>
    </w:p>
    <w:p>
      <w:pPr>
        <w:ind w:right="40" w:firstLine="362"/>
        <w:spacing w:after="0" w:line="261" w:lineRule="auto"/>
        <w:rPr>
          <w:sz w:val="20"/>
          <w:szCs w:val="20"/>
          <w:color w:val="auto"/>
        </w:rPr>
      </w:pPr>
      <w:r>
        <w:rPr>
          <w:rFonts w:ascii="Arial" w:cs="Arial" w:eastAsia="Arial" w:hAnsi="Arial"/>
          <w:sz w:val="16"/>
          <w:szCs w:val="16"/>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is annual net costs of R$119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Terphane Ltda. has the following outstanding foreign exchange average forward rate contracts to purchase Brazilian Real and sell U.S. Dollars: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80" w:type="dxa"/>
            <w:vAlign w:val="bottom"/>
            <w:tcBorders>
              <w:top w:val="single" w:sz="8" w:color="auto"/>
            </w:tcBorders>
            <w:vMerge w:val="restart"/>
          </w:tcPr>
          <w:p>
            <w:pPr>
              <w:jc w:val="center"/>
              <w:ind w:left="220"/>
              <w:spacing w:after="0"/>
              <w:rPr>
                <w:sz w:val="20"/>
                <w:szCs w:val="20"/>
                <w:color w:val="auto"/>
              </w:rPr>
            </w:pPr>
            <w:r>
              <w:rPr>
                <w:rFonts w:ascii="Arial" w:cs="Arial" w:eastAsia="Arial" w:hAnsi="Arial"/>
                <w:sz w:val="16"/>
                <w:szCs w:val="16"/>
                <w:color w:val="auto"/>
                <w:w w:val="95"/>
              </w:rPr>
              <w:t>USD Notional Amount</w:t>
            </w:r>
          </w:p>
        </w:tc>
        <w:tc>
          <w:tcPr>
            <w:tcW w:w="2340" w:type="dxa"/>
            <w:vAlign w:val="bottom"/>
            <w:tcBorders>
              <w:top w:val="single" w:sz="8" w:color="auto"/>
            </w:tcBorders>
            <w:vMerge w:val="restart"/>
          </w:tcPr>
          <w:p>
            <w:pPr>
              <w:jc w:val="center"/>
              <w:ind w:left="40"/>
              <w:spacing w:after="0"/>
              <w:rPr>
                <w:sz w:val="20"/>
                <w:szCs w:val="20"/>
                <w:color w:val="auto"/>
              </w:rPr>
            </w:pPr>
            <w:r>
              <w:rPr>
                <w:rFonts w:ascii="Arial" w:cs="Arial" w:eastAsia="Arial" w:hAnsi="Arial"/>
                <w:sz w:val="16"/>
                <w:szCs w:val="16"/>
                <w:color w:val="auto"/>
                <w:w w:val="90"/>
              </w:rPr>
              <w:t>Average Forward Rate</w:t>
            </w:r>
          </w:p>
        </w:tc>
        <w:tc>
          <w:tcPr>
            <w:tcW w:w="2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 Equivalent Amount</w:t>
            </w:r>
          </w:p>
        </w:tc>
        <w:tc>
          <w:tcPr>
            <w:tcW w:w="196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jc w:val="center"/>
              <w:ind w:left="300"/>
              <w:spacing w:after="0" w:line="169" w:lineRule="exact"/>
              <w:rPr>
                <w:sz w:val="20"/>
                <w:szCs w:val="20"/>
                <w:color w:val="auto"/>
              </w:rPr>
            </w:pPr>
            <w:r>
              <w:rPr>
                <w:rFonts w:ascii="Arial" w:cs="Arial" w:eastAsia="Arial" w:hAnsi="Arial"/>
                <w:sz w:val="16"/>
                <w:szCs w:val="16"/>
                <w:color w:val="auto"/>
                <w:w w:val="90"/>
              </w:rPr>
              <w:t>Estimated % of Terphane</w:t>
            </w:r>
          </w:p>
        </w:tc>
        <w:tc>
          <w:tcPr>
            <w:tcW w:w="0" w:type="dxa"/>
            <w:vAlign w:val="bottom"/>
          </w:tcPr>
          <w:p>
            <w:pPr>
              <w:spacing w:after="0"/>
              <w:rPr>
                <w:sz w:val="1"/>
                <w:szCs w:val="1"/>
                <w:color w:val="auto"/>
              </w:rPr>
            </w:pPr>
          </w:p>
        </w:tc>
      </w:tr>
      <w:tr>
        <w:trPr>
          <w:trHeight w:val="157"/>
        </w:trPr>
        <w:tc>
          <w:tcPr>
            <w:tcW w:w="2280" w:type="dxa"/>
            <w:vAlign w:val="bottom"/>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960" w:type="dxa"/>
            <w:vAlign w:val="bottom"/>
            <w:vMerge w:val="restart"/>
          </w:tcPr>
          <w:p>
            <w:pPr>
              <w:jc w:val="center"/>
              <w:ind w:left="20"/>
              <w:spacing w:after="0"/>
              <w:rPr>
                <w:sz w:val="20"/>
                <w:szCs w:val="20"/>
                <w:color w:val="auto"/>
              </w:rPr>
            </w:pPr>
            <w:r>
              <w:rPr>
                <w:rFonts w:ascii="Arial" w:cs="Arial" w:eastAsia="Arial" w:hAnsi="Arial"/>
                <w:sz w:val="16"/>
                <w:szCs w:val="16"/>
                <w:color w:val="auto"/>
                <w:w w:val="96"/>
              </w:rPr>
              <w:t>Applicable Month</w:t>
            </w:r>
          </w:p>
        </w:tc>
        <w:tc>
          <w:tcPr>
            <w:tcW w:w="2260" w:type="dxa"/>
            <w:vAlign w:val="bottom"/>
          </w:tcPr>
          <w:p>
            <w:pPr>
              <w:jc w:val="center"/>
              <w:spacing w:after="0" w:line="157" w:lineRule="exact"/>
              <w:rPr>
                <w:sz w:val="20"/>
                <w:szCs w:val="20"/>
                <w:color w:val="auto"/>
              </w:rPr>
            </w:pPr>
            <w:r>
              <w:rPr>
                <w:rFonts w:ascii="Arial" w:cs="Arial" w:eastAsia="Arial" w:hAnsi="Arial"/>
                <w:sz w:val="16"/>
                <w:szCs w:val="16"/>
                <w:color w:val="auto"/>
                <w:w w:val="91"/>
              </w:rPr>
              <w:t>Ltda. R$ Operating Cost</w:t>
            </w:r>
          </w:p>
        </w:tc>
        <w:tc>
          <w:tcPr>
            <w:tcW w:w="0" w:type="dxa"/>
            <w:vAlign w:val="bottom"/>
          </w:tcPr>
          <w:p>
            <w:pPr>
              <w:spacing w:after="0"/>
              <w:rPr>
                <w:sz w:val="1"/>
                <w:szCs w:val="1"/>
                <w:color w:val="auto"/>
              </w:rPr>
            </w:pPr>
          </w:p>
        </w:tc>
      </w:tr>
      <w:tr>
        <w:trPr>
          <w:trHeight w:val="205"/>
        </w:trPr>
        <w:tc>
          <w:tcPr>
            <w:tcW w:w="22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(000s)</w:t>
            </w:r>
          </w:p>
        </w:tc>
        <w:tc>
          <w:tcPr>
            <w:tcW w:w="23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Contracted on USD/BRL</w:t>
            </w:r>
          </w:p>
        </w:tc>
        <w:tc>
          <w:tcPr>
            <w:tcW w:w="234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(000s)</w:t>
            </w:r>
          </w:p>
        </w:tc>
        <w:tc>
          <w:tcPr>
            <w:tcW w:w="196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Exposure Hedged</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$1,450</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5.4945</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R$7,967</w:t>
            </w:r>
          </w:p>
        </w:tc>
        <w:tc>
          <w:tcPr>
            <w:tcW w:w="19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1"/>
              </w:rPr>
              <w:t>Jul-21</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80%</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$1,430</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5.4993</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R$7,864</w:t>
            </w:r>
          </w:p>
        </w:tc>
        <w:tc>
          <w:tcPr>
            <w:tcW w:w="1960" w:type="dxa"/>
            <w:vAlign w:val="bottom"/>
          </w:tcPr>
          <w:p>
            <w:pPr>
              <w:jc w:val="center"/>
              <w:ind w:left="20"/>
              <w:spacing w:after="0"/>
              <w:rPr>
                <w:sz w:val="20"/>
                <w:szCs w:val="20"/>
                <w:color w:val="auto"/>
              </w:rPr>
            </w:pPr>
            <w:r>
              <w:rPr>
                <w:rFonts w:ascii="Arial" w:cs="Arial" w:eastAsia="Arial" w:hAnsi="Arial"/>
                <w:sz w:val="16"/>
                <w:szCs w:val="16"/>
                <w:color w:val="auto"/>
                <w:w w:val="96"/>
              </w:rPr>
              <w:t>Aug-21</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79%</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$1,520</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5.5105</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R$8,376</w:t>
            </w:r>
          </w:p>
        </w:tc>
        <w:tc>
          <w:tcPr>
            <w:tcW w:w="196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89"/>
              </w:rPr>
              <w:t>Sep-21</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84%</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$1,400</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5.5100</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R$7,714</w:t>
            </w:r>
          </w:p>
        </w:tc>
        <w:tc>
          <w:tcPr>
            <w:tcW w:w="1960" w:type="dxa"/>
            <w:vAlign w:val="bottom"/>
          </w:tcPr>
          <w:p>
            <w:pPr>
              <w:jc w:val="center"/>
              <w:ind w:left="40"/>
              <w:spacing w:after="0"/>
              <w:rPr>
                <w:sz w:val="20"/>
                <w:szCs w:val="20"/>
                <w:color w:val="auto"/>
              </w:rPr>
            </w:pPr>
            <w:r>
              <w:rPr>
                <w:rFonts w:ascii="Arial" w:cs="Arial" w:eastAsia="Arial" w:hAnsi="Arial"/>
                <w:sz w:val="16"/>
                <w:szCs w:val="16"/>
                <w:color w:val="auto"/>
                <w:w w:val="91"/>
              </w:rPr>
              <w:t>Oct-21</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78%</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$1,495</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5.5224</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R$8,256</w:t>
            </w:r>
          </w:p>
        </w:tc>
        <w:tc>
          <w:tcPr>
            <w:tcW w:w="196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6"/>
              </w:rPr>
              <w:t>Nov-21</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83%</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89"/>
              </w:rPr>
              <w:t>$1,170</w:t>
            </w:r>
          </w:p>
        </w:tc>
        <w:tc>
          <w:tcPr>
            <w:tcW w:w="234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89"/>
              </w:rPr>
              <w:t>5.5060</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R$6,442</w:t>
            </w:r>
          </w:p>
        </w:tc>
        <w:tc>
          <w:tcPr>
            <w:tcW w:w="196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w w:val="92"/>
              </w:rPr>
              <w:t>Dec-21</w:t>
            </w:r>
          </w:p>
        </w:tc>
        <w:tc>
          <w:tcPr>
            <w:tcW w:w="226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color w:val="auto"/>
                <w:w w:val="87"/>
              </w:rPr>
              <w:t>65%</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shd w:val="clear" w:color="auto" w:fill="CCEEFF"/>
          </w:tcPr>
          <w:p>
            <w:pPr>
              <w:jc w:val="center"/>
              <w:ind w:left="200"/>
              <w:spacing w:after="0"/>
              <w:rPr>
                <w:sz w:val="20"/>
                <w:szCs w:val="20"/>
                <w:color w:val="auto"/>
              </w:rPr>
            </w:pPr>
            <w:r>
              <w:rPr>
                <w:rFonts w:ascii="Arial" w:cs="Arial" w:eastAsia="Arial" w:hAnsi="Arial"/>
                <w:sz w:val="16"/>
                <w:szCs w:val="16"/>
                <w:color w:val="auto"/>
                <w:w w:val="89"/>
              </w:rPr>
              <w:t>$8,465</w:t>
            </w:r>
          </w:p>
        </w:tc>
        <w:tc>
          <w:tcPr>
            <w:tcW w:w="2340" w:type="dxa"/>
            <w:vAlign w:val="bottom"/>
            <w:tcBorders>
              <w:bottom w:val="single" w:sz="8" w:color="auto"/>
            </w:tcBorders>
            <w:shd w:val="clear" w:color="auto" w:fill="CCEEFF"/>
          </w:tcPr>
          <w:p>
            <w:pPr>
              <w:jc w:val="center"/>
              <w:ind w:left="60"/>
              <w:spacing w:after="0"/>
              <w:rPr>
                <w:sz w:val="20"/>
                <w:szCs w:val="20"/>
                <w:color w:val="auto"/>
              </w:rPr>
            </w:pPr>
            <w:r>
              <w:rPr>
                <w:rFonts w:ascii="Arial" w:cs="Arial" w:eastAsia="Arial" w:hAnsi="Arial"/>
                <w:sz w:val="16"/>
                <w:szCs w:val="16"/>
                <w:color w:val="auto"/>
                <w:w w:val="89"/>
              </w:rPr>
              <w:t>5.5073</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R$46,619</w:t>
            </w:r>
          </w:p>
        </w:tc>
        <w:tc>
          <w:tcPr>
            <w:tcW w:w="196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center"/>
              <w:ind w:left="300"/>
              <w:spacing w:after="0"/>
              <w:rPr>
                <w:sz w:val="20"/>
                <w:szCs w:val="20"/>
                <w:color w:val="auto"/>
              </w:rPr>
            </w:pPr>
            <w:r>
              <w:rPr>
                <w:rFonts w:ascii="Arial" w:cs="Arial" w:eastAsia="Arial" w:hAnsi="Arial"/>
                <w:sz w:val="16"/>
                <w:szCs w:val="16"/>
                <w:color w:val="auto"/>
                <w:w w:val="87"/>
              </w:rPr>
              <w:t>78%</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140" w:firstLine="362"/>
        <w:spacing w:after="0" w:line="283" w:lineRule="auto"/>
        <w:rPr>
          <w:sz w:val="20"/>
          <w:szCs w:val="20"/>
          <w:color w:val="auto"/>
        </w:rPr>
      </w:pPr>
      <w:r>
        <w:rPr>
          <w:rFonts w:ascii="Arial" w:cs="Arial" w:eastAsia="Arial" w:hAnsi="Arial"/>
          <w:sz w:val="15"/>
          <w:szCs w:val="15"/>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consolidated statements of income. Pre-tax accumulated losses of $0.8 million related to the net fair value of the open forward contracts is reported in accumulated other comprehensive income (loss) as of June 30, 2021.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7" w:name="page18"/>
    <w:bookmarkEnd w:id="17"/>
    <w:p>
      <w:pPr>
        <w:ind w:right="140" w:firstLine="362"/>
        <w:spacing w:after="0" w:line="275" w:lineRule="auto"/>
        <w:rPr>
          <w:sz w:val="20"/>
          <w:szCs w:val="20"/>
          <w:color w:val="auto"/>
        </w:rPr>
      </w:pPr>
      <w:r>
        <w:rPr>
          <w:rFonts w:ascii="Arial" w:cs="Arial" w:eastAsia="Arial" w:hAnsi="Arial"/>
          <w:sz w:val="16"/>
          <w:szCs w:val="16"/>
          <w:color w:val="auto"/>
        </w:rPr>
        <w:t>The table below summarizes the location and gross amounts of foreign currency forward contract fair values (Level 2) in the consolidated balance sheets as of June 30, 2021 and December 31, 2020:</w:t>
      </w:r>
    </w:p>
    <w:tbl>
      <w:tblPr>
        <w:tblLayout w:type="fixed"/>
        <w:tblInd w:w="0" w:type="dxa"/>
        <w:tblCellMar>
          <w:top w:w="0" w:type="dxa"/>
          <w:left w:w="0" w:type="dxa"/>
          <w:bottom w:w="0" w:type="dxa"/>
          <w:right w:w="0" w:type="dxa"/>
        </w:tblCellMar>
      </w:tblPr>
      <w:tr>
        <w:trPr>
          <w:trHeight w:val="210"/>
        </w:trPr>
        <w:tc>
          <w:tcPr>
            <w:tcW w:w="466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color w:val="auto"/>
                <w:w w:val="88"/>
              </w:rPr>
              <w:t>June 30, 2021</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2280" w:type="dxa"/>
            <w:vAlign w:val="bottom"/>
          </w:tcPr>
          <w:p>
            <w:pPr>
              <w:jc w:val="center"/>
              <w:spacing w:after="0" w:line="149" w:lineRule="exact"/>
              <w:rPr>
                <w:sz w:val="20"/>
                <w:szCs w:val="20"/>
                <w:color w:val="auto"/>
              </w:rPr>
            </w:pPr>
            <w:r>
              <w:rPr>
                <w:rFonts w:ascii="Arial" w:cs="Arial" w:eastAsia="Arial" w:hAnsi="Arial"/>
                <w:sz w:val="16"/>
                <w:szCs w:val="16"/>
                <w:color w:val="auto"/>
                <w:w w:val="88"/>
              </w:rPr>
              <w:t>Balance Sheet</w:t>
            </w:r>
          </w:p>
        </w:tc>
        <w:tc>
          <w:tcPr>
            <w:tcW w:w="100" w:type="dxa"/>
            <w:vAlign w:val="bottom"/>
          </w:tcPr>
          <w:p>
            <w:pPr>
              <w:spacing w:after="0"/>
              <w:rPr>
                <w:sz w:val="12"/>
                <w:szCs w:val="12"/>
                <w:color w:val="auto"/>
              </w:rPr>
            </w:pPr>
          </w:p>
        </w:tc>
        <w:tc>
          <w:tcPr>
            <w:tcW w:w="860" w:type="dxa"/>
            <w:vAlign w:val="bottom"/>
          </w:tcPr>
          <w:p>
            <w:pPr>
              <w:jc w:val="right"/>
              <w:ind w:right="260"/>
              <w:spacing w:after="0" w:line="149" w:lineRule="exact"/>
              <w:rPr>
                <w:sz w:val="20"/>
                <w:szCs w:val="20"/>
                <w:color w:val="auto"/>
              </w:rPr>
            </w:pPr>
            <w:r>
              <w:rPr>
                <w:rFonts w:ascii="Arial" w:cs="Arial" w:eastAsia="Arial" w:hAnsi="Arial"/>
                <w:sz w:val="16"/>
                <w:szCs w:val="16"/>
                <w:color w:val="auto"/>
              </w:rPr>
              <w:t>Fair</w:t>
            </w:r>
          </w:p>
        </w:tc>
        <w:tc>
          <w:tcPr>
            <w:tcW w:w="100" w:type="dxa"/>
            <w:vAlign w:val="bottom"/>
          </w:tcPr>
          <w:p>
            <w:pPr>
              <w:spacing w:after="0"/>
              <w:rPr>
                <w:sz w:val="12"/>
                <w:szCs w:val="12"/>
                <w:color w:val="auto"/>
              </w:rPr>
            </w:pPr>
          </w:p>
        </w:tc>
        <w:tc>
          <w:tcPr>
            <w:tcW w:w="2040" w:type="dxa"/>
            <w:vAlign w:val="bottom"/>
          </w:tcPr>
          <w:p>
            <w:pPr>
              <w:jc w:val="center"/>
              <w:ind w:left="60"/>
              <w:spacing w:after="0" w:line="149" w:lineRule="exact"/>
              <w:rPr>
                <w:sz w:val="20"/>
                <w:szCs w:val="20"/>
                <w:color w:val="auto"/>
              </w:rPr>
            </w:pPr>
            <w:r>
              <w:rPr>
                <w:rFonts w:ascii="Arial" w:cs="Arial" w:eastAsia="Arial" w:hAnsi="Arial"/>
                <w:sz w:val="16"/>
                <w:szCs w:val="16"/>
                <w:color w:val="auto"/>
                <w:w w:val="86"/>
              </w:rPr>
              <w:t>Balance Sheet</w:t>
            </w:r>
          </w:p>
        </w:tc>
        <w:tc>
          <w:tcPr>
            <w:tcW w:w="36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jc w:val="center"/>
              <w:ind w:right="380"/>
              <w:spacing w:after="0"/>
              <w:rPr>
                <w:sz w:val="20"/>
                <w:szCs w:val="20"/>
                <w:color w:val="auto"/>
              </w:rPr>
            </w:pPr>
            <w:r>
              <w:rPr>
                <w:rFonts w:ascii="Arial" w:cs="Arial" w:eastAsia="Arial" w:hAnsi="Arial"/>
                <w:sz w:val="16"/>
                <w:szCs w:val="16"/>
                <w:color w:val="auto"/>
                <w:w w:val="93"/>
              </w:rPr>
              <w:t>Account</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Value</w:t>
            </w:r>
          </w:p>
        </w:tc>
        <w:tc>
          <w:tcPr>
            <w:tcW w:w="2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3"/>
              </w:rPr>
              <w:t>Account</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Designated as Hedging Instruments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tcPr>
          <w:p>
            <w:pPr>
              <w:ind w:left="20"/>
              <w:spacing w:after="0" w:line="157" w:lineRule="exact"/>
              <w:rPr>
                <w:sz w:val="20"/>
                <w:szCs w:val="20"/>
                <w:color w:val="auto"/>
              </w:rPr>
            </w:pPr>
            <w:r>
              <w:rPr>
                <w:rFonts w:ascii="Arial" w:cs="Arial" w:eastAsia="Arial" w:hAnsi="Arial"/>
                <w:sz w:val="16"/>
                <w:szCs w:val="16"/>
                <w:color w:val="auto"/>
              </w:rPr>
              <w:t>Asset derivatives:</w:t>
            </w:r>
          </w:p>
        </w:tc>
        <w:tc>
          <w:tcPr>
            <w:tcW w:w="2280" w:type="dxa"/>
            <w:vAlign w:val="bottom"/>
          </w:tcPr>
          <w:p>
            <w:pPr>
              <w:jc w:val="center"/>
              <w:ind w:right="20"/>
              <w:spacing w:after="0" w:line="157" w:lineRule="exact"/>
              <w:rPr>
                <w:sz w:val="20"/>
                <w:szCs w:val="20"/>
                <w:color w:val="auto"/>
              </w:rPr>
            </w:pPr>
            <w:r>
              <w:rPr>
                <w:rFonts w:ascii="Arial" w:cs="Arial" w:eastAsia="Arial" w:hAnsi="Arial"/>
                <w:sz w:val="16"/>
                <w:szCs w:val="16"/>
                <w:color w:val="auto"/>
                <w:w w:val="86"/>
              </w:rPr>
              <w:t>Prepaid expenses and</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3"/>
                <w:szCs w:val="13"/>
                <w:color w:val="auto"/>
              </w:rPr>
            </w:pPr>
          </w:p>
        </w:tc>
        <w:tc>
          <w:tcPr>
            <w:tcW w:w="2040" w:type="dxa"/>
            <w:vAlign w:val="bottom"/>
          </w:tcPr>
          <w:p>
            <w:pPr>
              <w:jc w:val="center"/>
              <w:ind w:left="60"/>
              <w:spacing w:after="0" w:line="157" w:lineRule="exact"/>
              <w:rPr>
                <w:sz w:val="20"/>
                <w:szCs w:val="20"/>
                <w:color w:val="auto"/>
              </w:rPr>
            </w:pPr>
            <w:r>
              <w:rPr>
                <w:rFonts w:ascii="Arial" w:cs="Arial" w:eastAsia="Arial" w:hAnsi="Arial"/>
                <w:sz w:val="16"/>
                <w:szCs w:val="16"/>
                <w:color w:val="auto"/>
                <w:w w:val="86"/>
              </w:rPr>
              <w:t>Prepaid expenses and</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center"/>
              <w:ind w:left="380"/>
              <w:spacing w:after="0"/>
              <w:rPr>
                <w:sz w:val="20"/>
                <w:szCs w:val="20"/>
                <w:color w:val="auto"/>
              </w:rPr>
            </w:pPr>
            <w:r>
              <w:rPr>
                <w:rFonts w:ascii="Arial" w:cs="Arial" w:eastAsia="Arial" w:hAnsi="Arial"/>
                <w:sz w:val="16"/>
                <w:szCs w:val="16"/>
                <w:color w:val="auto"/>
                <w:w w:val="89"/>
              </w:rPr>
              <w:t>853</w:t>
            </w:r>
          </w:p>
        </w:tc>
        <w:tc>
          <w:tcPr>
            <w:tcW w:w="0" w:type="dxa"/>
            <w:vAlign w:val="bottom"/>
          </w:tcPr>
          <w:p>
            <w:pPr>
              <w:spacing w:after="0"/>
              <w:rPr>
                <w:sz w:val="1"/>
                <w:szCs w:val="1"/>
                <w:color w:val="auto"/>
              </w:rPr>
            </w:pPr>
          </w:p>
        </w:tc>
      </w:tr>
      <w:tr>
        <w:trPr>
          <w:trHeight w:val="205"/>
        </w:trPr>
        <w:tc>
          <w:tcPr>
            <w:tcW w:w="4660" w:type="dxa"/>
            <w:vAlign w:val="bottom"/>
          </w:tcPr>
          <w:p>
            <w:pPr>
              <w:ind w:left="660"/>
              <w:spacing w:after="0"/>
              <w:rPr>
                <w:sz w:val="20"/>
                <w:szCs w:val="20"/>
                <w:color w:val="auto"/>
              </w:rPr>
            </w:pPr>
            <w:r>
              <w:rPr>
                <w:rFonts w:ascii="Arial" w:cs="Arial" w:eastAsia="Arial" w:hAnsi="Arial"/>
                <w:sz w:val="16"/>
                <w:szCs w:val="16"/>
                <w:color w:val="auto"/>
              </w:rPr>
              <w:t>Foreign currency forward contracts</w:t>
            </w:r>
          </w:p>
        </w:tc>
        <w:tc>
          <w:tcPr>
            <w:tcW w:w="2280" w:type="dxa"/>
            <w:vAlign w:val="bottom"/>
          </w:tcPr>
          <w:p>
            <w:pPr>
              <w:jc w:val="center"/>
              <w:ind w:right="360"/>
              <w:spacing w:after="0"/>
              <w:rPr>
                <w:sz w:val="20"/>
                <w:szCs w:val="20"/>
                <w:color w:val="auto"/>
              </w:rPr>
            </w:pPr>
            <w:r>
              <w:rPr>
                <w:rFonts w:ascii="Arial" w:cs="Arial" w:eastAsia="Arial" w:hAnsi="Arial"/>
                <w:sz w:val="16"/>
                <w:szCs w:val="16"/>
                <w:color w:val="auto"/>
                <w:w w:val="87"/>
              </w:rPr>
              <w:t>other</w:t>
            </w:r>
          </w:p>
        </w:tc>
        <w:tc>
          <w:tcPr>
            <w:tcW w:w="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140"/>
              <w:spacing w:after="0"/>
              <w:rPr>
                <w:sz w:val="20"/>
                <w:szCs w:val="20"/>
                <w:color w:val="auto"/>
              </w:rPr>
            </w:pPr>
            <w:r>
              <w:rPr>
                <w:rFonts w:ascii="Arial" w:cs="Arial" w:eastAsia="Arial" w:hAnsi="Arial"/>
                <w:sz w:val="16"/>
                <w:szCs w:val="16"/>
                <w:color w:val="auto"/>
                <w:w w:val="93"/>
              </w:rPr>
              <w:t>other</w:t>
            </w:r>
          </w:p>
        </w:tc>
        <w:tc>
          <w:tcPr>
            <w:tcW w:w="3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Liability derivatives:</w:t>
            </w:r>
          </w:p>
        </w:tc>
        <w:tc>
          <w:tcPr>
            <w:tcW w:w="2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Accrued expenses</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vMerge w:val="restart"/>
            <w:shd w:val="clear" w:color="auto" w:fill="CCEEFF"/>
          </w:tcPr>
          <w:p>
            <w:pPr>
              <w:jc w:val="center"/>
              <w:ind w:left="60"/>
              <w:spacing w:after="0"/>
              <w:rPr>
                <w:sz w:val="20"/>
                <w:szCs w:val="20"/>
                <w:color w:val="auto"/>
              </w:rPr>
            </w:pPr>
            <w:r>
              <w:rPr>
                <w:rFonts w:ascii="Arial" w:cs="Arial" w:eastAsia="Arial" w:hAnsi="Arial"/>
                <w:sz w:val="16"/>
                <w:szCs w:val="16"/>
                <w:color w:val="auto"/>
                <w:w w:val="89"/>
              </w:rPr>
              <w:t>Accrued expenses</w:t>
            </w:r>
          </w:p>
        </w:tc>
        <w:tc>
          <w:tcPr>
            <w:tcW w:w="3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ind w:left="360"/>
              <w:spacing w:after="0"/>
              <w:rPr>
                <w:sz w:val="20"/>
                <w:szCs w:val="20"/>
                <w:color w:val="auto"/>
              </w:rPr>
            </w:pPr>
            <w:r>
              <w:rPr>
                <w:rFonts w:ascii="Arial" w:cs="Arial" w:eastAsia="Arial" w:hAnsi="Arial"/>
                <w:sz w:val="16"/>
                <w:szCs w:val="16"/>
                <w:color w:val="auto"/>
                <w:w w:val="90"/>
              </w:rPr>
              <w:t>(466)</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w:t>
            </w:r>
          </w:p>
        </w:tc>
        <w:tc>
          <w:tcPr>
            <w:tcW w:w="2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vMerge w:val="continue"/>
            <w:shd w:val="clear" w:color="auto" w:fill="CCEEFF"/>
          </w:tcPr>
          <w:p>
            <w:pPr>
              <w:spacing w:after="0"/>
              <w:rPr>
                <w:sz w:val="17"/>
                <w:szCs w:val="17"/>
                <w:color w:val="auto"/>
              </w:rPr>
            </w:pPr>
          </w:p>
        </w:tc>
        <w:tc>
          <w:tcPr>
            <w:tcW w:w="204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asset (liability)</w:t>
            </w:r>
          </w:p>
        </w:tc>
        <w:tc>
          <w:tcPr>
            <w:tcW w:w="2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w w:val="89"/>
              </w:rPr>
              <w:t>387</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ind w:right="40" w:firstLine="362"/>
        <w:spacing w:after="0" w:line="283" w:lineRule="auto"/>
        <w:rPr>
          <w:sz w:val="20"/>
          <w:szCs w:val="20"/>
          <w:color w:val="auto"/>
        </w:rPr>
      </w:pPr>
      <w:r>
        <w:rPr>
          <w:rFonts w:ascii="Arial" w:cs="Arial" w:eastAsia="Arial" w:hAnsi="Arial"/>
          <w:sz w:val="15"/>
          <w:szCs w:val="15"/>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43" w:lineRule="exact"/>
        <w:rPr>
          <w:sz w:val="20"/>
          <w:szCs w:val="20"/>
          <w:color w:val="auto"/>
        </w:rPr>
      </w:pPr>
    </w:p>
    <w:p>
      <w:pPr>
        <w:ind w:right="340" w:firstLine="362"/>
        <w:spacing w:after="0" w:line="275" w:lineRule="auto"/>
        <w:rPr>
          <w:sz w:val="20"/>
          <w:szCs w:val="20"/>
          <w:color w:val="auto"/>
        </w:rPr>
      </w:pPr>
      <w:r>
        <w:rPr>
          <w:rFonts w:ascii="Arial" w:cs="Arial" w:eastAsia="Arial" w:hAnsi="Arial"/>
          <w:sz w:val="16"/>
          <w:szCs w:val="16"/>
          <w:color w:val="auto"/>
        </w:rPr>
        <w:t>The pretax effect on net income (loss) and other comprehensive income (loss) of derivative instruments classified as cash flow hedges and described in the previous paragraphs for the three and six month periods ended June 30, 2021 and 2020 is summarized in the table below:</w:t>
      </w:r>
    </w:p>
    <w:tbl>
      <w:tblPr>
        <w:tblLayout w:type="fixed"/>
        <w:tblInd w:w="0" w:type="dxa"/>
        <w:tblCellMar>
          <w:top w:w="0" w:type="dxa"/>
          <w:left w:w="0" w:type="dxa"/>
          <w:bottom w:w="0" w:type="dxa"/>
          <w:right w:w="0" w:type="dxa"/>
        </w:tblCellMar>
      </w:tblPr>
      <w:tr>
        <w:trPr>
          <w:trHeight w:val="210"/>
        </w:trPr>
        <w:tc>
          <w:tcPr>
            <w:tcW w:w="33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4"/>
          </w:tcPr>
          <w:p>
            <w:pPr>
              <w:ind w:left="380"/>
              <w:spacing w:after="0"/>
              <w:rPr>
                <w:sz w:val="20"/>
                <w:szCs w:val="20"/>
                <w:color w:val="auto"/>
              </w:rPr>
            </w:pPr>
            <w:r>
              <w:rPr>
                <w:rFonts w:ascii="Arial" w:cs="Arial" w:eastAsia="Arial" w:hAnsi="Arial"/>
                <w:sz w:val="16"/>
                <w:szCs w:val="16"/>
                <w:color w:val="auto"/>
              </w:rPr>
              <w:t>Cash Flow Derivative Hedges</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color w:val="auto"/>
              </w:rPr>
              <w:t>Three Months Ended June 30,</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auto"/>
              </w:rPr>
              <w:t>Aluminum Futures Contracts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gridSpan w:val="3"/>
          </w:tcPr>
          <w:p>
            <w:pPr>
              <w:ind w:left="180"/>
              <w:spacing w:after="0"/>
              <w:rPr>
                <w:sz w:val="20"/>
                <w:szCs w:val="20"/>
                <w:color w:val="auto"/>
              </w:rPr>
            </w:pPr>
            <w:r>
              <w:rPr>
                <w:rFonts w:ascii="Arial" w:cs="Arial" w:eastAsia="Arial" w:hAnsi="Arial"/>
                <w:sz w:val="16"/>
                <w:szCs w:val="16"/>
                <w:color w:val="auto"/>
                <w:w w:val="95"/>
              </w:rPr>
              <w:t>Foreign Currency Forwards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ind w:right="140"/>
              <w:spacing w:after="0"/>
              <w:rPr>
                <w:sz w:val="20"/>
                <w:szCs w:val="20"/>
                <w:color w:val="auto"/>
              </w:rPr>
            </w:pPr>
            <w:r>
              <w:rPr>
                <w:rFonts w:ascii="Arial" w:cs="Arial" w:eastAsia="Arial" w:hAnsi="Arial"/>
                <w:sz w:val="16"/>
                <w:szCs w:val="16"/>
                <w:color w:val="auto"/>
                <w:w w:val="89"/>
              </w:rPr>
              <w:t>2020</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2021</w:t>
            </w: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w w:val="99"/>
              </w:rPr>
              <w:t>Amount of pretax gain (loss) recognized in</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2,195</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(1,201)</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1,061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4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40" w:type="dxa"/>
            <w:vAlign w:val="bottom"/>
            <w:tcBorders>
              <w:right w:val="single" w:sz="8" w:color="auto"/>
            </w:tcBorders>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80" w:type="dxa"/>
            <w:vAlign w:val="bottom"/>
          </w:tcPr>
          <w:p>
            <w:pPr>
              <w:ind w:left="380"/>
              <w:spacing w:after="0" w:line="157" w:lineRule="exact"/>
              <w:rPr>
                <w:sz w:val="20"/>
                <w:szCs w:val="20"/>
                <w:color w:val="auto"/>
              </w:rPr>
            </w:pPr>
            <w:r>
              <w:rPr>
                <w:rFonts w:ascii="Arial" w:cs="Arial" w:eastAsia="Arial" w:hAnsi="Arial"/>
                <w:sz w:val="16"/>
                <w:szCs w:val="16"/>
                <w:color w:val="auto"/>
              </w:rPr>
              <w:t>Location of gain (loss) reclassified from</w:t>
            </w:r>
          </w:p>
        </w:tc>
        <w:tc>
          <w:tcPr>
            <w:tcW w:w="480" w:type="dxa"/>
            <w:vAlign w:val="bottom"/>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6"/>
                <w:szCs w:val="16"/>
                <w:color w:val="auto"/>
              </w:rPr>
              <w:t>Cost of</w:t>
            </w:r>
          </w:p>
        </w:tc>
        <w:tc>
          <w:tcPr>
            <w:tcW w:w="380" w:type="dxa"/>
            <w:vAlign w:val="bottom"/>
          </w:tcPr>
          <w:p>
            <w:pPr>
              <w:spacing w:after="0"/>
              <w:rPr>
                <w:sz w:val="13"/>
                <w:szCs w:val="13"/>
                <w:color w:val="auto"/>
              </w:rPr>
            </w:pPr>
          </w:p>
        </w:tc>
        <w:tc>
          <w:tcPr>
            <w:tcW w:w="940" w:type="dxa"/>
            <w:vAlign w:val="bottom"/>
            <w:tcBorders>
              <w:right w:val="single" w:sz="8" w:color="auto"/>
            </w:tcBorders>
            <w:vMerge w:val="restart"/>
          </w:tcPr>
          <w:p>
            <w:pPr>
              <w:jc w:val="center"/>
              <w:ind w:right="140"/>
              <w:spacing w:after="0"/>
              <w:rPr>
                <w:sz w:val="20"/>
                <w:szCs w:val="20"/>
                <w:color w:val="auto"/>
              </w:rPr>
            </w:pPr>
            <w:r>
              <w:rPr>
                <w:rFonts w:ascii="Arial" w:cs="Arial" w:eastAsia="Arial" w:hAnsi="Arial"/>
                <w:sz w:val="16"/>
                <w:szCs w:val="16"/>
                <w:color w:val="auto"/>
                <w:w w:val="94"/>
              </w:rPr>
              <w:t>Cost of</w:t>
            </w:r>
          </w:p>
        </w:tc>
        <w:tc>
          <w:tcPr>
            <w:tcW w:w="48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6"/>
                <w:szCs w:val="16"/>
                <w:color w:val="auto"/>
                <w:w w:val="90"/>
              </w:rPr>
              <w:t>Cost of</w:t>
            </w:r>
          </w:p>
        </w:tc>
        <w:tc>
          <w:tcPr>
            <w:tcW w:w="500" w:type="dxa"/>
            <w:vAlign w:val="bottom"/>
          </w:tcPr>
          <w:p>
            <w:pPr>
              <w:spacing w:after="0"/>
              <w:rPr>
                <w:sz w:val="13"/>
                <w:szCs w:val="13"/>
                <w:color w:val="auto"/>
              </w:rPr>
            </w:pPr>
          </w:p>
        </w:tc>
        <w:tc>
          <w:tcPr>
            <w:tcW w:w="1000" w:type="dxa"/>
            <w:vAlign w:val="bottom"/>
            <w:vMerge w:val="restart"/>
          </w:tcPr>
          <w:p>
            <w:pPr>
              <w:jc w:val="center"/>
              <w:ind w:right="300"/>
              <w:spacing w:after="0"/>
              <w:rPr>
                <w:sz w:val="20"/>
                <w:szCs w:val="20"/>
                <w:color w:val="auto"/>
              </w:rPr>
            </w:pPr>
            <w:r>
              <w:rPr>
                <w:rFonts w:ascii="Arial" w:cs="Arial" w:eastAsia="Arial" w:hAnsi="Arial"/>
                <w:sz w:val="16"/>
                <w:szCs w:val="16"/>
                <w:color w:val="auto"/>
                <w:w w:val="95"/>
              </w:rPr>
              <w:t>Selling,</w:t>
            </w:r>
          </w:p>
        </w:tc>
        <w:tc>
          <w:tcPr>
            <w:tcW w:w="360" w:type="dxa"/>
            <w:vAlign w:val="bottom"/>
          </w:tcPr>
          <w:p>
            <w:pPr>
              <w:spacing w:after="0"/>
              <w:rPr>
                <w:sz w:val="13"/>
                <w:szCs w:val="13"/>
                <w:color w:val="auto"/>
              </w:rPr>
            </w:pPr>
          </w:p>
        </w:tc>
        <w:tc>
          <w:tcPr>
            <w:tcW w:w="700" w:type="dxa"/>
            <w:vAlign w:val="bottom"/>
            <w:vMerge w:val="restart"/>
          </w:tcPr>
          <w:p>
            <w:pPr>
              <w:jc w:val="center"/>
              <w:ind w:right="100"/>
              <w:spacing w:after="0"/>
              <w:rPr>
                <w:sz w:val="20"/>
                <w:szCs w:val="20"/>
                <w:color w:val="auto"/>
              </w:rPr>
            </w:pPr>
            <w:r>
              <w:rPr>
                <w:rFonts w:ascii="Arial" w:cs="Arial" w:eastAsia="Arial" w:hAnsi="Arial"/>
                <w:sz w:val="16"/>
                <w:szCs w:val="16"/>
                <w:color w:val="auto"/>
                <w:w w:val="94"/>
              </w:rPr>
              <w:t>Cost of</w:t>
            </w:r>
          </w:p>
        </w:tc>
        <w:tc>
          <w:tcPr>
            <w:tcW w:w="580" w:type="dxa"/>
            <w:vAlign w:val="bottom"/>
          </w:tcPr>
          <w:p>
            <w:pPr>
              <w:spacing w:after="0"/>
              <w:rPr>
                <w:sz w:val="13"/>
                <w:szCs w:val="13"/>
                <w:color w:val="auto"/>
              </w:rPr>
            </w:pPr>
          </w:p>
        </w:tc>
        <w:tc>
          <w:tcPr>
            <w:tcW w:w="800" w:type="dxa"/>
            <w:vAlign w:val="bottom"/>
            <w:vMerge w:val="restart"/>
          </w:tcPr>
          <w:p>
            <w:pPr>
              <w:jc w:val="center"/>
              <w:ind w:right="100"/>
              <w:spacing w:after="0"/>
              <w:rPr>
                <w:sz w:val="20"/>
                <w:szCs w:val="20"/>
                <w:color w:val="auto"/>
              </w:rPr>
            </w:pPr>
            <w:r>
              <w:rPr>
                <w:rFonts w:ascii="Arial" w:cs="Arial" w:eastAsia="Arial" w:hAnsi="Arial"/>
                <w:sz w:val="16"/>
                <w:szCs w:val="16"/>
                <w:color w:val="auto"/>
                <w:w w:val="95"/>
              </w:rPr>
              <w:t>Selling,</w:t>
            </w:r>
          </w:p>
        </w:tc>
        <w:tc>
          <w:tcPr>
            <w:tcW w:w="0" w:type="dxa"/>
            <w:vAlign w:val="bottom"/>
          </w:tcPr>
          <w:p>
            <w:pPr>
              <w:spacing w:after="0"/>
              <w:rPr>
                <w:sz w:val="1"/>
                <w:szCs w:val="1"/>
                <w:color w:val="auto"/>
              </w:rPr>
            </w:pPr>
          </w:p>
        </w:tc>
      </w:tr>
      <w:tr>
        <w:trPr>
          <w:trHeight w:val="157"/>
        </w:trPr>
        <w:tc>
          <w:tcPr>
            <w:tcW w:w="3380" w:type="dxa"/>
            <w:vAlign w:val="bottom"/>
          </w:tcPr>
          <w:p>
            <w:pPr>
              <w:ind w:left="20"/>
              <w:spacing w:after="0" w:line="157" w:lineRule="exact"/>
              <w:rPr>
                <w:sz w:val="20"/>
                <w:szCs w:val="20"/>
                <w:color w:val="auto"/>
              </w:rPr>
            </w:pPr>
            <w:r>
              <w:rPr>
                <w:rFonts w:ascii="Arial" w:cs="Arial" w:eastAsia="Arial" w:hAnsi="Arial"/>
                <w:sz w:val="16"/>
                <w:szCs w:val="16"/>
                <w:color w:val="auto"/>
                <w:w w:val="97"/>
              </w:rPr>
              <w:t>accumulated other comprehensive income (loss)</w:t>
            </w:r>
          </w:p>
        </w:tc>
        <w:tc>
          <w:tcPr>
            <w:tcW w:w="4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into net income (effective portion)</w:t>
            </w:r>
          </w:p>
        </w:tc>
        <w:tc>
          <w:tcPr>
            <w:tcW w:w="480" w:type="dxa"/>
            <w:vAlign w:val="bottom"/>
          </w:tcPr>
          <w:p>
            <w:pPr>
              <w:spacing w:after="0"/>
              <w:rPr>
                <w:sz w:val="17"/>
                <w:szCs w:val="17"/>
                <w:color w:val="auto"/>
              </w:rPr>
            </w:pPr>
          </w:p>
        </w:tc>
        <w:tc>
          <w:tcPr>
            <w:tcW w:w="980" w:type="dxa"/>
            <w:vAlign w:val="bottom"/>
          </w:tcPr>
          <w:p>
            <w:pPr>
              <w:jc w:val="right"/>
              <w:ind w:right="600"/>
              <w:spacing w:after="0"/>
              <w:rPr>
                <w:sz w:val="20"/>
                <w:szCs w:val="20"/>
                <w:color w:val="auto"/>
              </w:rPr>
            </w:pPr>
            <w:r>
              <w:rPr>
                <w:rFonts w:ascii="Arial" w:cs="Arial" w:eastAsia="Arial" w:hAnsi="Arial"/>
                <w:sz w:val="16"/>
                <w:szCs w:val="16"/>
                <w:color w:val="auto"/>
                <w:w w:val="74"/>
              </w:rPr>
              <w:t>sales</w:t>
            </w:r>
          </w:p>
        </w:tc>
        <w:tc>
          <w:tcPr>
            <w:tcW w:w="380" w:type="dxa"/>
            <w:vAlign w:val="bottom"/>
          </w:tcPr>
          <w:p>
            <w:pPr>
              <w:spacing w:after="0"/>
              <w:rPr>
                <w:sz w:val="17"/>
                <w:szCs w:val="17"/>
                <w:color w:val="auto"/>
              </w:rPr>
            </w:pPr>
          </w:p>
        </w:tc>
        <w:tc>
          <w:tcPr>
            <w:tcW w:w="940" w:type="dxa"/>
            <w:vAlign w:val="bottom"/>
            <w:tcBorders>
              <w:right w:val="single" w:sz="8" w:color="auto"/>
            </w:tcBorders>
          </w:tcPr>
          <w:p>
            <w:pPr>
              <w:jc w:val="right"/>
              <w:ind w:right="520"/>
              <w:spacing w:after="0"/>
              <w:rPr>
                <w:sz w:val="20"/>
                <w:szCs w:val="20"/>
                <w:color w:val="auto"/>
              </w:rPr>
            </w:pPr>
            <w:r>
              <w:rPr>
                <w:rFonts w:ascii="Arial" w:cs="Arial" w:eastAsia="Arial" w:hAnsi="Arial"/>
                <w:sz w:val="16"/>
                <w:szCs w:val="16"/>
                <w:color w:val="auto"/>
                <w:w w:val="85"/>
              </w:rPr>
              <w:t>sales</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sales</w:t>
            </w:r>
          </w:p>
        </w:tc>
        <w:tc>
          <w:tcPr>
            <w:tcW w:w="1500" w:type="dxa"/>
            <w:vAlign w:val="bottom"/>
            <w:gridSpan w:val="2"/>
          </w:tcPr>
          <w:p>
            <w:pPr>
              <w:ind w:left="80"/>
              <w:spacing w:after="0"/>
              <w:rPr>
                <w:sz w:val="20"/>
                <w:szCs w:val="20"/>
                <w:color w:val="auto"/>
              </w:rPr>
            </w:pPr>
            <w:r>
              <w:rPr>
                <w:rFonts w:ascii="Arial" w:cs="Arial" w:eastAsia="Arial" w:hAnsi="Arial"/>
                <w:sz w:val="16"/>
                <w:szCs w:val="16"/>
                <w:color w:val="auto"/>
              </w:rPr>
              <w:t>general &amp; admin</w:t>
            </w:r>
          </w:p>
        </w:tc>
        <w:tc>
          <w:tcPr>
            <w:tcW w:w="1060" w:type="dxa"/>
            <w:vAlign w:val="bottom"/>
            <w:gridSpan w:val="2"/>
          </w:tcPr>
          <w:p>
            <w:pPr>
              <w:ind w:left="280"/>
              <w:spacing w:after="0"/>
              <w:rPr>
                <w:sz w:val="20"/>
                <w:szCs w:val="20"/>
                <w:color w:val="auto"/>
              </w:rPr>
            </w:pPr>
            <w:r>
              <w:rPr>
                <w:rFonts w:ascii="Arial" w:cs="Arial" w:eastAsia="Arial" w:hAnsi="Arial"/>
                <w:sz w:val="16"/>
                <w:szCs w:val="16"/>
                <w:color w:val="auto"/>
              </w:rPr>
              <w:t>sales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general &amp; admin</w:t>
            </w:r>
          </w:p>
        </w:tc>
        <w:tc>
          <w:tcPr>
            <w:tcW w:w="0" w:type="dxa"/>
            <w:vAlign w:val="bottom"/>
          </w:tcPr>
          <w:p>
            <w:pPr>
              <w:spacing w:after="0"/>
              <w:rPr>
                <w:sz w:val="1"/>
                <w:szCs w:val="1"/>
                <w:color w:val="auto"/>
              </w:rPr>
            </w:pPr>
          </w:p>
        </w:tc>
      </w:tr>
      <w:tr>
        <w:trPr>
          <w:trHeight w:val="157"/>
        </w:trPr>
        <w:tc>
          <w:tcPr>
            <w:tcW w:w="338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w w:val="92"/>
              </w:rPr>
              <w:t>Amount of pretax gain (loss) reclassified from</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2"/>
              </w:rPr>
              <w:t>accumulated other comprehensive income (loss) to</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1,372</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(1,551)</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16</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(147)</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16</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05"/>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(effective portion)</w:t>
            </w: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color w:val="auto"/>
              </w:rPr>
              <w:t>Six Months Ended June 30,</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auto"/>
              </w:rPr>
              <w:t>Aluminum Futures Contracts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gridSpan w:val="3"/>
          </w:tcPr>
          <w:p>
            <w:pPr>
              <w:ind w:left="180"/>
              <w:spacing w:after="0"/>
              <w:rPr>
                <w:sz w:val="20"/>
                <w:szCs w:val="20"/>
                <w:color w:val="auto"/>
              </w:rPr>
            </w:pPr>
            <w:r>
              <w:rPr>
                <w:rFonts w:ascii="Arial" w:cs="Arial" w:eastAsia="Arial" w:hAnsi="Arial"/>
                <w:sz w:val="16"/>
                <w:szCs w:val="16"/>
                <w:color w:val="auto"/>
                <w:w w:val="95"/>
              </w:rPr>
              <w:t>Foreign Currency Forwards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ind w:right="140"/>
              <w:spacing w:after="0"/>
              <w:rPr>
                <w:sz w:val="20"/>
                <w:szCs w:val="20"/>
                <w:color w:val="auto"/>
              </w:rPr>
            </w:pPr>
            <w:r>
              <w:rPr>
                <w:rFonts w:ascii="Arial" w:cs="Arial" w:eastAsia="Arial" w:hAnsi="Arial"/>
                <w:sz w:val="16"/>
                <w:szCs w:val="16"/>
                <w:color w:val="auto"/>
                <w:w w:val="89"/>
              </w:rPr>
              <w:t>2020</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color w:val="auto"/>
                <w:w w:val="89"/>
              </w:rPr>
              <w:t>2021</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20"/>
              <w:spacing w:after="0"/>
              <w:rPr>
                <w:sz w:val="20"/>
                <w:szCs w:val="20"/>
                <w:color w:val="auto"/>
              </w:rPr>
            </w:pPr>
            <w:r>
              <w:rPr>
                <w:rFonts w:ascii="Arial" w:cs="Arial" w:eastAsia="Arial" w:hAnsi="Arial"/>
                <w:sz w:val="16"/>
                <w:szCs w:val="16"/>
                <w:color w:val="auto"/>
                <w:w w:val="89"/>
              </w:rPr>
              <w:t>2021</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89"/>
              </w:rPr>
              <w:t>2020</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color w:val="auto"/>
                <w:w w:val="89"/>
              </w:rPr>
              <w:t>2020</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w w:val="96"/>
              </w:rPr>
              <w:t>Amount of pre-tax gain (loss) recognized in other</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3,710</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(2,795)</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(222)</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4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40" w:type="dxa"/>
            <w:vAlign w:val="bottom"/>
            <w:tcBorders>
              <w:right w:val="single" w:sz="8" w:color="auto"/>
            </w:tcBorders>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80" w:type="dxa"/>
            <w:vAlign w:val="bottom"/>
          </w:tcPr>
          <w:p>
            <w:pPr>
              <w:ind w:left="20"/>
              <w:spacing w:after="0" w:line="157" w:lineRule="exact"/>
              <w:rPr>
                <w:sz w:val="20"/>
                <w:szCs w:val="20"/>
                <w:color w:val="auto"/>
              </w:rPr>
            </w:pPr>
            <w:r>
              <w:rPr>
                <w:rFonts w:ascii="Arial" w:cs="Arial" w:eastAsia="Arial" w:hAnsi="Arial"/>
                <w:sz w:val="16"/>
                <w:szCs w:val="16"/>
                <w:color w:val="auto"/>
              </w:rPr>
              <w:t>Location of gain (loss) reclassified from</w:t>
            </w:r>
          </w:p>
        </w:tc>
        <w:tc>
          <w:tcPr>
            <w:tcW w:w="480" w:type="dxa"/>
            <w:vAlign w:val="bottom"/>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6"/>
                <w:szCs w:val="16"/>
                <w:color w:val="auto"/>
              </w:rPr>
              <w:t>Cost of</w:t>
            </w:r>
          </w:p>
        </w:tc>
        <w:tc>
          <w:tcPr>
            <w:tcW w:w="380" w:type="dxa"/>
            <w:vAlign w:val="bottom"/>
          </w:tcPr>
          <w:p>
            <w:pPr>
              <w:spacing w:after="0"/>
              <w:rPr>
                <w:sz w:val="13"/>
                <w:szCs w:val="13"/>
                <w:color w:val="auto"/>
              </w:rPr>
            </w:pPr>
          </w:p>
        </w:tc>
        <w:tc>
          <w:tcPr>
            <w:tcW w:w="940" w:type="dxa"/>
            <w:vAlign w:val="bottom"/>
            <w:tcBorders>
              <w:right w:val="single" w:sz="8" w:color="auto"/>
            </w:tcBorders>
            <w:vMerge w:val="restart"/>
          </w:tcPr>
          <w:p>
            <w:pPr>
              <w:jc w:val="center"/>
              <w:ind w:right="140"/>
              <w:spacing w:after="0"/>
              <w:rPr>
                <w:sz w:val="20"/>
                <w:szCs w:val="20"/>
                <w:color w:val="auto"/>
              </w:rPr>
            </w:pPr>
            <w:r>
              <w:rPr>
                <w:rFonts w:ascii="Arial" w:cs="Arial" w:eastAsia="Arial" w:hAnsi="Arial"/>
                <w:sz w:val="16"/>
                <w:szCs w:val="16"/>
                <w:color w:val="auto"/>
                <w:w w:val="94"/>
              </w:rPr>
              <w:t>Cost of</w:t>
            </w:r>
          </w:p>
        </w:tc>
        <w:tc>
          <w:tcPr>
            <w:tcW w:w="48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6"/>
                <w:szCs w:val="16"/>
                <w:color w:val="auto"/>
                <w:w w:val="90"/>
              </w:rPr>
              <w:t>Cost of</w:t>
            </w:r>
          </w:p>
        </w:tc>
        <w:tc>
          <w:tcPr>
            <w:tcW w:w="500" w:type="dxa"/>
            <w:vAlign w:val="bottom"/>
          </w:tcPr>
          <w:p>
            <w:pPr>
              <w:spacing w:after="0"/>
              <w:rPr>
                <w:sz w:val="13"/>
                <w:szCs w:val="13"/>
                <w:color w:val="auto"/>
              </w:rPr>
            </w:pPr>
          </w:p>
        </w:tc>
        <w:tc>
          <w:tcPr>
            <w:tcW w:w="1000" w:type="dxa"/>
            <w:vAlign w:val="bottom"/>
            <w:vMerge w:val="restart"/>
          </w:tcPr>
          <w:p>
            <w:pPr>
              <w:jc w:val="center"/>
              <w:ind w:right="300"/>
              <w:spacing w:after="0"/>
              <w:rPr>
                <w:sz w:val="20"/>
                <w:szCs w:val="20"/>
                <w:color w:val="auto"/>
              </w:rPr>
            </w:pPr>
            <w:r>
              <w:rPr>
                <w:rFonts w:ascii="Arial" w:cs="Arial" w:eastAsia="Arial" w:hAnsi="Arial"/>
                <w:sz w:val="16"/>
                <w:szCs w:val="16"/>
                <w:color w:val="auto"/>
                <w:w w:val="95"/>
              </w:rPr>
              <w:t>Selling,</w:t>
            </w:r>
          </w:p>
        </w:tc>
        <w:tc>
          <w:tcPr>
            <w:tcW w:w="360" w:type="dxa"/>
            <w:vAlign w:val="bottom"/>
          </w:tcPr>
          <w:p>
            <w:pPr>
              <w:spacing w:after="0"/>
              <w:rPr>
                <w:sz w:val="13"/>
                <w:szCs w:val="13"/>
                <w:color w:val="auto"/>
              </w:rPr>
            </w:pPr>
          </w:p>
        </w:tc>
        <w:tc>
          <w:tcPr>
            <w:tcW w:w="700" w:type="dxa"/>
            <w:vAlign w:val="bottom"/>
            <w:vMerge w:val="restart"/>
          </w:tcPr>
          <w:p>
            <w:pPr>
              <w:jc w:val="center"/>
              <w:ind w:right="100"/>
              <w:spacing w:after="0"/>
              <w:rPr>
                <w:sz w:val="20"/>
                <w:szCs w:val="20"/>
                <w:color w:val="auto"/>
              </w:rPr>
            </w:pPr>
            <w:r>
              <w:rPr>
                <w:rFonts w:ascii="Arial" w:cs="Arial" w:eastAsia="Arial" w:hAnsi="Arial"/>
                <w:sz w:val="16"/>
                <w:szCs w:val="16"/>
                <w:color w:val="auto"/>
                <w:w w:val="94"/>
              </w:rPr>
              <w:t>Cost of</w:t>
            </w:r>
          </w:p>
        </w:tc>
        <w:tc>
          <w:tcPr>
            <w:tcW w:w="580" w:type="dxa"/>
            <w:vAlign w:val="bottom"/>
          </w:tcPr>
          <w:p>
            <w:pPr>
              <w:spacing w:after="0"/>
              <w:rPr>
                <w:sz w:val="13"/>
                <w:szCs w:val="13"/>
                <w:color w:val="auto"/>
              </w:rPr>
            </w:pPr>
          </w:p>
        </w:tc>
        <w:tc>
          <w:tcPr>
            <w:tcW w:w="800" w:type="dxa"/>
            <w:vAlign w:val="bottom"/>
            <w:vMerge w:val="restart"/>
          </w:tcPr>
          <w:p>
            <w:pPr>
              <w:jc w:val="center"/>
              <w:ind w:right="100"/>
              <w:spacing w:after="0"/>
              <w:rPr>
                <w:sz w:val="20"/>
                <w:szCs w:val="20"/>
                <w:color w:val="auto"/>
              </w:rPr>
            </w:pPr>
            <w:r>
              <w:rPr>
                <w:rFonts w:ascii="Arial" w:cs="Arial" w:eastAsia="Arial" w:hAnsi="Arial"/>
                <w:sz w:val="16"/>
                <w:szCs w:val="16"/>
                <w:color w:val="auto"/>
                <w:w w:val="95"/>
              </w:rPr>
              <w:t>Selling,</w:t>
            </w:r>
          </w:p>
        </w:tc>
        <w:tc>
          <w:tcPr>
            <w:tcW w:w="0" w:type="dxa"/>
            <w:vAlign w:val="bottom"/>
          </w:tcPr>
          <w:p>
            <w:pPr>
              <w:spacing w:after="0"/>
              <w:rPr>
                <w:sz w:val="1"/>
                <w:szCs w:val="1"/>
                <w:color w:val="auto"/>
              </w:rPr>
            </w:pPr>
          </w:p>
        </w:tc>
      </w:tr>
      <w:tr>
        <w:trPr>
          <w:trHeight w:val="157"/>
        </w:trPr>
        <w:tc>
          <w:tcPr>
            <w:tcW w:w="3380" w:type="dxa"/>
            <w:vAlign w:val="bottom"/>
          </w:tcPr>
          <w:p>
            <w:pPr>
              <w:ind w:left="160"/>
              <w:spacing w:after="0" w:line="157" w:lineRule="exact"/>
              <w:rPr>
                <w:sz w:val="20"/>
                <w:szCs w:val="20"/>
                <w:color w:val="auto"/>
              </w:rPr>
            </w:pPr>
            <w:r>
              <w:rPr>
                <w:rFonts w:ascii="Arial" w:cs="Arial" w:eastAsia="Arial" w:hAnsi="Arial"/>
                <w:sz w:val="16"/>
                <w:szCs w:val="16"/>
                <w:color w:val="auto"/>
                <w:w w:val="92"/>
              </w:rPr>
              <w:t>accumulated other comprehensive income (loss)</w:t>
            </w:r>
          </w:p>
        </w:tc>
        <w:tc>
          <w:tcPr>
            <w:tcW w:w="4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80" w:type="dxa"/>
            <w:vAlign w:val="bottom"/>
          </w:tcPr>
          <w:p>
            <w:pPr>
              <w:ind w:left="160"/>
              <w:spacing w:after="0"/>
              <w:rPr>
                <w:sz w:val="20"/>
                <w:szCs w:val="20"/>
                <w:color w:val="auto"/>
              </w:rPr>
            </w:pPr>
            <w:r>
              <w:rPr>
                <w:rFonts w:ascii="Arial" w:cs="Arial" w:eastAsia="Arial" w:hAnsi="Arial"/>
                <w:sz w:val="16"/>
                <w:szCs w:val="16"/>
                <w:color w:val="auto"/>
              </w:rPr>
              <w:t>into net income (effective portion)</w:t>
            </w:r>
          </w:p>
        </w:tc>
        <w:tc>
          <w:tcPr>
            <w:tcW w:w="480" w:type="dxa"/>
            <w:vAlign w:val="bottom"/>
          </w:tcPr>
          <w:p>
            <w:pPr>
              <w:spacing w:after="0"/>
              <w:rPr>
                <w:sz w:val="17"/>
                <w:szCs w:val="17"/>
                <w:color w:val="auto"/>
              </w:rPr>
            </w:pPr>
          </w:p>
        </w:tc>
        <w:tc>
          <w:tcPr>
            <w:tcW w:w="980" w:type="dxa"/>
            <w:vAlign w:val="bottom"/>
          </w:tcPr>
          <w:p>
            <w:pPr>
              <w:jc w:val="right"/>
              <w:ind w:right="600"/>
              <w:spacing w:after="0"/>
              <w:rPr>
                <w:sz w:val="20"/>
                <w:szCs w:val="20"/>
                <w:color w:val="auto"/>
              </w:rPr>
            </w:pPr>
            <w:r>
              <w:rPr>
                <w:rFonts w:ascii="Arial" w:cs="Arial" w:eastAsia="Arial" w:hAnsi="Arial"/>
                <w:sz w:val="16"/>
                <w:szCs w:val="16"/>
                <w:color w:val="auto"/>
                <w:w w:val="74"/>
              </w:rPr>
              <w:t>sales</w:t>
            </w:r>
          </w:p>
        </w:tc>
        <w:tc>
          <w:tcPr>
            <w:tcW w:w="380" w:type="dxa"/>
            <w:vAlign w:val="bottom"/>
          </w:tcPr>
          <w:p>
            <w:pPr>
              <w:spacing w:after="0"/>
              <w:rPr>
                <w:sz w:val="17"/>
                <w:szCs w:val="17"/>
                <w:color w:val="auto"/>
              </w:rPr>
            </w:pPr>
          </w:p>
        </w:tc>
        <w:tc>
          <w:tcPr>
            <w:tcW w:w="940" w:type="dxa"/>
            <w:vAlign w:val="bottom"/>
            <w:tcBorders>
              <w:right w:val="single" w:sz="8" w:color="auto"/>
            </w:tcBorders>
          </w:tcPr>
          <w:p>
            <w:pPr>
              <w:jc w:val="right"/>
              <w:ind w:right="520"/>
              <w:spacing w:after="0"/>
              <w:rPr>
                <w:sz w:val="20"/>
                <w:szCs w:val="20"/>
                <w:color w:val="auto"/>
              </w:rPr>
            </w:pPr>
            <w:r>
              <w:rPr>
                <w:rFonts w:ascii="Arial" w:cs="Arial" w:eastAsia="Arial" w:hAnsi="Arial"/>
                <w:sz w:val="16"/>
                <w:szCs w:val="16"/>
                <w:color w:val="auto"/>
                <w:w w:val="85"/>
              </w:rPr>
              <w:t>sales</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sales</w:t>
            </w:r>
          </w:p>
        </w:tc>
        <w:tc>
          <w:tcPr>
            <w:tcW w:w="1500" w:type="dxa"/>
            <w:vAlign w:val="bottom"/>
            <w:gridSpan w:val="2"/>
          </w:tcPr>
          <w:p>
            <w:pPr>
              <w:ind w:left="80"/>
              <w:spacing w:after="0"/>
              <w:rPr>
                <w:sz w:val="20"/>
                <w:szCs w:val="20"/>
                <w:color w:val="auto"/>
              </w:rPr>
            </w:pPr>
            <w:r>
              <w:rPr>
                <w:rFonts w:ascii="Arial" w:cs="Arial" w:eastAsia="Arial" w:hAnsi="Arial"/>
                <w:sz w:val="16"/>
                <w:szCs w:val="16"/>
                <w:color w:val="auto"/>
              </w:rPr>
              <w:t>general &amp; admin</w:t>
            </w:r>
          </w:p>
        </w:tc>
        <w:tc>
          <w:tcPr>
            <w:tcW w:w="1060" w:type="dxa"/>
            <w:vAlign w:val="bottom"/>
            <w:gridSpan w:val="2"/>
          </w:tcPr>
          <w:p>
            <w:pPr>
              <w:ind w:left="280"/>
              <w:spacing w:after="0"/>
              <w:rPr>
                <w:sz w:val="20"/>
                <w:szCs w:val="20"/>
                <w:color w:val="auto"/>
              </w:rPr>
            </w:pPr>
            <w:r>
              <w:rPr>
                <w:rFonts w:ascii="Arial" w:cs="Arial" w:eastAsia="Arial" w:hAnsi="Arial"/>
                <w:sz w:val="16"/>
                <w:szCs w:val="16"/>
                <w:color w:val="auto"/>
              </w:rPr>
              <w:t>sales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general &amp; admin</w:t>
            </w:r>
          </w:p>
        </w:tc>
        <w:tc>
          <w:tcPr>
            <w:tcW w:w="0" w:type="dxa"/>
            <w:vAlign w:val="bottom"/>
          </w:tcPr>
          <w:p>
            <w:pPr>
              <w:spacing w:after="0"/>
              <w:rPr>
                <w:sz w:val="1"/>
                <w:szCs w:val="1"/>
                <w:color w:val="auto"/>
              </w:rPr>
            </w:pPr>
          </w:p>
        </w:tc>
      </w:tr>
      <w:tr>
        <w:trPr>
          <w:trHeight w:val="157"/>
        </w:trPr>
        <w:tc>
          <w:tcPr>
            <w:tcW w:w="33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Amount of pre-tax gain (loss) reclassified from</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80" w:type="dxa"/>
            <w:vAlign w:val="bottom"/>
            <w:shd w:val="clear" w:color="auto" w:fill="CCEEFF"/>
          </w:tcPr>
          <w:p>
            <w:pPr>
              <w:ind w:left="160"/>
              <w:spacing w:after="0" w:line="157" w:lineRule="exact"/>
              <w:rPr>
                <w:sz w:val="20"/>
                <w:szCs w:val="20"/>
                <w:color w:val="auto"/>
              </w:rPr>
            </w:pPr>
            <w:r>
              <w:rPr>
                <w:rFonts w:ascii="Arial" w:cs="Arial" w:eastAsia="Arial" w:hAnsi="Arial"/>
                <w:sz w:val="16"/>
                <w:szCs w:val="16"/>
                <w:color w:val="auto"/>
                <w:w w:val="92"/>
              </w:rPr>
              <w:t>accumulated other comprehensive income (loss)</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2,012</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(2,191)</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33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(149)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31</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to net income (effective portion)</w:t>
            </w: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20" w:firstLine="362"/>
        <w:spacing w:after="0" w:line="265" w:lineRule="auto"/>
        <w:rPr>
          <w:sz w:val="20"/>
          <w:szCs w:val="20"/>
          <w:color w:val="auto"/>
        </w:rPr>
      </w:pPr>
      <w:r>
        <w:rPr>
          <w:rFonts w:ascii="Arial" w:cs="Arial" w:eastAsia="Arial" w:hAnsi="Arial"/>
          <w:sz w:val="16"/>
          <w:szCs w:val="16"/>
          <w:color w:val="auto"/>
        </w:rPr>
        <w:t>As of June 30, 2021, the Company expects $2.4 million of unrealized after-tax gains on derivative instruments reported in accumulated other comprehensive income (loss) to be reclassified to earnings within the next 12 months. For the three and six month periods ended June 30, 2021 and 2020, net gains or losses realized, from previously unrealized net gains or losses on hedges that had been discontinued, were not material.</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8" w:name="page19"/>
    <w:bookmarkEnd w:id="18"/>
    <w:p>
      <w:pPr>
        <w:spacing w:after="0"/>
        <w:tabs>
          <w:tab w:leader="none" w:pos="220" w:val="left"/>
        </w:tabs>
        <w:rPr>
          <w:sz w:val="20"/>
          <w:szCs w:val="20"/>
          <w:color w:val="auto"/>
        </w:rPr>
      </w:pPr>
      <w:r>
        <w:rPr>
          <w:rFonts w:ascii="Arial" w:cs="Arial" w:eastAsia="Arial" w:hAnsi="Arial"/>
          <w:sz w:val="16"/>
          <w:szCs w:val="16"/>
          <w:b w:val="1"/>
          <w:bCs w:val="1"/>
          <w:color w:val="auto"/>
        </w:rPr>
        <w:t>9</w:t>
        <w:tab/>
        <w:t>PENSION AND OTHER POSTRETIREMENT BENEFITS</w:t>
      </w:r>
    </w:p>
    <w:p>
      <w:pPr>
        <w:spacing w:after="0" w:line="85" w:lineRule="exact"/>
        <w:rPr>
          <w:sz w:val="20"/>
          <w:szCs w:val="20"/>
          <w:color w:val="auto"/>
        </w:rPr>
      </w:pPr>
    </w:p>
    <w:p>
      <w:pPr>
        <w:ind w:right="180" w:firstLine="362"/>
        <w:spacing w:after="0" w:line="261" w:lineRule="auto"/>
        <w:rPr>
          <w:sz w:val="20"/>
          <w:szCs w:val="20"/>
          <w:color w:val="auto"/>
        </w:rPr>
      </w:pPr>
      <w:r>
        <w:rPr>
          <w:rFonts w:ascii="Arial" w:cs="Arial" w:eastAsia="Arial" w:hAnsi="Arial"/>
          <w:sz w:val="16"/>
          <w:szCs w:val="16"/>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The components of net periodic benefit cost for the pension and other postretirement benefit programs reflected in the consolidated statements of income for the three and six months ended June 30, 2021 and 2020, are shown below:</w:t>
      </w:r>
    </w:p>
    <w:tbl>
      <w:tblPr>
        <w:tblLayout w:type="fixed"/>
        <w:tblInd w:w="0" w:type="dxa"/>
        <w:tblCellMar>
          <w:top w:w="0" w:type="dxa"/>
          <w:left w:w="0" w:type="dxa"/>
          <w:bottom w:w="0" w:type="dxa"/>
          <w:right w:w="0" w:type="dxa"/>
        </w:tblCellMar>
      </w:tblPr>
      <w:tr>
        <w:trPr>
          <w:trHeight w:val="218"/>
        </w:trPr>
        <w:tc>
          <w:tcPr>
            <w:tcW w:w="55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jc w:val="center"/>
              <w:ind w:left="400"/>
              <w:spacing w:after="0"/>
              <w:rPr>
                <w:sz w:val="20"/>
                <w:szCs w:val="20"/>
                <w:color w:val="auto"/>
              </w:rPr>
            </w:pPr>
            <w:r>
              <w:rPr>
                <w:rFonts w:ascii="Arial" w:cs="Arial" w:eastAsia="Arial" w:hAnsi="Arial"/>
                <w:sz w:val="16"/>
                <w:szCs w:val="16"/>
                <w:color w:val="auto"/>
                <w:w w:val="91"/>
              </w:rPr>
              <w:t>Pension Benefits</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jc w:val="center"/>
              <w:ind w:right="60"/>
              <w:spacing w:after="0"/>
              <w:rPr>
                <w:sz w:val="20"/>
                <w:szCs w:val="20"/>
                <w:color w:val="auto"/>
              </w:rPr>
            </w:pPr>
            <w:r>
              <w:rPr>
                <w:rFonts w:ascii="Arial" w:cs="Arial" w:eastAsia="Arial" w:hAnsi="Arial"/>
                <w:sz w:val="16"/>
                <w:szCs w:val="16"/>
                <w:color w:val="auto"/>
                <w:w w:val="90"/>
              </w:rPr>
              <w:t>Other Post-Retirement Benefits</w:t>
            </w:r>
          </w:p>
        </w:tc>
      </w:tr>
      <w:tr>
        <w:trPr>
          <w:trHeight w:val="197"/>
        </w:trPr>
        <w:tc>
          <w:tcPr>
            <w:tcW w:w="55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color w:val="auto"/>
                <w:w w:val="90"/>
              </w:rPr>
              <w:t>Three Months Ended June 30,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color w:val="auto"/>
                <w:w w:val="90"/>
              </w:rPr>
              <w:t>Three Months Ended June 30,</w:t>
            </w:r>
          </w:p>
        </w:tc>
      </w:tr>
      <w:tr>
        <w:trPr>
          <w:trHeight w:val="197"/>
        </w:trPr>
        <w:tc>
          <w:tcPr>
            <w:tcW w:w="55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4"/>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2020</w:t>
            </w:r>
          </w:p>
        </w:tc>
      </w:tr>
      <w:tr>
        <w:trPr>
          <w:trHeight w:val="197"/>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Service cost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5"/>
        </w:trPr>
        <w:tc>
          <w:tcPr>
            <w:tcW w:w="5520" w:type="dxa"/>
            <w:vAlign w:val="bottom"/>
          </w:tcPr>
          <w:p>
            <w:pPr>
              <w:ind w:left="380"/>
              <w:spacing w:after="0"/>
              <w:rPr>
                <w:sz w:val="20"/>
                <w:szCs w:val="20"/>
                <w:color w:val="auto"/>
              </w:rPr>
            </w:pPr>
            <w:r>
              <w:rPr>
                <w:rFonts w:ascii="Arial" w:cs="Arial" w:eastAsia="Arial" w:hAnsi="Arial"/>
                <w:sz w:val="16"/>
                <w:szCs w:val="16"/>
                <w:color w:val="auto"/>
              </w:rPr>
              <w:t>Interest cost</w:t>
            </w:r>
          </w:p>
        </w:tc>
        <w:tc>
          <w:tcPr>
            <w:tcW w:w="560" w:type="dxa"/>
            <w:vAlign w:val="bottom"/>
          </w:tcPr>
          <w:p>
            <w:pPr>
              <w:spacing w:after="0"/>
              <w:rPr>
                <w:sz w:val="17"/>
                <w:szCs w:val="17"/>
                <w:color w:val="auto"/>
              </w:rPr>
            </w:pP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2,102</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Expected return on plan assets</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(2,863)</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5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8"/>
              </w:rPr>
              <w:t>Amortization of prior service costs, (gains) losses and net transition asset</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4,266</w:t>
            </w: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01"/>
        </w:trPr>
        <w:tc>
          <w:tcPr>
            <w:tcW w:w="55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3,505</w:t>
            </w:r>
          </w:p>
        </w:tc>
        <w:tc>
          <w:tcPr>
            <w:tcW w:w="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89"/>
        </w:trPr>
        <w:tc>
          <w:tcPr>
            <w:tcW w:w="55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400"/>
              <w:spacing w:after="0"/>
              <w:rPr>
                <w:sz w:val="20"/>
                <w:szCs w:val="20"/>
                <w:color w:val="auto"/>
              </w:rPr>
            </w:pPr>
            <w:r>
              <w:rPr>
                <w:rFonts w:ascii="Arial" w:cs="Arial" w:eastAsia="Arial" w:hAnsi="Arial"/>
                <w:sz w:val="16"/>
                <w:szCs w:val="16"/>
                <w:color w:val="auto"/>
                <w:w w:val="91"/>
              </w:rPr>
              <w:t>Pension Benefits</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color w:val="auto"/>
                <w:w w:val="90"/>
              </w:rPr>
              <w:t>Other Post-Retirement Benefits</w:t>
            </w:r>
          </w:p>
        </w:tc>
      </w:tr>
      <w:tr>
        <w:trPr>
          <w:trHeight w:val="197"/>
        </w:trPr>
        <w:tc>
          <w:tcPr>
            <w:tcW w:w="55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color w:val="auto"/>
                <w:w w:val="90"/>
              </w:rPr>
              <w:t>Six Months Ended June 30,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color w:val="auto"/>
                <w:w w:val="90"/>
              </w:rPr>
              <w:t>Six Months Ended June 30,</w:t>
            </w:r>
          </w:p>
        </w:tc>
      </w:tr>
      <w:tr>
        <w:trPr>
          <w:trHeight w:val="197"/>
        </w:trPr>
        <w:tc>
          <w:tcPr>
            <w:tcW w:w="55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4"/>
              </w:rPr>
              <w:t>2020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2020</w:t>
            </w:r>
          </w:p>
        </w:tc>
      </w:tr>
      <w:tr>
        <w:trPr>
          <w:trHeight w:val="197"/>
        </w:trPr>
        <w:tc>
          <w:tcPr>
            <w:tcW w:w="552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17</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5"/>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4,204</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101</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5"/>
        </w:trPr>
        <w:tc>
          <w:tcPr>
            <w:tcW w:w="5520" w:type="dxa"/>
            <w:vAlign w:val="bottom"/>
          </w:tcPr>
          <w:p>
            <w:pPr>
              <w:ind w:left="380"/>
              <w:spacing w:after="0"/>
              <w:rPr>
                <w:sz w:val="20"/>
                <w:szCs w:val="20"/>
                <w:color w:val="auto"/>
              </w:rPr>
            </w:pPr>
            <w:r>
              <w:rPr>
                <w:rFonts w:ascii="Arial" w:cs="Arial" w:eastAsia="Arial" w:hAnsi="Arial"/>
                <w:sz w:val="16"/>
                <w:szCs w:val="16"/>
                <w:color w:val="auto"/>
              </w:rPr>
              <w:t>Expected return on plan assets</w:t>
            </w:r>
          </w:p>
        </w:tc>
        <w:tc>
          <w:tcPr>
            <w:tcW w:w="560" w:type="dxa"/>
            <w:vAlign w:val="bottom"/>
          </w:tcPr>
          <w:p>
            <w:pPr>
              <w:spacing w:after="0"/>
              <w:rPr>
                <w:sz w:val="17"/>
                <w:szCs w:val="17"/>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(5,725)</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(5,608)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costs, (gains) losses and net transition asset</w:t>
            </w: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8,531</w:t>
            </w: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(48)</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1"/>
        </w:trPr>
        <w:tc>
          <w:tcPr>
            <w:tcW w:w="55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periodic benefit cost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7,010</w:t>
            </w: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70</w:t>
            </w: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bl>
    <w:p>
      <w:pPr>
        <w:spacing w:after="0" w:line="374" w:lineRule="exact"/>
        <w:rPr>
          <w:sz w:val="20"/>
          <w:szCs w:val="20"/>
          <w:color w:val="auto"/>
        </w:rPr>
      </w:pPr>
    </w:p>
    <w:p>
      <w:pPr>
        <w:ind w:right="40" w:firstLine="362"/>
        <w:spacing w:after="0" w:line="300" w:lineRule="auto"/>
        <w:rPr>
          <w:sz w:val="20"/>
          <w:szCs w:val="20"/>
          <w:color w:val="auto"/>
        </w:rPr>
      </w:pPr>
      <w:r>
        <w:rPr>
          <w:rFonts w:ascii="Arial" w:cs="Arial" w:eastAsia="Arial" w:hAnsi="Arial"/>
          <w:sz w:val="14"/>
          <w:szCs w:val="14"/>
          <w:color w:val="auto"/>
        </w:rPr>
        <w:t>Pension and other postretirement liabilities were $105.9 million and $111.3 million at June 30, 2021 and December 31, 2020, respectively ($0.7 million included in “Accrued expenses” at June 30, 2021 and December 31, 2020, with the remainder included in “Pension and other postretirement benefit obligations, net” in the consolidated balance sheets). As of December 31, 2020, the required minimum pension contributions were $11.7 million for 2021. Contributions to the pension plan during the first six months of 2021 were $3.8 million. In addition, the United States government enacted the American Rescue Plan Act of 2021 in March 2021, which, among other impacts, has reduced the Company's 2021 required minimum pension contributions to zero as a result of the Company's election of the interest rate relief used in the present value of the pension obligation and extension of the shortfall amortization period that is used to determine the minimum pension funding requirements.</w:t>
      </w:r>
    </w:p>
    <w:p>
      <w:pPr>
        <w:spacing w:after="0" w:line="23"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Tredegar funds its other postretirement benefits on a claims-made basis; for 2021, the Company anticipates the amount will be consistent with amounts paid for the year ended December 31, 2020, or approximately $0.5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19" w:name="page20"/>
    <w:bookmarkEnd w:id="19"/>
    <w:p>
      <w:pPr>
        <w:spacing w:after="0"/>
        <w:tabs>
          <w:tab w:leader="none" w:pos="300" w:val="left"/>
        </w:tabs>
        <w:rPr>
          <w:sz w:val="20"/>
          <w:szCs w:val="20"/>
          <w:color w:val="auto"/>
        </w:rPr>
      </w:pPr>
      <w:r>
        <w:rPr>
          <w:rFonts w:ascii="Arial" w:cs="Arial" w:eastAsia="Arial" w:hAnsi="Arial"/>
          <w:sz w:val="16"/>
          <w:szCs w:val="16"/>
          <w:b w:val="1"/>
          <w:bCs w:val="1"/>
          <w:color w:val="auto"/>
        </w:rPr>
        <w:t>10</w:t>
        <w:tab/>
        <w:t>OTHER INCOME (EXPENSE), NET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 (expense), net consists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3"/>
          </w:tcPr>
          <w:p>
            <w:pPr>
              <w:jc w:val="right"/>
              <w:ind w:right="720"/>
              <w:spacing w:after="0"/>
              <w:rPr>
                <w:sz w:val="20"/>
                <w:szCs w:val="20"/>
                <w:color w:val="auto"/>
              </w:rPr>
            </w:pPr>
            <w:r>
              <w:rPr>
                <w:rFonts w:ascii="Arial" w:cs="Arial" w:eastAsia="Arial" w:hAnsi="Arial"/>
                <w:sz w:val="16"/>
                <w:szCs w:val="16"/>
                <w:color w:val="auto"/>
              </w:rPr>
              <w:t>Three Months Ended June 30,</w:t>
            </w:r>
          </w:p>
        </w:tc>
        <w:tc>
          <w:tcPr>
            <w:tcW w:w="5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620"/>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197"/>
        </w:trPr>
        <w:tc>
          <w:tcPr>
            <w:tcW w:w="43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Gain (loss) on investment in kaléo accounted for under</w:t>
            </w:r>
          </w:p>
        </w:tc>
        <w:tc>
          <w:tcPr>
            <w:tcW w:w="5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200</w:t>
            </w:r>
          </w:p>
        </w:tc>
        <w:tc>
          <w:tcPr>
            <w:tcW w:w="5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1,300</w:t>
            </w:r>
          </w:p>
        </w:tc>
        <w:tc>
          <w:tcPr>
            <w:tcW w:w="5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918</w:t>
            </w:r>
          </w:p>
        </w:tc>
        <w:tc>
          <w:tcPr>
            <w:tcW w:w="5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(24,800)</w:t>
            </w: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fair value method</w:t>
            </w:r>
            <w:r>
              <w:rPr>
                <w:rFonts w:ascii="Arial" w:cs="Arial" w:eastAsia="Arial" w:hAnsi="Arial"/>
                <w:sz w:val="20"/>
                <w:szCs w:val="20"/>
                <w:color w:val="auto"/>
                <w:vertAlign w:val="superscript"/>
              </w:rPr>
              <w:t>(a)</w:t>
            </w:r>
          </w:p>
        </w:tc>
        <w:tc>
          <w:tcPr>
            <w:tcW w:w="5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40" w:type="dxa"/>
            <w:vAlign w:val="bottom"/>
          </w:tcPr>
          <w:p>
            <w:pPr>
              <w:ind w:left="380"/>
              <w:spacing w:after="0" w:line="157" w:lineRule="exact"/>
              <w:rPr>
                <w:sz w:val="20"/>
                <w:szCs w:val="20"/>
                <w:color w:val="auto"/>
              </w:rPr>
            </w:pPr>
            <w:r>
              <w:rPr>
                <w:rFonts w:ascii="Arial" w:cs="Arial" w:eastAsia="Arial" w:hAnsi="Arial"/>
                <w:sz w:val="16"/>
                <w:szCs w:val="16"/>
                <w:color w:val="auto"/>
              </w:rPr>
              <w:t>One-time tax credit in Brazil for unemployment/social</w:t>
            </w: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tcPr>
          <w:p>
            <w:pPr>
              <w:ind w:left="20"/>
              <w:spacing w:after="0" w:line="157" w:lineRule="exact"/>
              <w:rPr>
                <w:sz w:val="20"/>
                <w:szCs w:val="20"/>
                <w:color w:val="auto"/>
              </w:rPr>
            </w:pPr>
            <w:r>
              <w:rPr>
                <w:rFonts w:ascii="Arial" w:cs="Arial" w:eastAsia="Arial" w:hAnsi="Arial"/>
                <w:sz w:val="16"/>
                <w:szCs w:val="16"/>
                <w:color w:val="auto"/>
                <w:w w:val="96"/>
              </w:rPr>
              <w:t>security insurance non-income taxes resulting from a favorable</w:t>
            </w: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tcPr>
          <w:p>
            <w:pPr>
              <w:ind w:left="20"/>
              <w:spacing w:after="0" w:line="157" w:lineRule="exact"/>
              <w:rPr>
                <w:sz w:val="20"/>
                <w:szCs w:val="20"/>
                <w:color w:val="auto"/>
              </w:rPr>
            </w:pPr>
            <w:r>
              <w:rPr>
                <w:rFonts w:ascii="Arial" w:cs="Arial" w:eastAsia="Arial" w:hAnsi="Arial"/>
                <w:sz w:val="16"/>
                <w:szCs w:val="16"/>
                <w:color w:val="auto"/>
                <w:w w:val="96"/>
              </w:rPr>
              <w:t>decision by Brazil’s Supreme Court regarding the calculation of</w:t>
            </w:r>
          </w:p>
        </w:tc>
        <w:tc>
          <w:tcPr>
            <w:tcW w:w="50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color w:val="auto"/>
              </w:rPr>
              <w:t>8,486</w:t>
            </w:r>
          </w:p>
        </w:tc>
        <w:tc>
          <w:tcPr>
            <w:tcW w:w="54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260" w:type="dxa"/>
            <w:vAlign w:val="bottom"/>
            <w:vMerge w:val="restart"/>
          </w:tcPr>
          <w:p>
            <w:pPr>
              <w:jc w:val="right"/>
              <w:ind w:right="220"/>
              <w:spacing w:after="0"/>
              <w:rPr>
                <w:sz w:val="20"/>
                <w:szCs w:val="20"/>
                <w:color w:val="auto"/>
              </w:rPr>
            </w:pPr>
            <w:r>
              <w:rPr>
                <w:rFonts w:ascii="Arial" w:cs="Arial" w:eastAsia="Arial" w:hAnsi="Arial"/>
                <w:sz w:val="16"/>
                <w:szCs w:val="16"/>
                <w:color w:val="auto"/>
              </w:rPr>
              <w:t>8,486</w:t>
            </w:r>
          </w:p>
        </w:tc>
        <w:tc>
          <w:tcPr>
            <w:tcW w:w="5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40" w:type="dxa"/>
            <w:vAlign w:val="bottom"/>
          </w:tcPr>
          <w:p>
            <w:pPr>
              <w:ind w:left="20"/>
              <w:spacing w:after="0" w:line="206" w:lineRule="exact"/>
              <w:rPr>
                <w:sz w:val="20"/>
                <w:szCs w:val="20"/>
                <w:color w:val="auto"/>
              </w:rPr>
            </w:pPr>
            <w:r>
              <w:rPr>
                <w:rFonts w:ascii="Arial" w:cs="Arial" w:eastAsia="Arial" w:hAnsi="Arial"/>
                <w:sz w:val="16"/>
                <w:szCs w:val="16"/>
                <w:color w:val="auto"/>
              </w:rPr>
              <w:t>such tax</w:t>
            </w:r>
            <w:r>
              <w:rPr>
                <w:rFonts w:ascii="Arial" w:cs="Arial" w:eastAsia="Arial" w:hAnsi="Arial"/>
                <w:sz w:val="20"/>
                <w:szCs w:val="20"/>
                <w:color w:val="auto"/>
                <w:vertAlign w:val="superscript"/>
              </w:rPr>
              <w:t>(b)</w:t>
            </w:r>
          </w:p>
        </w:tc>
        <w:tc>
          <w:tcPr>
            <w:tcW w:w="5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w w:val="97"/>
              </w:rPr>
              <w:t>Transition service fees, net of corporate costs associated</w:t>
            </w:r>
          </w:p>
        </w:tc>
        <w:tc>
          <w:tcPr>
            <w:tcW w:w="5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267</w:t>
            </w:r>
          </w:p>
        </w:tc>
        <w:tc>
          <w:tcPr>
            <w:tcW w:w="5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571</w:t>
            </w:r>
          </w:p>
        </w:tc>
        <w:tc>
          <w:tcPr>
            <w:tcW w:w="5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the divested Personal Care business</w:t>
            </w:r>
          </w:p>
        </w:tc>
        <w:tc>
          <w:tcPr>
            <w:tcW w:w="5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tcPr>
          <w:p>
            <w:pPr>
              <w:ind w:left="380"/>
              <w:spacing w:after="0" w:line="206" w:lineRule="exact"/>
              <w:rPr>
                <w:sz w:val="20"/>
                <w:szCs w:val="20"/>
                <w:color w:val="auto"/>
              </w:rPr>
            </w:pPr>
            <w:r>
              <w:rPr>
                <w:rFonts w:ascii="Arial" w:cs="Arial" w:eastAsia="Arial" w:hAnsi="Arial"/>
                <w:sz w:val="16"/>
                <w:szCs w:val="16"/>
                <w:color w:val="auto"/>
              </w:rPr>
              <w:t xml:space="preserve">COVID-19-related expenses, net of relief </w:t>
            </w:r>
            <w:r>
              <w:rPr>
                <w:rFonts w:ascii="Arial" w:cs="Arial" w:eastAsia="Arial" w:hAnsi="Arial"/>
                <w:sz w:val="20"/>
                <w:szCs w:val="20"/>
                <w:color w:val="auto"/>
                <w:vertAlign w:val="superscript"/>
              </w:rPr>
              <w:t>(c)</w:t>
            </w:r>
          </w:p>
        </w:tc>
        <w:tc>
          <w:tcPr>
            <w:tcW w:w="500" w:type="dxa"/>
            <w:vAlign w:val="bottom"/>
          </w:tcPr>
          <w:p>
            <w:pPr>
              <w:spacing w:after="0"/>
              <w:rPr>
                <w:sz w:val="17"/>
                <w:szCs w:val="17"/>
                <w:color w:val="auto"/>
              </w:rPr>
            </w:pP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(415)</w:t>
            </w:r>
          </w:p>
        </w:tc>
        <w:tc>
          <w:tcPr>
            <w:tcW w:w="540" w:type="dxa"/>
            <w:vAlign w:val="bottom"/>
          </w:tcPr>
          <w:p>
            <w:pPr>
              <w:spacing w:after="0"/>
              <w:rPr>
                <w:sz w:val="17"/>
                <w:szCs w:val="17"/>
                <w:color w:val="auto"/>
              </w:rPr>
            </w:pP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(1,100)</w:t>
            </w:r>
          </w:p>
        </w:tc>
        <w:tc>
          <w:tcPr>
            <w:tcW w:w="54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(435)</w:t>
            </w: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Write-down of investment in Harbinger Capital Partners</w:t>
            </w:r>
          </w:p>
        </w:tc>
        <w:tc>
          <w:tcPr>
            <w:tcW w:w="5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(363)</w:t>
            </w:r>
          </w:p>
        </w:tc>
        <w:tc>
          <w:tcPr>
            <w:tcW w:w="5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5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(511)</w:t>
            </w:r>
          </w:p>
        </w:tc>
        <w:tc>
          <w:tcPr>
            <w:tcW w:w="5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Special Situations Fund</w:t>
            </w:r>
            <w:r>
              <w:rPr>
                <w:rFonts w:ascii="Arial" w:cs="Arial" w:eastAsia="Arial" w:hAnsi="Arial"/>
                <w:sz w:val="20"/>
                <w:szCs w:val="20"/>
                <w:color w:val="auto"/>
                <w:vertAlign w:val="superscript"/>
              </w:rPr>
              <w:t>(d)</w:t>
            </w:r>
          </w:p>
        </w:tc>
        <w:tc>
          <w:tcPr>
            <w:tcW w:w="5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(53)</w:t>
            </w: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(29)</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(147)</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7"/>
        </w:trPr>
        <w:tc>
          <w:tcPr>
            <w:tcW w:w="43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8,122</w:t>
            </w:r>
          </w:p>
        </w:tc>
        <w:tc>
          <w:tcPr>
            <w:tcW w:w="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168</w:t>
            </w:r>
          </w:p>
        </w:tc>
        <w:tc>
          <w:tcPr>
            <w:tcW w:w="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8,882</w:t>
            </w:r>
          </w:p>
        </w:tc>
        <w:tc>
          <w:tcPr>
            <w:tcW w:w="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(25,964)</w:t>
            </w:r>
          </w:p>
        </w:tc>
        <w:tc>
          <w:tcPr>
            <w:tcW w:w="0" w:type="dxa"/>
            <w:vAlign w:val="bottom"/>
          </w:tcPr>
          <w:p>
            <w:pPr>
              <w:spacing w:after="0"/>
              <w:rPr>
                <w:sz w:val="1"/>
                <w:szCs w:val="1"/>
                <w:color w:val="auto"/>
              </w:rPr>
            </w:pPr>
          </w:p>
        </w:tc>
      </w:tr>
    </w:tbl>
    <w:p>
      <w:pPr>
        <w:ind w:left="200" w:hanging="187"/>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gain in the first six months of 2021 includes a $0.3 million dividend received from kaléo in the first quarter of 2021.</w:t>
      </w:r>
    </w:p>
    <w:p>
      <w:pPr>
        <w:ind w:left="220" w:hanging="207"/>
        <w:spacing w:after="0" w:line="215"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13 for additional information.</w:t>
      </w:r>
    </w:p>
    <w:p>
      <w:pPr>
        <w:ind w:left="220" w:right="660" w:hanging="207"/>
        <w:spacing w:after="0" w:line="215"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associated with operating under COVID-19 conditions include employee overtime expenses associated with absenteeism, personal protective equipment supplies and facility maintenance.</w:t>
      </w:r>
    </w:p>
    <w:p>
      <w:pPr>
        <w:spacing w:after="0" w:line="1" w:lineRule="exact"/>
        <w:rPr>
          <w:rFonts w:ascii="Arial" w:cs="Arial" w:eastAsia="Arial" w:hAnsi="Arial"/>
          <w:sz w:val="14"/>
          <w:szCs w:val="14"/>
          <w:color w:val="auto"/>
        </w:rPr>
      </w:pPr>
    </w:p>
    <w:p>
      <w:pPr>
        <w:ind w:left="220" w:right="220" w:hanging="207"/>
        <w:spacing w:after="0" w:line="235" w:lineRule="auto"/>
        <w:tabs>
          <w:tab w:leader="none" w:pos="20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unrealized loss on the Company’s investment in Harbinger Capital Partners Special Situations Fund L.P. that had a fair value of $0.2 million and $0.9 million as of June 30, 2021 and 2020, respectively, and $0.7 million as of December 31, 2020 reported in "Other assets" in the condensed consolidated balance sheet.</w:t>
      </w:r>
    </w:p>
    <w:p>
      <w:pPr>
        <w:spacing w:after="0" w:line="21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5"/>
          <w:szCs w:val="15"/>
          <w:b w:val="1"/>
          <w:bCs w:val="1"/>
          <w:color w:val="auto"/>
        </w:rPr>
        <w:t>BUSINESS SEGMENTS</w:t>
      </w:r>
    </w:p>
    <w:p>
      <w:pPr>
        <w:spacing w:after="0" w:line="97" w:lineRule="exact"/>
        <w:rPr>
          <w:sz w:val="20"/>
          <w:szCs w:val="20"/>
          <w:color w:val="auto"/>
        </w:rPr>
      </w:pPr>
    </w:p>
    <w:p>
      <w:pPr>
        <w:ind w:right="40" w:firstLine="362"/>
        <w:spacing w:after="0" w:line="265" w:lineRule="auto"/>
        <w:rPr>
          <w:sz w:val="20"/>
          <w:szCs w:val="20"/>
          <w:color w:val="auto"/>
        </w:rPr>
      </w:pPr>
      <w:r>
        <w:rPr>
          <w:rFonts w:ascii="Arial" w:cs="Arial" w:eastAsia="Arial" w:hAnsi="Arial"/>
          <w:sz w:val="16"/>
          <w:szCs w:val="16"/>
          <w:color w:val="auto"/>
        </w:rPr>
        <w:t>The Company’s business segments are Aluminum Extrusions, PE Films, and Flexible Packaging Films. Information by business segment is reported below. There are no accounting transactions between segments and no allocations to segments. All historical results for Personal Care Films have been presented as discontinued operations. The Surface Protection component of the PE Films segment now includes Pottsville Packaging.</w:t>
      </w:r>
    </w:p>
    <w:p>
      <w:pPr>
        <w:spacing w:after="0" w:line="42" w:lineRule="exact"/>
        <w:rPr>
          <w:sz w:val="20"/>
          <w:szCs w:val="20"/>
          <w:color w:val="auto"/>
        </w:rPr>
      </w:pPr>
    </w:p>
    <w:p>
      <w:pPr>
        <w:ind w:right="260" w:firstLine="362"/>
        <w:spacing w:after="0" w:line="304" w:lineRule="auto"/>
        <w:rPr>
          <w:sz w:val="20"/>
          <w:szCs w:val="20"/>
          <w:color w:val="auto"/>
        </w:rPr>
      </w:pPr>
      <w:r>
        <w:rPr>
          <w:rFonts w:ascii="Arial" w:cs="Arial" w:eastAsia="Arial" w:hAnsi="Arial"/>
          <w:sz w:val="14"/>
          <w:szCs w:val="14"/>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net sales and EBITDA from ongoing operations by segment for the three and six months ended June 30, 2021 and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9"/>
        </w:trPr>
        <w:tc>
          <w:tcPr>
            <w:tcW w:w="5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6"/>
                <w:szCs w:val="16"/>
                <w:color w:val="auto"/>
              </w:rPr>
              <w:t>Three Months Ended June 30,</w:t>
            </w:r>
          </w:p>
        </w:tc>
        <w:tc>
          <w:tcPr>
            <w:tcW w:w="3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6"/>
                <w:szCs w:val="16"/>
                <w:color w:val="auto"/>
              </w:rPr>
              <w:t>Six Months Ended June 30,</w:t>
            </w:r>
          </w:p>
        </w:tc>
      </w:tr>
      <w:tr>
        <w:trPr>
          <w:trHeight w:val="20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2020</w:t>
            </w: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Aluminum Extrusions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139,281</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106,058</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257,405</w:t>
            </w:r>
          </w:p>
        </w:tc>
        <w:tc>
          <w:tcPr>
            <w:tcW w:w="3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223,945</w:t>
            </w:r>
          </w:p>
        </w:tc>
      </w:tr>
      <w:tr>
        <w:trPr>
          <w:trHeight w:val="20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 Films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31,430</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40,203</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59,384</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77,004</w:t>
            </w:r>
          </w:p>
        </w:tc>
      </w:tr>
      <w:tr>
        <w:trPr>
          <w:trHeight w:val="20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Flexible Packaging Films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33,374</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34,104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65,895</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64,678</w:t>
            </w:r>
          </w:p>
        </w:tc>
      </w:tr>
      <w:tr>
        <w:trPr>
          <w:trHeight w:val="197"/>
        </w:trPr>
        <w:tc>
          <w:tcPr>
            <w:tcW w:w="5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net sales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204,085</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180,365</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382,684</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365,627</w:t>
            </w:r>
          </w:p>
        </w:tc>
      </w:tr>
      <w:tr>
        <w:trPr>
          <w:trHeight w:val="20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back freight</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7,044</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5,894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13,267</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12,769</w:t>
            </w:r>
          </w:p>
        </w:tc>
      </w:tr>
      <w:tr>
        <w:trPr>
          <w:trHeight w:val="201"/>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 as shown in the consolidated statements of income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211,129</w:t>
            </w:r>
          </w:p>
        </w:tc>
        <w:tc>
          <w:tcPr>
            <w:tcW w:w="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186,259</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395,951</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378,396</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EBITDA from Ongoing Operations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Aluminum Extrusions: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Ongoing operations: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EBITDA</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19,723</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13,279</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33,024</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24,956</w:t>
            </w:r>
          </w:p>
        </w:tc>
      </w:tr>
      <w:tr>
        <w:trPr>
          <w:trHeight w:val="205"/>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Depreciation &amp; amortization</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(8,380)</w:t>
            </w:r>
          </w:p>
        </w:tc>
      </w:tr>
      <w:tr>
        <w:trPr>
          <w:trHeight w:val="197"/>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EBIT</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15,691</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9,012</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24,862</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16,576</w:t>
            </w:r>
          </w:p>
        </w:tc>
      </w:tr>
      <w:tr>
        <w:trPr>
          <w:trHeight w:val="205"/>
        </w:trPr>
        <w:tc>
          <w:tcPr>
            <w:tcW w:w="5140" w:type="dxa"/>
            <w:vAlign w:val="bottom"/>
          </w:tcPr>
          <w:p>
            <w:pPr>
              <w:ind w:left="100"/>
              <w:spacing w:after="0"/>
              <w:rPr>
                <w:sz w:val="20"/>
                <w:szCs w:val="20"/>
                <w:color w:val="auto"/>
              </w:rPr>
            </w:pPr>
            <w:r>
              <w:rPr>
                <w:rFonts w:ascii="Arial" w:cs="Arial" w:eastAsia="Arial" w:hAnsi="Arial"/>
                <w:sz w:val="16"/>
                <w:szCs w:val="16"/>
                <w:color w:val="auto"/>
              </w:rPr>
              <w:t>Plant shutdowns, asset impairments, restructurings and other</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(246)</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(1,230)</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(1,918)</w:t>
            </w:r>
          </w:p>
        </w:tc>
      </w:tr>
      <w:tr>
        <w:trPr>
          <w:trHeight w:val="205"/>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 impairment</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(13,696)</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PE Films: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Ongoing operations: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5140" w:type="dxa"/>
            <w:vAlign w:val="bottom"/>
          </w:tcPr>
          <w:p>
            <w:pPr>
              <w:ind w:left="20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9,001</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15,471</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16,213</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27,884</w:t>
            </w:r>
          </w:p>
        </w:tc>
      </w:tr>
      <w:tr>
        <w:trPr>
          <w:trHeight w:val="205"/>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&amp;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w:t>
            </w:r>
          </w:p>
        </w:tc>
      </w:tr>
      <w:tr>
        <w:trPr>
          <w:trHeight w:val="197"/>
        </w:trPr>
        <w:tc>
          <w:tcPr>
            <w:tcW w:w="5140" w:type="dxa"/>
            <w:vAlign w:val="bottom"/>
          </w:tcPr>
          <w:p>
            <w:pPr>
              <w:ind w:left="200"/>
              <w:spacing w:after="0"/>
              <w:rPr>
                <w:sz w:val="20"/>
                <w:szCs w:val="20"/>
                <w:color w:val="auto"/>
              </w:rPr>
            </w:pPr>
            <w:r>
              <w:rPr>
                <w:rFonts w:ascii="Arial" w:cs="Arial" w:eastAsia="Arial" w:hAnsi="Arial"/>
                <w:sz w:val="16"/>
                <w:szCs w:val="16"/>
                <w:color w:val="auto"/>
              </w:rPr>
              <w:t>EBIT</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7,330</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13,882</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13,123</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24,801</w:t>
            </w:r>
          </w:p>
        </w:tc>
      </w:tr>
      <w:tr>
        <w:trPr>
          <w:trHeight w:val="205"/>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Plant shutdowns, asset impairments, restructurings and other</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Flexible Packaging Films: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Ongoing operations: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5140" w:type="dxa"/>
            <w:vAlign w:val="bottom"/>
          </w:tcPr>
          <w:p>
            <w:pPr>
              <w:ind w:left="20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8,277</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6,495</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17,901</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13,048</w:t>
            </w:r>
          </w:p>
        </w:tc>
      </w:tr>
      <w:tr>
        <w:trPr>
          <w:trHeight w:val="205"/>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&amp;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197"/>
        </w:trPr>
        <w:tc>
          <w:tcPr>
            <w:tcW w:w="5140" w:type="dxa"/>
            <w:vAlign w:val="bottom"/>
          </w:tcPr>
          <w:p>
            <w:pPr>
              <w:ind w:left="200"/>
              <w:spacing w:after="0"/>
              <w:rPr>
                <w:sz w:val="20"/>
                <w:szCs w:val="20"/>
                <w:color w:val="auto"/>
              </w:rPr>
            </w:pPr>
            <w:r>
              <w:rPr>
                <w:rFonts w:ascii="Arial" w:cs="Arial" w:eastAsia="Arial" w:hAnsi="Arial"/>
                <w:sz w:val="16"/>
                <w:szCs w:val="16"/>
                <w:color w:val="auto"/>
              </w:rPr>
              <w:t>EBIT</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7,771</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6,059</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16,929</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12,184</w:t>
            </w:r>
          </w:p>
        </w:tc>
      </w:tr>
      <w:tr>
        <w:trPr>
          <w:trHeight w:val="205"/>
        </w:trPr>
        <w:tc>
          <w:tcPr>
            <w:tcW w:w="51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Plant shutdowns, asset impairments, restructurings and other</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8,452</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8,414</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7"/>
        </w:trPr>
        <w:tc>
          <w:tcPr>
            <w:tcW w:w="514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38,847</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27,574</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62,990</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37,770</w:t>
            </w:r>
          </w:p>
        </w:tc>
      </w:tr>
      <w:tr>
        <w:trPr>
          <w:trHeight w:val="20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891</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549</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1,713</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20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Gain (loss) on investment in kaléo accounted for under fair value method</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918</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Stock option-based compensation costs</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675</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683</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1,144</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1,258</w:t>
            </w:r>
          </w:p>
        </w:tc>
      </w:tr>
      <w:tr>
        <w:trPr>
          <w:trHeight w:val="205"/>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 net</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11,055</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9,455</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21,917</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19,338</w:t>
            </w:r>
          </w:p>
        </w:tc>
      </w:tr>
      <w:tr>
        <w:trPr>
          <w:trHeight w:val="197"/>
        </w:trPr>
        <w:tc>
          <w:tcPr>
            <w:tcW w:w="514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26,451</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18,192</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39,166</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(8,698)</w:t>
            </w:r>
          </w:p>
        </w:tc>
      </w:tr>
      <w:tr>
        <w:trPr>
          <w:trHeight w:val="205"/>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5,723</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3,860</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8,820</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r>
      <w:tr>
        <w:trPr>
          <w:trHeight w:val="197"/>
        </w:trPr>
        <w:tc>
          <w:tcPr>
            <w:tcW w:w="514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20,728</w:t>
            </w:r>
          </w:p>
        </w:tc>
        <w:tc>
          <w:tcPr>
            <w:tcW w:w="4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14,332</w:t>
            </w:r>
          </w:p>
        </w:tc>
        <w:tc>
          <w:tcPr>
            <w:tcW w:w="3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30,346</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(6,332)</w:t>
            </w:r>
          </w:p>
        </w:tc>
      </w:tr>
      <w:tr>
        <w:trPr>
          <w:trHeight w:val="205"/>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508</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(4,794)</w:t>
            </w:r>
          </w:p>
        </w:tc>
      </w:tr>
      <w:tr>
        <w:trPr>
          <w:trHeight w:val="197"/>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21,236</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11,196</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30,267</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(11,126)</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60"/>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880"/>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21" w:name="page22"/>
    <w:bookmarkEnd w:id="21"/>
    <w:p>
      <w:pPr>
        <w:ind w:left="360"/>
        <w:spacing w:after="0"/>
        <w:rPr>
          <w:sz w:val="20"/>
          <w:szCs w:val="20"/>
          <w:color w:val="auto"/>
        </w:rPr>
      </w:pPr>
      <w:r>
        <w:rPr>
          <w:rFonts w:ascii="Arial" w:cs="Arial" w:eastAsia="Arial" w:hAnsi="Arial"/>
          <w:sz w:val="16"/>
          <w:szCs w:val="16"/>
          <w:color w:val="auto"/>
        </w:rPr>
        <w:t>The following table presents identifiable assets by segment at June 30, 2021 and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10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6"/>
                <w:szCs w:val="16"/>
                <w:color w:val="auto"/>
                <w:w w:val="94"/>
              </w:rPr>
              <w:t>June 30, 2021</w:t>
            </w: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93"/>
              </w:rPr>
              <w:t>December 31, 2020</w:t>
            </w:r>
          </w:p>
        </w:tc>
      </w:tr>
      <w:tr>
        <w:trPr>
          <w:trHeight w:val="197"/>
        </w:trPr>
        <w:tc>
          <w:tcPr>
            <w:tcW w:w="3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Aluminum Extrusions</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267,436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244,560</w:t>
            </w:r>
          </w:p>
        </w:tc>
      </w:tr>
      <w:tr>
        <w:trPr>
          <w:trHeight w:val="205"/>
        </w:trPr>
        <w:tc>
          <w:tcPr>
            <w:tcW w:w="3680" w:type="dxa"/>
            <w:vAlign w:val="bottom"/>
          </w:tcPr>
          <w:p>
            <w:pPr>
              <w:ind w:left="380"/>
              <w:spacing w:after="0"/>
              <w:rPr>
                <w:sz w:val="20"/>
                <w:szCs w:val="20"/>
                <w:color w:val="auto"/>
              </w:rPr>
            </w:pPr>
            <w:r>
              <w:rPr>
                <w:rFonts w:ascii="Arial" w:cs="Arial" w:eastAsia="Arial" w:hAnsi="Arial"/>
                <w:sz w:val="16"/>
                <w:szCs w:val="16"/>
                <w:color w:val="auto"/>
              </w:rPr>
              <w:t>PE Films</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114,530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119,013</w:t>
            </w:r>
          </w:p>
        </w:tc>
      </w:tr>
      <w:tr>
        <w:trPr>
          <w:trHeight w:val="205"/>
        </w:trPr>
        <w:tc>
          <w:tcPr>
            <w:tcW w:w="3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Flexible Packaging Films</w:t>
            </w:r>
          </w:p>
        </w:tc>
        <w:tc>
          <w:tcPr>
            <w:tcW w:w="10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76,411</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66,453</w:t>
            </w:r>
          </w:p>
        </w:tc>
      </w:tr>
      <w:tr>
        <w:trPr>
          <w:trHeight w:val="197"/>
        </w:trPr>
        <w:tc>
          <w:tcPr>
            <w:tcW w:w="3680" w:type="dxa"/>
            <w:vAlign w:val="bottom"/>
          </w:tcPr>
          <w:p>
            <w:pPr>
              <w:ind w:left="660"/>
              <w:spacing w:after="0"/>
              <w:rPr>
                <w:sz w:val="20"/>
                <w:szCs w:val="20"/>
                <w:color w:val="auto"/>
              </w:rPr>
            </w:pPr>
            <w:r>
              <w:rPr>
                <w:rFonts w:ascii="Arial" w:cs="Arial" w:eastAsia="Arial" w:hAnsi="Arial"/>
                <w:sz w:val="16"/>
                <w:szCs w:val="16"/>
                <w:color w:val="auto"/>
              </w:rPr>
              <w:t>Subtotal</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458,377</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430,026</w:t>
            </w:r>
          </w:p>
        </w:tc>
      </w:tr>
      <w:tr>
        <w:trPr>
          <w:trHeight w:val="205"/>
        </w:trPr>
        <w:tc>
          <w:tcPr>
            <w:tcW w:w="3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corporate</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58,538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71,508</w:t>
            </w:r>
          </w:p>
        </w:tc>
      </w:tr>
      <w:tr>
        <w:trPr>
          <w:trHeight w:val="205"/>
        </w:trPr>
        <w:tc>
          <w:tcPr>
            <w:tcW w:w="368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18,298</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11,846</w:t>
            </w:r>
          </w:p>
        </w:tc>
      </w:tr>
      <w:tr>
        <w:trPr>
          <w:trHeight w:val="205"/>
        </w:trPr>
        <w:tc>
          <w:tcPr>
            <w:tcW w:w="3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Discontinued operations</w:t>
            </w:r>
          </w:p>
        </w:tc>
        <w:tc>
          <w:tcPr>
            <w:tcW w:w="10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302</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r>
      <w:tr>
        <w:trPr>
          <w:trHeight w:val="201"/>
        </w:trPr>
        <w:tc>
          <w:tcPr>
            <w:tcW w:w="36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535,515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514,870</w:t>
            </w:r>
          </w:p>
        </w:tc>
      </w:tr>
      <w:tr>
        <w:trPr>
          <w:trHeight w:val="350"/>
        </w:trPr>
        <w:tc>
          <w:tcPr>
            <w:tcW w:w="10620" w:type="dxa"/>
            <w:vAlign w:val="bottom"/>
            <w:gridSpan w:val="9"/>
          </w:tcPr>
          <w:p>
            <w:pPr>
              <w:ind w:left="360"/>
              <w:spacing w:after="0"/>
              <w:rPr>
                <w:sz w:val="20"/>
                <w:szCs w:val="20"/>
                <w:color w:val="auto"/>
              </w:rPr>
            </w:pPr>
            <w:r>
              <w:rPr>
                <w:rFonts w:ascii="Arial" w:cs="Arial" w:eastAsia="Arial" w:hAnsi="Arial"/>
                <w:sz w:val="16"/>
                <w:szCs w:val="16"/>
                <w:color w:val="auto"/>
                <w:w w:val="91"/>
              </w:rPr>
              <w:t>The following tables disaggregate the Company’s revenue by geographic area and product group for the three and six months ended June 30, 2021 and 2020:</w:t>
            </w:r>
          </w:p>
        </w:tc>
        <w:tc>
          <w:tcPr>
            <w:tcW w:w="640" w:type="dxa"/>
            <w:vAlign w:val="bottom"/>
          </w:tcPr>
          <w:p>
            <w:pPr>
              <w:spacing w:after="0"/>
              <w:rPr>
                <w:sz w:val="24"/>
                <w:szCs w:val="24"/>
                <w:color w:val="auto"/>
              </w:rPr>
            </w:pPr>
          </w:p>
        </w:tc>
      </w:tr>
      <w:tr>
        <w:trPr>
          <w:trHeight w:val="29"/>
        </w:trPr>
        <w:tc>
          <w:tcPr>
            <w:tcW w:w="3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5"/>
        </w:trPr>
        <w:tc>
          <w:tcPr>
            <w:tcW w:w="3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i w:val="1"/>
                <w:iCs w:val="1"/>
                <w:color w:val="auto"/>
                <w:w w:val="87"/>
              </w:rPr>
              <w:t>Net Sales by Geographic Area (a)</w:t>
            </w:r>
          </w:p>
        </w:tc>
        <w:tc>
          <w:tcPr>
            <w:tcW w:w="6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7"/>
        </w:trPr>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color w:val="auto"/>
              </w:rPr>
              <w:t>Three Months Ended June 30,</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gridSpan w:val="3"/>
          </w:tcPr>
          <w:p>
            <w:pPr>
              <w:jc w:val="right"/>
              <w:spacing w:after="0"/>
              <w:rPr>
                <w:sz w:val="20"/>
                <w:szCs w:val="20"/>
                <w:color w:val="auto"/>
              </w:rPr>
            </w:pPr>
            <w:r>
              <w:rPr>
                <w:rFonts w:ascii="Arial" w:cs="Arial" w:eastAsia="Arial" w:hAnsi="Arial"/>
                <w:sz w:val="16"/>
                <w:szCs w:val="16"/>
                <w:color w:val="auto"/>
              </w:rPr>
              <w:t>Six Months Ended June 30,</w:t>
            </w:r>
          </w:p>
        </w:tc>
        <w:tc>
          <w:tcPr>
            <w:tcW w:w="640" w:type="dxa"/>
            <w:vAlign w:val="bottom"/>
          </w:tcPr>
          <w:p>
            <w:pPr>
              <w:spacing w:after="0"/>
              <w:rPr>
                <w:sz w:val="17"/>
                <w:szCs w:val="17"/>
                <w:color w:val="auto"/>
              </w:rPr>
            </w:pPr>
          </w:p>
        </w:tc>
      </w:tr>
      <w:tr>
        <w:trPr>
          <w:trHeight w:val="205"/>
        </w:trPr>
        <w:tc>
          <w:tcPr>
            <w:tcW w:w="36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2021</w:t>
            </w:r>
          </w:p>
        </w:tc>
        <w:tc>
          <w:tcPr>
            <w:tcW w:w="16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2020</w:t>
            </w:r>
          </w:p>
        </w:tc>
      </w:tr>
      <w:tr>
        <w:trPr>
          <w:trHeight w:val="197"/>
        </w:trPr>
        <w:tc>
          <w:tcPr>
            <w:tcW w:w="3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156,719</w:t>
            </w:r>
          </w:p>
        </w:tc>
        <w:tc>
          <w:tcPr>
            <w:tcW w:w="100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6"/>
              </w:rPr>
              <w:t>130,636</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289,616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265,620</w:t>
            </w:r>
          </w:p>
        </w:tc>
      </w:tr>
      <w:tr>
        <w:trPr>
          <w:trHeight w:val="205"/>
        </w:trPr>
        <w:tc>
          <w:tcPr>
            <w:tcW w:w="3680" w:type="dxa"/>
            <w:vAlign w:val="bottom"/>
          </w:tcPr>
          <w:p>
            <w:pPr>
              <w:ind w:left="380"/>
              <w:spacing w:after="0"/>
              <w:rPr>
                <w:sz w:val="20"/>
                <w:szCs w:val="20"/>
                <w:color w:val="auto"/>
              </w:rPr>
            </w:pPr>
            <w:r>
              <w:rPr>
                <w:rFonts w:ascii="Arial" w:cs="Arial" w:eastAsia="Arial" w:hAnsi="Arial"/>
                <w:sz w:val="16"/>
                <w:szCs w:val="16"/>
                <w:color w:val="auto"/>
              </w:rPr>
              <w:t>Exports from the United States to:</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3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Asia</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17,158</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23,495</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45,561</w:t>
            </w:r>
          </w:p>
        </w:tc>
      </w:tr>
      <w:tr>
        <w:trPr>
          <w:trHeight w:val="205"/>
        </w:trPr>
        <w:tc>
          <w:tcPr>
            <w:tcW w:w="3680" w:type="dxa"/>
            <w:vAlign w:val="bottom"/>
          </w:tcPr>
          <w:p>
            <w:pPr>
              <w:ind w:left="660"/>
              <w:spacing w:after="0"/>
              <w:rPr>
                <w:sz w:val="20"/>
                <w:szCs w:val="20"/>
                <w:color w:val="auto"/>
              </w:rPr>
            </w:pPr>
            <w:r>
              <w:rPr>
                <w:rFonts w:ascii="Arial" w:cs="Arial" w:eastAsia="Arial" w:hAnsi="Arial"/>
                <w:sz w:val="16"/>
                <w:szCs w:val="16"/>
                <w:color w:val="auto"/>
              </w:rPr>
              <w:t>Latin America</w:t>
            </w:r>
          </w:p>
        </w:tc>
        <w:tc>
          <w:tcPr>
            <w:tcW w:w="1000" w:type="dxa"/>
            <w:vAlign w:val="bottom"/>
          </w:tcPr>
          <w:p>
            <w:pPr>
              <w:spacing w:after="0"/>
              <w:rPr>
                <w:sz w:val="17"/>
                <w:szCs w:val="17"/>
                <w:color w:val="auto"/>
              </w:rPr>
            </w:pP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1,358</w:t>
            </w:r>
          </w:p>
        </w:tc>
        <w:tc>
          <w:tcPr>
            <w:tcW w:w="100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502</w:t>
            </w: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1,488</w:t>
            </w:r>
          </w:p>
        </w:tc>
      </w:tr>
      <w:tr>
        <w:trPr>
          <w:trHeight w:val="205"/>
        </w:trPr>
        <w:tc>
          <w:tcPr>
            <w:tcW w:w="3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Canada</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4,604</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1,530</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w:t>
            </w:r>
          </w:p>
        </w:tc>
      </w:tr>
      <w:tr>
        <w:trPr>
          <w:trHeight w:val="205"/>
        </w:trPr>
        <w:tc>
          <w:tcPr>
            <w:tcW w:w="3680" w:type="dxa"/>
            <w:vAlign w:val="bottom"/>
          </w:tcPr>
          <w:p>
            <w:pPr>
              <w:ind w:left="660"/>
              <w:spacing w:after="0"/>
              <w:rPr>
                <w:sz w:val="20"/>
                <w:szCs w:val="20"/>
                <w:color w:val="auto"/>
              </w:rPr>
            </w:pPr>
            <w:r>
              <w:rPr>
                <w:rFonts w:ascii="Arial" w:cs="Arial" w:eastAsia="Arial" w:hAnsi="Arial"/>
                <w:sz w:val="16"/>
                <w:szCs w:val="16"/>
                <w:color w:val="auto"/>
              </w:rPr>
              <w:t>Europe</w:t>
            </w:r>
          </w:p>
        </w:tc>
        <w:tc>
          <w:tcPr>
            <w:tcW w:w="1000" w:type="dxa"/>
            <w:vAlign w:val="bottom"/>
          </w:tcPr>
          <w:p>
            <w:pPr>
              <w:spacing w:after="0"/>
              <w:rPr>
                <w:sz w:val="17"/>
                <w:szCs w:val="17"/>
                <w:color w:val="auto"/>
              </w:rPr>
            </w:pP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1,025</w:t>
            </w:r>
          </w:p>
        </w:tc>
        <w:tc>
          <w:tcPr>
            <w:tcW w:w="100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1,487</w:t>
            </w: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2,804</w:t>
            </w:r>
          </w:p>
        </w:tc>
      </w:tr>
      <w:tr>
        <w:trPr>
          <w:trHeight w:val="205"/>
        </w:trPr>
        <w:tc>
          <w:tcPr>
            <w:tcW w:w="3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Operations outside the United States:</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5"/>
        </w:trPr>
        <w:tc>
          <w:tcPr>
            <w:tcW w:w="36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Brazil</w:t>
            </w: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23,221</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22,715</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48,070</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w:t>
            </w:r>
          </w:p>
        </w:tc>
      </w:tr>
      <w:tr>
        <w:trPr>
          <w:trHeight w:val="201"/>
        </w:trPr>
        <w:tc>
          <w:tcPr>
            <w:tcW w:w="36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204,085</w:t>
            </w:r>
          </w:p>
        </w:tc>
        <w:tc>
          <w:tcPr>
            <w:tcW w:w="10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6"/>
              </w:rPr>
              <w:t>180,365</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382,684</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365,627</w:t>
            </w:r>
          </w:p>
        </w:tc>
      </w:tr>
    </w:tbl>
    <w:p>
      <w:pPr>
        <w:spacing w:after="0" w:line="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Export sales relate entirely to PE Films. Operations in Brazil are related to Flexible Packaging Films.</w:t>
      </w:r>
    </w:p>
    <w:p>
      <w:pPr>
        <w:spacing w:after="0" w:line="168" w:lineRule="exact"/>
        <w:rPr>
          <w:sz w:val="20"/>
          <w:szCs w:val="20"/>
          <w:color w:val="auto"/>
        </w:rPr>
      </w:pPr>
    </w:p>
    <w:p>
      <w:pPr>
        <w:ind w:right="120" w:firstLine="362"/>
        <w:spacing w:after="0" w:line="309" w:lineRule="auto"/>
        <w:rPr>
          <w:sz w:val="20"/>
          <w:szCs w:val="20"/>
          <w:color w:val="auto"/>
        </w:rPr>
      </w:pPr>
      <w:r>
        <w:rPr>
          <w:rFonts w:ascii="Arial" w:cs="Arial" w:eastAsia="Arial" w:hAnsi="Arial"/>
          <w:sz w:val="14"/>
          <w:szCs w:val="14"/>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$10.8 million and $10.0 million in the second quarters of 2021 and 2020, respectively, and $17.7 million and $19.3 million in the first six months of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2" w:name="page23"/>
    <w:bookmarkEnd w:id="22"/>
    <w:p>
      <w:pPr>
        <w:ind w:left="524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430530</wp:posOffset>
            </wp:positionH>
            <wp:positionV relativeFrom="page">
              <wp:posOffset>594360</wp:posOffset>
            </wp:positionV>
            <wp:extent cx="697357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3570" cy="15240"/>
                    </a:xfrm>
                    <a:prstGeom prst="rect">
                      <a:avLst/>
                    </a:prstGeom>
                    <a:noFill/>
                  </pic:spPr>
                </pic:pic>
              </a:graphicData>
            </a:graphic>
          </wp:anchor>
        </w:drawing>
        <w:t>Net Sales by Product Group</w:t>
      </w:r>
    </w:p>
    <w:p>
      <w:pPr>
        <w:spacing w:after="0" w:line="21"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38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6"/>
                <w:szCs w:val="16"/>
                <w:color w:val="auto"/>
              </w:rPr>
              <w:t>Three Months Ended June 30,</w:t>
            </w:r>
          </w:p>
        </w:tc>
        <w:tc>
          <w:tcPr>
            <w:tcW w:w="5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6"/>
                <w:szCs w:val="16"/>
                <w:color w:val="auto"/>
              </w:rPr>
              <w:t>Six Months Ended June 30,</w:t>
            </w:r>
          </w:p>
        </w:tc>
      </w:tr>
      <w:tr>
        <w:trPr>
          <w:trHeight w:val="205"/>
        </w:trPr>
        <w:tc>
          <w:tcPr>
            <w:tcW w:w="38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2020</w:t>
            </w:r>
          </w:p>
        </w:tc>
      </w:tr>
      <w:tr>
        <w:trPr>
          <w:trHeight w:val="197"/>
        </w:trPr>
        <w:tc>
          <w:tcPr>
            <w:tcW w:w="3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Aluminum Extrusions:</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5"/>
        </w:trPr>
        <w:tc>
          <w:tcPr>
            <w:tcW w:w="3860" w:type="dxa"/>
            <w:vAlign w:val="bottom"/>
          </w:tcPr>
          <w:p>
            <w:pPr>
              <w:ind w:left="660"/>
              <w:spacing w:after="0"/>
              <w:rPr>
                <w:sz w:val="20"/>
                <w:szCs w:val="20"/>
                <w:color w:val="auto"/>
              </w:rPr>
            </w:pPr>
            <w:r>
              <w:rPr>
                <w:rFonts w:ascii="Arial" w:cs="Arial" w:eastAsia="Arial" w:hAnsi="Arial"/>
                <w:sz w:val="16"/>
                <w:szCs w:val="16"/>
                <w:color w:val="auto"/>
              </w:rPr>
              <w:t>Nonresidential building &amp; construction</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70,122</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64,726</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127,350</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Consumer durables</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13,586</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7,782</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26,738</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5"/>
        </w:trPr>
        <w:tc>
          <w:tcPr>
            <w:tcW w:w="3860" w:type="dxa"/>
            <w:vAlign w:val="bottom"/>
          </w:tcPr>
          <w:p>
            <w:pPr>
              <w:ind w:left="660"/>
              <w:spacing w:after="0"/>
              <w:rPr>
                <w:sz w:val="20"/>
                <w:szCs w:val="20"/>
                <w:color w:val="auto"/>
              </w:rPr>
            </w:pPr>
            <w:r>
              <w:rPr>
                <w:rFonts w:ascii="Arial" w:cs="Arial" w:eastAsia="Arial" w:hAnsi="Arial"/>
                <w:sz w:val="16"/>
                <w:szCs w:val="16"/>
                <w:color w:val="auto"/>
              </w:rPr>
              <w:t>Automotive</w:t>
            </w:r>
          </w:p>
        </w:tc>
        <w:tc>
          <w:tcPr>
            <w:tcW w:w="94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11,185</w:t>
            </w:r>
          </w:p>
        </w:tc>
        <w:tc>
          <w:tcPr>
            <w:tcW w:w="56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5,572</w:t>
            </w:r>
          </w:p>
        </w:tc>
        <w:tc>
          <w:tcPr>
            <w:tcW w:w="56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22,600</w:t>
            </w: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Residential building &amp; construction</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13,893</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9,052</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26,601</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5"/>
        </w:trPr>
        <w:tc>
          <w:tcPr>
            <w:tcW w:w="3860" w:type="dxa"/>
            <w:vAlign w:val="bottom"/>
          </w:tcPr>
          <w:p>
            <w:pPr>
              <w:ind w:left="660"/>
              <w:spacing w:after="0"/>
              <w:rPr>
                <w:sz w:val="20"/>
                <w:szCs w:val="20"/>
                <w:color w:val="auto"/>
              </w:rPr>
            </w:pPr>
            <w:r>
              <w:rPr>
                <w:rFonts w:ascii="Arial" w:cs="Arial" w:eastAsia="Arial" w:hAnsi="Arial"/>
                <w:sz w:val="16"/>
                <w:szCs w:val="16"/>
                <w:color w:val="auto"/>
              </w:rPr>
              <w:t>Electrical</w:t>
            </w:r>
          </w:p>
        </w:tc>
        <w:tc>
          <w:tcPr>
            <w:tcW w:w="94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9,572</w:t>
            </w:r>
          </w:p>
        </w:tc>
        <w:tc>
          <w:tcPr>
            <w:tcW w:w="56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4,775</w:t>
            </w:r>
          </w:p>
        </w:tc>
        <w:tc>
          <w:tcPr>
            <w:tcW w:w="56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16,752</w:t>
            </w: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Machinery &amp; equipment</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10,654</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7,630</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19,579</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38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Distribution</w:t>
            </w: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10,269</w:t>
            </w: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6,521</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17,785</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197"/>
        </w:trPr>
        <w:tc>
          <w:tcPr>
            <w:tcW w:w="38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Subtotal</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139,281</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106,058</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257,405</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05"/>
        </w:trPr>
        <w:tc>
          <w:tcPr>
            <w:tcW w:w="3860" w:type="dxa"/>
            <w:vAlign w:val="bottom"/>
          </w:tcPr>
          <w:p>
            <w:pPr>
              <w:ind w:left="380"/>
              <w:spacing w:after="0"/>
              <w:rPr>
                <w:sz w:val="20"/>
                <w:szCs w:val="20"/>
                <w:color w:val="auto"/>
              </w:rPr>
            </w:pPr>
            <w:r>
              <w:rPr>
                <w:rFonts w:ascii="Arial" w:cs="Arial" w:eastAsia="Arial" w:hAnsi="Arial"/>
                <w:sz w:val="16"/>
                <w:szCs w:val="16"/>
                <w:color w:val="auto"/>
              </w:rPr>
              <w:t>PE Films:</w:t>
            </w: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5"/>
        </w:trPr>
        <w:tc>
          <w:tcPr>
            <w:tcW w:w="3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Surface protection films</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24,490</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31,699</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45,091</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3860" w:type="dxa"/>
            <w:vAlign w:val="bottom"/>
          </w:tcPr>
          <w:p>
            <w:pPr>
              <w:ind w:left="660"/>
              <w:spacing w:after="0"/>
              <w:rPr>
                <w:sz w:val="20"/>
                <w:szCs w:val="20"/>
                <w:color w:val="auto"/>
              </w:rPr>
            </w:pPr>
            <w:r>
              <w:rPr>
                <w:rFonts w:ascii="Arial" w:cs="Arial" w:eastAsia="Arial" w:hAnsi="Arial"/>
                <w:sz w:val="16"/>
                <w:szCs w:val="16"/>
                <w:color w:val="auto"/>
              </w:rPr>
              <w:t>Packaging</w:t>
            </w:r>
          </w:p>
        </w:tc>
        <w:tc>
          <w:tcPr>
            <w:tcW w:w="94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6,940</w:t>
            </w:r>
          </w:p>
        </w:tc>
        <w:tc>
          <w:tcPr>
            <w:tcW w:w="56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5,449</w:t>
            </w:r>
          </w:p>
        </w:tc>
        <w:tc>
          <w:tcPr>
            <w:tcW w:w="56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14,293</w:t>
            </w: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5"/>
        </w:trPr>
        <w:tc>
          <w:tcPr>
            <w:tcW w:w="3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LED lighting products</w:t>
            </w:r>
          </w:p>
        </w:tc>
        <w:tc>
          <w:tcPr>
            <w:tcW w:w="9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3,055</w:t>
            </w: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97"/>
        </w:trPr>
        <w:tc>
          <w:tcPr>
            <w:tcW w:w="3860" w:type="dxa"/>
            <w:vAlign w:val="bottom"/>
          </w:tcPr>
          <w:p>
            <w:pPr>
              <w:ind w:left="960"/>
              <w:spacing w:after="0"/>
              <w:rPr>
                <w:sz w:val="20"/>
                <w:szCs w:val="20"/>
                <w:color w:val="auto"/>
              </w:rPr>
            </w:pPr>
            <w:r>
              <w:rPr>
                <w:rFonts w:ascii="Arial" w:cs="Arial" w:eastAsia="Arial" w:hAnsi="Arial"/>
                <w:sz w:val="16"/>
                <w:szCs w:val="16"/>
                <w:color w:val="auto"/>
              </w:rPr>
              <w:t>Subtotal</w:t>
            </w:r>
          </w:p>
        </w:tc>
        <w:tc>
          <w:tcPr>
            <w:tcW w:w="94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31,430</w:t>
            </w:r>
          </w:p>
        </w:tc>
        <w:tc>
          <w:tcPr>
            <w:tcW w:w="560" w:type="dxa"/>
            <w:vAlign w:val="bottom"/>
          </w:tcPr>
          <w:p>
            <w:pPr>
              <w:spacing w:after="0"/>
              <w:rPr>
                <w:sz w:val="17"/>
                <w:szCs w:val="17"/>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40,203</w:t>
            </w:r>
          </w:p>
        </w:tc>
        <w:tc>
          <w:tcPr>
            <w:tcW w:w="56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59,384</w:t>
            </w: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5"/>
        </w:trPr>
        <w:tc>
          <w:tcPr>
            <w:tcW w:w="3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Flexible Packaging Films</w:t>
            </w:r>
          </w:p>
        </w:tc>
        <w:tc>
          <w:tcPr>
            <w:tcW w:w="9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33,374</w:t>
            </w:r>
          </w:p>
        </w:tc>
        <w:tc>
          <w:tcPr>
            <w:tcW w:w="5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34,104</w:t>
            </w: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65,895</w:t>
            </w:r>
          </w:p>
        </w:tc>
        <w:tc>
          <w:tcPr>
            <w:tcW w:w="5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197"/>
        </w:trPr>
        <w:tc>
          <w:tcPr>
            <w:tcW w:w="38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204,085</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180,365</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382,684</w:t>
            </w: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bl>
    <w:p>
      <w:pPr>
        <w:spacing w:after="0" w:line="35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12</w:t>
        <w:tab/>
        <w:t>INCOME TAXES</w:t>
      </w:r>
    </w:p>
    <w:p>
      <w:pPr>
        <w:spacing w:after="0" w:line="97" w:lineRule="exact"/>
        <w:rPr>
          <w:sz w:val="20"/>
          <w:szCs w:val="20"/>
          <w:color w:val="auto"/>
        </w:rPr>
      </w:pPr>
    </w:p>
    <w:p>
      <w:pPr>
        <w:ind w:right="180" w:firstLine="362"/>
        <w:spacing w:after="0" w:line="291" w:lineRule="auto"/>
        <w:rPr>
          <w:sz w:val="20"/>
          <w:szCs w:val="20"/>
          <w:color w:val="auto"/>
        </w:rPr>
      </w:pPr>
      <w:r>
        <w:rPr>
          <w:rFonts w:ascii="Arial" w:cs="Arial" w:eastAsia="Arial" w:hAnsi="Arial"/>
          <w:sz w:val="15"/>
          <w:szCs w:val="15"/>
          <w:color w:val="auto"/>
        </w:rPr>
        <w:t>Tredegar recorded tax expense of $8.8 million on pretax income from continuing operations of $39.2 million in the first six months of 2021. Therefore, the effective tax rate in the first six months of 2021 was 22.5%, compared to 27.1% in the first six months of 2020. The quarterly effective tax rate is an estimate based on a proration of the components of the Company’s estimated annual effective tax rate and discrete items recorded during the first six months of the year.</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significant differences between the U.S. federal statutory rate and the effective income tax rate for the six months ended June 30, 2021 and 2020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(In thousands, except percentages)</w:t>
            </w: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6"/>
                <w:szCs w:val="16"/>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6"/>
                <w:szCs w:val="16"/>
                <w:color w:val="auto"/>
              </w:rPr>
              <w:t>2020</w:t>
            </w:r>
          </w:p>
        </w:tc>
        <w:tc>
          <w:tcPr>
            <w:tcW w:w="320" w:type="dxa"/>
            <w:vAlign w:val="bottom"/>
            <w:tcBorders>
              <w:top w:val="single" w:sz="8" w:color="auto"/>
              <w:bottom w:val="single" w:sz="8" w:color="auto"/>
            </w:tcBorders>
          </w:tcPr>
          <w:p>
            <w:pPr>
              <w:spacing w:after="0"/>
              <w:rPr>
                <w:sz w:val="19"/>
                <w:szCs w:val="19"/>
                <w:color w:val="auto"/>
              </w:rPr>
            </w:pPr>
          </w:p>
        </w:tc>
      </w:tr>
      <w:tr>
        <w:trPr>
          <w:trHeight w:val="197"/>
        </w:trPr>
        <w:tc>
          <w:tcPr>
            <w:tcW w:w="54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Six Months Ended June 30,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Amount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Amount</w:t>
            </w: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r>
      <w:tr>
        <w:trPr>
          <w:trHeight w:val="197"/>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 (benefit) expense at federal statutory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8,225</w:t>
            </w: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21.0</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Foreign rate differences</w:t>
            </w:r>
          </w:p>
        </w:tc>
        <w:tc>
          <w:tcPr>
            <w:tcW w:w="5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2,925</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7.5</w:t>
            </w:r>
          </w:p>
        </w:tc>
        <w:tc>
          <w:tcPr>
            <w:tcW w:w="5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2,425</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(27.9)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Tax on Foreign Branch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3,062</w:t>
            </w: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7.8</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670</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State taxes, net of federal income tax benefit</w:t>
            </w:r>
          </w:p>
        </w:tc>
        <w:tc>
          <w:tcPr>
            <w:tcW w:w="5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584</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1.5</w:t>
            </w:r>
          </w:p>
        </w:tc>
        <w:tc>
          <w:tcPr>
            <w:tcW w:w="5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2.5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Non-deductible expenses</w:t>
            </w:r>
          </w:p>
        </w:tc>
        <w:tc>
          <w:tcPr>
            <w:tcW w:w="5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411</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1.0</w:t>
            </w:r>
          </w:p>
        </w:tc>
        <w:tc>
          <w:tcPr>
            <w:tcW w:w="5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293</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(3.4)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 for capital loss carry-forwards</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0.3</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Unremitted earnings from foreign operations</w:t>
            </w:r>
          </w:p>
        </w:tc>
        <w:tc>
          <w:tcPr>
            <w:tcW w:w="5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148</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contingency accruals and tax settlements</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Tax impact of dividend received</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(0.1)</w:t>
            </w:r>
          </w:p>
        </w:tc>
        <w:tc>
          <w:tcPr>
            <w:tcW w:w="5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estimates related to prior year tax provision</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Research and development tax credit</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(644)</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5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4.1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Foreign tax incentives</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(5,872)</w:t>
            </w:r>
          </w:p>
        </w:tc>
        <w:tc>
          <w:tcPr>
            <w:tcW w:w="11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c>
          <w:tcPr>
            <w:tcW w:w="5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2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35.0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4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Income tax expense (benefit) at effective income tax rate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8,820</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22.5</w:t>
            </w: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156" w:lineRule="exact"/>
        <w:rPr>
          <w:sz w:val="20"/>
          <w:szCs w:val="20"/>
          <w:color w:val="auto"/>
        </w:rPr>
      </w:pPr>
    </w:p>
    <w:p>
      <w:pPr>
        <w:ind w:right="280" w:firstLine="362"/>
        <w:spacing w:after="0" w:line="265" w:lineRule="auto"/>
        <w:rPr>
          <w:sz w:val="20"/>
          <w:szCs w:val="20"/>
          <w:color w:val="auto"/>
        </w:rPr>
      </w:pPr>
      <w:r>
        <w:rPr>
          <w:rFonts w:ascii="Arial" w:cs="Arial" w:eastAsia="Arial" w:hAnsi="Arial"/>
          <w:sz w:val="16"/>
          <w:szCs w:val="16"/>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959" w:right="239" w:bottom="1440" w:gutter="0" w:footer="0" w:header="0"/>
        </w:sectPr>
      </w:pPr>
    </w:p>
    <w:bookmarkStart w:id="23" w:name="page24"/>
    <w:bookmarkEnd w:id="23"/>
    <w:p>
      <w:pPr>
        <w:ind w:firstLine="362"/>
        <w:spacing w:after="0" w:line="261" w:lineRule="auto"/>
        <w:rPr>
          <w:sz w:val="20"/>
          <w:szCs w:val="20"/>
          <w:color w:val="auto"/>
        </w:rPr>
      </w:pPr>
      <w:r>
        <w:rPr>
          <w:rFonts w:ascii="Arial" w:cs="Arial" w:eastAsia="Arial" w:hAnsi="Arial"/>
          <w:sz w:val="16"/>
          <w:szCs w:val="16"/>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13-year period, from the commencement date of January 1, 2015. The benefit from the tax incentives was $5.9 million and $3.0 million in the first six months of 2021 and 2020, respectively.</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Tredegar and its subsidiaries file income tax returns in the U.S., various states, and jurisdictions outside the U.S. With exceptions for some U.S. states and non-U.S.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jurisdictions, Tredegar and its subsidiaries are no longer subject to U.S. federal, state or non-U.S. income tax examinations by tax authorities for years before 2017.</w:t>
      </w:r>
    </w:p>
    <w:p>
      <w:pPr>
        <w:spacing w:after="0" w:line="8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13</w:t>
        <w:tab/>
        <w:t>ACCOUNTS AND OTHER RECEIVABLES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June 30, 2021 and December 31, 2020, accounts receivable and other receivables include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rPr>
              <w:t>June 30,</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w w:val="95"/>
              </w:rPr>
              <w:t>December 31,</w:t>
            </w:r>
          </w:p>
        </w:tc>
      </w:tr>
      <w:tr>
        <w:trPr>
          <w:trHeight w:val="205"/>
        </w:trPr>
        <w:tc>
          <w:tcPr>
            <w:tcW w:w="5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2020</w:t>
            </w:r>
          </w:p>
        </w:tc>
      </w:tr>
      <w:tr>
        <w:trPr>
          <w:trHeight w:val="197"/>
        </w:trPr>
        <w:tc>
          <w:tcPr>
            <w:tcW w:w="5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Customer receivables</w:t>
            </w:r>
          </w:p>
        </w:tc>
        <w:tc>
          <w:tcPr>
            <w:tcW w:w="24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94,346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85,274</w:t>
            </w:r>
          </w:p>
        </w:tc>
      </w:tr>
      <w:tr>
        <w:trPr>
          <w:trHeight w:val="205"/>
        </w:trPr>
        <w:tc>
          <w:tcPr>
            <w:tcW w:w="5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 receivables</w:t>
            </w:r>
          </w:p>
        </w:tc>
        <w:tc>
          <w:tcPr>
            <w:tcW w:w="2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8,154</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w:t>
            </w:r>
          </w:p>
        </w:tc>
      </w:tr>
      <w:tr>
        <w:trPr>
          <w:trHeight w:val="197"/>
        </w:trPr>
        <w:tc>
          <w:tcPr>
            <w:tcW w:w="56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accounts and other receivables</w:t>
            </w:r>
          </w:p>
        </w:tc>
        <w:tc>
          <w:tcPr>
            <w:tcW w:w="24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102,500</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89,124</w:t>
            </w:r>
          </w:p>
        </w:tc>
      </w:tr>
      <w:tr>
        <w:trPr>
          <w:trHeight w:val="205"/>
        </w:trPr>
        <w:tc>
          <w:tcPr>
            <w:tcW w:w="5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Less: Allowance for bad debts and sales returns</w:t>
            </w:r>
          </w:p>
        </w:tc>
        <w:tc>
          <w:tcPr>
            <w:tcW w:w="2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(2,848)</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w:t>
            </w:r>
          </w:p>
        </w:tc>
      </w:tr>
      <w:tr>
        <w:trPr>
          <w:trHeight w:val="201"/>
        </w:trPr>
        <w:tc>
          <w:tcPr>
            <w:tcW w:w="56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Total accounts and other receivables, net</w:t>
            </w:r>
          </w:p>
        </w:tc>
        <w:tc>
          <w:tcPr>
            <w:tcW w:w="2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99,652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86,327</w:t>
            </w:r>
          </w:p>
        </w:tc>
      </w:tr>
    </w:tbl>
    <w:p>
      <w:pPr>
        <w:spacing w:after="0" w:line="144" w:lineRule="exact"/>
        <w:rPr>
          <w:sz w:val="20"/>
          <w:szCs w:val="20"/>
          <w:color w:val="auto"/>
        </w:rPr>
      </w:pPr>
    </w:p>
    <w:p>
      <w:pPr>
        <w:ind w:right="340" w:firstLine="362"/>
        <w:spacing w:after="0" w:line="304" w:lineRule="auto"/>
        <w:rPr>
          <w:sz w:val="20"/>
          <w:szCs w:val="20"/>
          <w:color w:val="auto"/>
        </w:rPr>
      </w:pPr>
      <w:r>
        <w:rPr>
          <w:rFonts w:ascii="Arial" w:cs="Arial" w:eastAsia="Arial" w:hAnsi="Arial"/>
          <w:sz w:val="14"/>
          <w:szCs w:val="14"/>
          <w:color w:val="auto"/>
        </w:rPr>
        <w:t>As of June 30, 2021, other receivables include $5.6 million related to a one-time tax credit in Brazil for unemployment/social security insurance non-income taxes ("PIS/COFINS") that is available and expected to be applied to future required Brazilian federal tax payments in 2021. In May 2021, the Brazil Supreme Court ruled in a leading case related to the amount of Brazilian value-added tax to exclude from the calculation of PIS/COFINS. As a result, in the second quarter of 2021, the Company recorded a pre-tax gain of $8.5 million for certain excess PIS/COFINS paid from 2003 to 2021, plus applicable interest, which the Company expects to apply to future required Brazilian federal tax payments. The pretax gain was recorded in “Other income (expense),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24" w:name="page25"/>
    <w:bookmarkEnd w:id="24"/>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3" w:lineRule="exact"/>
        <w:rPr>
          <w:sz w:val="20"/>
          <w:szCs w:val="20"/>
          <w:color w:val="auto"/>
        </w:rPr>
      </w:pPr>
    </w:p>
    <w:p>
      <w:pPr>
        <w:ind w:left="4260"/>
        <w:spacing w:after="0"/>
        <w:rPr>
          <w:sz w:val="20"/>
          <w:szCs w:val="20"/>
          <w:color w:val="auto"/>
        </w:rPr>
      </w:pPr>
      <w:r>
        <w:rPr>
          <w:rFonts w:ascii="Arial" w:cs="Arial" w:eastAsia="Arial" w:hAnsi="Arial"/>
          <w:sz w:val="16"/>
          <w:szCs w:val="16"/>
          <w:b w:val="1"/>
          <w:bCs w:val="1"/>
          <w:u w:val="single" w:color="auto"/>
          <w:color w:val="auto"/>
        </w:rPr>
        <w:t>Forward-looking and Cautionary Statements</w:t>
      </w:r>
    </w:p>
    <w:p>
      <w:pPr>
        <w:spacing w:after="0" w:line="85" w:lineRule="exact"/>
        <w:rPr>
          <w:sz w:val="20"/>
          <w:szCs w:val="20"/>
          <w:color w:val="auto"/>
        </w:rPr>
      </w:pPr>
    </w:p>
    <w:p>
      <w:pPr>
        <w:ind w:firstLine="362"/>
        <w:spacing w:after="0" w:line="295" w:lineRule="auto"/>
        <w:rPr>
          <w:sz w:val="20"/>
          <w:szCs w:val="20"/>
          <w:color w:val="auto"/>
        </w:rPr>
      </w:pPr>
      <w:r>
        <w:rPr>
          <w:rFonts w:ascii="Arial" w:cs="Arial" w:eastAsia="Arial" w:hAnsi="Arial"/>
          <w:sz w:val="14"/>
          <w:szCs w:val="14"/>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In addition, the Company's current projections for its businesses could be materially affected by the highly uncertain impact of the coronavirus ("COVID-19") pandemic. As a consequence, the Company's results could differ significantly from its projections, depending on, among other things, the ultimate impact of the pandemic on employees, supply chains, customers and the U.S. and world economies. Accordingly, you should not place undue reliance on these forward-looking statements. Factors that could cause actual results to differ from expectations include, without limitation, the following:</w:t>
      </w:r>
    </w:p>
    <w:p>
      <w:pPr>
        <w:spacing w:after="0" w:line="41" w:lineRule="exact"/>
        <w:rPr>
          <w:sz w:val="20"/>
          <w:szCs w:val="20"/>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loss or gain of sales to significant customers on which the Company's business is highly dependent;</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inability to achieve sales to new customers to replace lost business;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inability to develop, efficiently manufacture and deliver new products at competitive prices;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of the Company's customers to achieve success or maintain market share;</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protect our intellectual property rights;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of doing business in countries outside the U.S. that affect our international operations;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economic, and regulatory factors concerning the Company's products;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 economic conditions in countries in which the Company does business;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from other manufacturers, including manufacturers in lower-cost countries and manufacturers benefiting from government subsidies;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impact of fluctuations in foreign exchange rates;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change in the amount of the Company's underfunded defined benefit pension plan liability;</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in the operating costs incurred by the Company's business units, including, for example, the cost of raw materials and energy;</w:t>
      </w:r>
    </w:p>
    <w:p>
      <w:pPr>
        <w:spacing w:after="0" w:line="93" w:lineRule="exact"/>
        <w:rPr>
          <w:rFonts w:ascii="Arial" w:cs="Arial" w:eastAsia="Arial" w:hAnsi="Arial"/>
          <w:sz w:val="16"/>
          <w:szCs w:val="16"/>
          <w:color w:val="auto"/>
        </w:rPr>
      </w:pPr>
    </w:p>
    <w:p>
      <w:pPr>
        <w:ind w:left="580" w:right="600" w:hanging="294"/>
        <w:spacing w:after="0" w:line="279"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inability to successfully identify, complete or integrate strategic acquisitions; failure to realize the expected benefits of such acquisitions and assumption of unanticipated risks in such acquisitions;</w:t>
      </w:r>
    </w:p>
    <w:p>
      <w:pPr>
        <w:spacing w:after="0" w:line="42"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disruption to the Company's manufacturing facilities;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public health epidemics on employees, production and the global economy, such as the COVID-19 pandemic;</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information technology system failure or breach;</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volatility and uncertainty of the valuation of the Company's investment in kaleo, Inc. ("kaléo");</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the imposition of tariffs and sanctions on imported aluminum ingot used by Bonnell Aluminum;</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new tariffs, duties or other trade restrictions imposed as a result of rising trade tensions between the U.S. and other countries;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termination of anti-dumping duties on products imported to Brazil that compete with products produced by Flexible Packaging;</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establish and maintain effective internal control over financial reporting;</w:t>
      </w:r>
    </w:p>
    <w:p>
      <w:pPr>
        <w:spacing w:after="0" w:line="93"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and the other factors discussed in the reports Tredegar files with or furnishes to the Securities and Exchange Commission (the “SEC”) from time to time, including the risks and important factors set forth in additional detail in Part I, Item 1A of Tredegar’s 2020 Annual Report on Form 10-K (the “2020 Form 10-K”). Readers are urged to review and consider carefully the disclosures Tredegar makes in its filings with the SEC.</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40"/>
          </w:cols>
          <w:pgMar w:left="320" w:top="1028" w:right="439" w:bottom="1440" w:gutter="0" w:footer="0" w:header="0"/>
        </w:sectPr>
      </w:pPr>
    </w:p>
    <w:bookmarkStart w:id="25" w:name="page26"/>
    <w:bookmarkEnd w:id="25"/>
    <w:p>
      <w:pPr>
        <w:ind w:right="360" w:firstLine="362"/>
        <w:spacing w:after="0" w:line="279" w:lineRule="auto"/>
        <w:rPr>
          <w:sz w:val="20"/>
          <w:szCs w:val="20"/>
          <w:color w:val="auto"/>
        </w:rPr>
      </w:pPr>
      <w:r>
        <w:rPr>
          <w:rFonts w:ascii="Arial" w:cs="Arial" w:eastAsia="Arial" w:hAnsi="Arial"/>
          <w:sz w:val="16"/>
          <w:szCs w:val="16"/>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31" w:lineRule="exact"/>
        <w:rPr>
          <w:sz w:val="20"/>
          <w:szCs w:val="20"/>
          <w:color w:val="auto"/>
        </w:rPr>
      </w:pPr>
    </w:p>
    <w:p>
      <w:pPr>
        <w:ind w:right="480" w:firstLine="362"/>
        <w:spacing w:after="0" w:line="279" w:lineRule="auto"/>
        <w:rPr>
          <w:sz w:val="20"/>
          <w:szCs w:val="20"/>
          <w:color w:val="auto"/>
        </w:rPr>
      </w:pPr>
      <w:r>
        <w:rPr>
          <w:rFonts w:ascii="Arial" w:cs="Arial" w:eastAsia="Arial" w:hAnsi="Arial"/>
          <w:sz w:val="16"/>
          <w:szCs w:val="16"/>
          <w:color w:val="auto"/>
        </w:rPr>
        <w:t>References herein to “Tredegar,” “the Company,” “we,” “us” and “our” are to Tredegar Corporation and its subsidiaries, collectively, unless the context otherwise indicates or requires.</w:t>
      </w:r>
    </w:p>
    <w:p>
      <w:pPr>
        <w:spacing w:after="0" w:line="43" w:lineRule="exact"/>
        <w:rPr>
          <w:sz w:val="20"/>
          <w:szCs w:val="20"/>
          <w:color w:val="auto"/>
        </w:rPr>
      </w:pPr>
    </w:p>
    <w:p>
      <w:pPr>
        <w:ind w:right="240" w:firstLine="362"/>
        <w:spacing w:after="0" w:line="279" w:lineRule="auto"/>
        <w:rPr>
          <w:sz w:val="20"/>
          <w:szCs w:val="20"/>
          <w:color w:val="auto"/>
        </w:rPr>
      </w:pPr>
      <w:r>
        <w:rPr>
          <w:rFonts w:ascii="Arial" w:cs="Arial" w:eastAsia="Arial" w:hAnsi="Arial"/>
          <w:sz w:val="16"/>
          <w:szCs w:val="16"/>
          <w:color w:val="auto"/>
        </w:rPr>
        <w:t>Unless otherwise stated or indicated, all comparisons are to the prior year period. References to "Notes" are to notes to our consolidated financial statements found in Part I, Item 1 of this Form 10-Q.</w:t>
      </w:r>
    </w:p>
    <w:p>
      <w:pPr>
        <w:spacing w:after="0" w:line="39"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u w:val="single" w:color="auto"/>
          <w:color w:val="auto"/>
        </w:rPr>
        <w:t>Executive Summary</w:t>
      </w:r>
    </w:p>
    <w:p>
      <w:pPr>
        <w:spacing w:after="0" w:line="85" w:lineRule="exact"/>
        <w:rPr>
          <w:sz w:val="20"/>
          <w:szCs w:val="20"/>
          <w:color w:val="auto"/>
        </w:rPr>
      </w:pPr>
    </w:p>
    <w:p>
      <w:pPr>
        <w:ind w:right="420" w:firstLine="362"/>
        <w:spacing w:after="0" w:line="309" w:lineRule="auto"/>
        <w:rPr>
          <w:sz w:val="20"/>
          <w:szCs w:val="20"/>
          <w:color w:val="auto"/>
        </w:rPr>
      </w:pPr>
      <w:r>
        <w:rPr>
          <w:rFonts w:ascii="Arial" w:cs="Arial" w:eastAsia="Arial" w:hAnsi="Arial"/>
          <w:sz w:val="14"/>
          <w:szCs w:val="14"/>
          <w:color w:val="auto"/>
        </w:rPr>
        <w:t>Tredegar Corporation is an industrial manufacturer with three primary businesses: custom aluminum extrusions for the North American building &amp; construction,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2,400 employees, the Company operates manufacturing facilities in North America, South America, and Asia.</w:t>
      </w:r>
    </w:p>
    <w:p>
      <w:pPr>
        <w:spacing w:after="0" w:line="27" w:lineRule="exact"/>
        <w:rPr>
          <w:sz w:val="20"/>
          <w:szCs w:val="20"/>
          <w:color w:val="auto"/>
        </w:rPr>
      </w:pPr>
    </w:p>
    <w:p>
      <w:pPr>
        <w:ind w:right="120" w:firstLine="362"/>
        <w:spacing w:after="0" w:line="291" w:lineRule="auto"/>
        <w:rPr>
          <w:sz w:val="20"/>
          <w:szCs w:val="20"/>
          <w:color w:val="auto"/>
        </w:rPr>
      </w:pPr>
      <w:r>
        <w:rPr>
          <w:rFonts w:ascii="Arial" w:cs="Arial" w:eastAsia="Arial" w:hAnsi="Arial"/>
          <w:sz w:val="15"/>
          <w:szCs w:val="15"/>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within the Surface Protection component of PE Films. All historical results for Personal Care Films have been presented as discontinued operations.</w:t>
      </w:r>
    </w:p>
    <w:p>
      <w:pPr>
        <w:spacing w:after="0" w:line="36" w:lineRule="exact"/>
        <w:rPr>
          <w:sz w:val="20"/>
          <w:szCs w:val="20"/>
          <w:color w:val="auto"/>
        </w:rPr>
      </w:pPr>
    </w:p>
    <w:p>
      <w:pPr>
        <w:ind w:right="240" w:firstLine="362"/>
        <w:spacing w:after="0" w:line="265" w:lineRule="auto"/>
        <w:rPr>
          <w:sz w:val="20"/>
          <w:szCs w:val="20"/>
          <w:color w:val="auto"/>
        </w:rPr>
      </w:pPr>
      <w:r>
        <w:rPr>
          <w:rFonts w:ascii="Arial" w:cs="Arial" w:eastAsia="Arial" w:hAnsi="Arial"/>
          <w:sz w:val="16"/>
          <w:szCs w:val="16"/>
          <w:color w:val="auto"/>
        </w:rPr>
        <w:t>On December 31, 2020, the Company completed the sale of Bright View Technologies, which was part of its PE Films segment. The sale did not represent a strategic shift nor did it have a major effect on the Company's historical and ongoing operations, thus all financial information for Bright View Technologies has been presented in continuing operations.</w:t>
      </w:r>
    </w:p>
    <w:p>
      <w:pPr>
        <w:spacing w:after="0" w:line="42"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Second quarter 2021 net income from continuing operations was $20.7 million ($0.61 per diluted share) compared with net income from continuing operations of $14.3 million ($0.43 per diluted share) in the second quarter of 2020.</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Second quarter 2021 results include:</w:t>
      </w:r>
    </w:p>
    <w:p>
      <w:pPr>
        <w:spacing w:after="0" w:line="93" w:lineRule="exact"/>
        <w:rPr>
          <w:sz w:val="20"/>
          <w:szCs w:val="20"/>
          <w:color w:val="auto"/>
        </w:rPr>
      </w:pPr>
    </w:p>
    <w:p>
      <w:pPr>
        <w:ind w:left="580" w:right="200" w:hanging="222"/>
        <w:spacing w:after="0" w:line="279"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after-tax gain of $6.6 million ($0.20 per share) related to a one-time tax credit in Brazil for unemployment/social security insurance non-income taxes resulting from a favorable decision by Brazil’s Supreme Court regarding the calculation of such taxes (see Note 13 for more details); and</w:t>
      </w:r>
    </w:p>
    <w:p>
      <w:pPr>
        <w:spacing w:after="0" w:line="30" w:lineRule="exact"/>
        <w:rPr>
          <w:rFonts w:ascii="Arial" w:cs="Arial" w:eastAsia="Arial" w:hAnsi="Arial"/>
          <w:sz w:val="16"/>
          <w:szCs w:val="16"/>
          <w:color w:val="auto"/>
        </w:rPr>
      </w:pPr>
    </w:p>
    <w:p>
      <w:pPr>
        <w:ind w:left="580" w:right="300" w:hanging="222"/>
        <w:spacing w:after="0" w:line="279"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after-tax gain on the Company’s investment in kaleo, Inc. (“kaléo”) of $0.1 million ($0.00 per share), which is accounted for under the fair value method (see Note 7 for more details).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Second quarter 2020 results include:</w:t>
      </w:r>
    </w:p>
    <w:p>
      <w:pPr>
        <w:spacing w:after="0" w:line="93" w:lineRule="exact"/>
        <w:rPr>
          <w:sz w:val="20"/>
          <w:szCs w:val="20"/>
          <w:color w:val="auto"/>
        </w:rPr>
      </w:pPr>
    </w:p>
    <w:p>
      <w:pPr>
        <w:ind w:left="36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An after-tax loss on the Company’s investment in kaléo of $0.9 million ($0.03 per diluted share).</w:t>
      </w:r>
    </w:p>
    <w:p>
      <w:pPr>
        <w:spacing w:after="0" w:line="81" w:lineRule="exact"/>
        <w:rPr>
          <w:sz w:val="20"/>
          <w:szCs w:val="20"/>
          <w:color w:val="auto"/>
        </w:rPr>
      </w:pPr>
    </w:p>
    <w:p>
      <w:pPr>
        <w:ind w:right="180" w:firstLine="362"/>
        <w:spacing w:after="0" w:line="304" w:lineRule="auto"/>
        <w:rPr>
          <w:sz w:val="20"/>
          <w:szCs w:val="20"/>
          <w:color w:val="auto"/>
        </w:rPr>
      </w:pPr>
      <w:r>
        <w:rPr>
          <w:rFonts w:ascii="Arial" w:cs="Arial" w:eastAsia="Arial" w:hAnsi="Arial"/>
          <w:sz w:val="14"/>
          <w:szCs w:val="14"/>
          <w:color w:val="auto"/>
        </w:rPr>
        <w:t xml:space="preserve">Other losses related to asset impairments and costs associated with exit and disposal activities for continuing operations were not material for the three and six months ended June 30, 2021 and 2020, respectively. Gains and losses associated with plant shutdowns, asset impairments, restructurings and other items are described in </w:t>
      </w:r>
      <w:r>
        <w:rPr>
          <w:rFonts w:ascii="Arial" w:cs="Arial" w:eastAsia="Arial" w:hAnsi="Arial"/>
          <w:sz w:val="14"/>
          <w:szCs w:val="14"/>
          <w:b w:val="1"/>
          <w:bCs w:val="1"/>
          <w:i w:val="1"/>
          <w:iCs w:val="1"/>
          <w:color w:val="auto"/>
        </w:rPr>
        <w:t>Results of</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Operations</w:t>
      </w:r>
      <w:r>
        <w:rPr>
          <w:rFonts w:ascii="Arial" w:cs="Arial" w:eastAsia="Arial" w:hAnsi="Arial"/>
          <w:sz w:val="14"/>
          <w:szCs w:val="14"/>
          <w:color w:val="auto"/>
        </w:rPr>
        <w:t>. Earnings before interest, taxes, depreciation and amortization (“EBITDA”) from ongoing operations is the measure of profit and loss used by Tredegar’s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30" w:lineRule="exact"/>
        <w:rPr>
          <w:sz w:val="20"/>
          <w:szCs w:val="20"/>
          <w:color w:val="auto"/>
        </w:rPr>
      </w:pPr>
    </w:p>
    <w:p>
      <w:pPr>
        <w:ind w:firstLine="362"/>
        <w:spacing w:after="0" w:line="279" w:lineRule="auto"/>
        <w:rPr>
          <w:sz w:val="20"/>
          <w:szCs w:val="20"/>
          <w:color w:val="auto"/>
        </w:rPr>
      </w:pPr>
      <w:r>
        <w:rPr>
          <w:rFonts w:ascii="Arial" w:cs="Arial" w:eastAsia="Arial" w:hAnsi="Arial"/>
          <w:sz w:val="15"/>
          <w:szCs w:val="15"/>
          <w:color w:val="auto"/>
        </w:rPr>
        <w:t>Earnings before interest and taxes ("EBIT") from ongoing operations is a non-GAAP financial measure included in the reconciliation of segment financial information to consolidated results for the Company. It is not intended to represent the stand-alone results for Tredegar’s ongoing operations under generally accepted accounting standards in the United States ("GAAP") and should not be considered as an alternative to net income as defined by GAAP. EBIT is a widely understood and utilized metric that is meaningful to certain investors. We believe that including this financial metric in the reconciliation of management’s performance metric, EBITDA from ongoing operations, provides useful information to those investors that primarily utilize EBIT to analyze the Company’s core operations.</w:t>
      </w:r>
    </w:p>
    <w:p>
      <w:pPr>
        <w:spacing w:after="0" w:line="43" w:lineRule="exact"/>
        <w:rPr>
          <w:sz w:val="20"/>
          <w:szCs w:val="20"/>
          <w:color w:val="auto"/>
        </w:rPr>
      </w:pPr>
    </w:p>
    <w:p>
      <w:pPr>
        <w:ind w:right="2580" w:firstLine="2952"/>
        <w:spacing w:after="0" w:line="356" w:lineRule="auto"/>
        <w:rPr>
          <w:sz w:val="20"/>
          <w:szCs w:val="20"/>
          <w:color w:val="auto"/>
        </w:rPr>
      </w:pPr>
      <w:r>
        <w:rPr>
          <w:rFonts w:ascii="Arial" w:cs="Arial" w:eastAsia="Arial" w:hAnsi="Arial"/>
          <w:sz w:val="16"/>
          <w:szCs w:val="16"/>
          <w:b w:val="1"/>
          <w:bCs w:val="1"/>
          <w:color w:val="auto"/>
        </w:rPr>
        <w:t xml:space="preserve">THE IMPACT OF COVID-19 AND RELATED FINANCIAL CONSIDERATIONS </w:t>
      </w:r>
      <w:r>
        <w:rPr>
          <w:rFonts w:ascii="Arial" w:cs="Arial" w:eastAsia="Arial" w:hAnsi="Arial"/>
          <w:sz w:val="16"/>
          <w:szCs w:val="16"/>
          <w:i w:val="1"/>
          <w:iCs w:val="1"/>
          <w:color w:val="auto"/>
        </w:rPr>
        <w:t>Essential Business and Employee Considerations</w:t>
      </w:r>
    </w:p>
    <w:p>
      <w:pPr>
        <w:spacing w:after="0" w:line="1" w:lineRule="exact"/>
        <w:rPr>
          <w:sz w:val="20"/>
          <w:szCs w:val="20"/>
          <w:color w:val="auto"/>
        </w:rPr>
      </w:pPr>
    </w:p>
    <w:p>
      <w:pPr>
        <w:ind w:firstLine="362"/>
        <w:spacing w:after="0" w:line="279" w:lineRule="auto"/>
        <w:rPr>
          <w:sz w:val="20"/>
          <w:szCs w:val="20"/>
          <w:color w:val="auto"/>
        </w:rPr>
      </w:pPr>
      <w:r>
        <w:rPr>
          <w:rFonts w:ascii="Arial" w:cs="Arial" w:eastAsia="Arial" w:hAnsi="Arial"/>
          <w:sz w:val="16"/>
          <w:szCs w:val="16"/>
          <w:color w:val="auto"/>
        </w:rPr>
        <w:t>The Company’s priorities during the COVID-19 pandemic continue to be to protect the health and safety of employees while keeping its manufacturing sites open due to the essential nature of many of its products. The Company has continued to manufacture the full range of products at its facilities.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ind w:right="60" w:firstLine="362"/>
        <w:spacing w:after="0" w:line="255" w:lineRule="auto"/>
        <w:rPr>
          <w:sz w:val="20"/>
          <w:szCs w:val="20"/>
          <w:color w:val="auto"/>
        </w:rPr>
      </w:pPr>
      <w:r>
        <w:rPr>
          <w:rFonts w:ascii="Arial" w:cs="Arial" w:eastAsia="Arial" w:hAnsi="Arial"/>
          <w:sz w:val="16"/>
          <w:szCs w:val="16"/>
          <w:color w:val="auto"/>
        </w:rPr>
        <w:t>The Company’s protocols to protect the health and well-being of its employees from COVID-19 continue to evolve with COVID-19 informed work practices and as the Company responds to recommended and mandated actions of government and health authorities. In addition, to facilitate a return to fully functional operations, the Company has undertaken an education campaign to provide employees with the most accurate and up-to-date information available, particularly from the Centers for Disease Control (“CDC”), the Office of the Surgeon General and state and local health departments, relating to the benefits of the COVID-19 vaccines and other safeguards that may be taken to try to prevent a COVID-19 outbreak in the workplace. The Company believes that these efforts are encouraging some employees to get vaccinated. In the meantime, the Company continues to take other precautions, such as providing hand sanitizer throughout facilities, extra cleaning for high touch areas, mandating that employees experiencing symptoms (including fully vaccinated employees) remain at home and coordinate their return with Human Resources, and ensuring ventilation systems are properly working.</w:t>
      </w:r>
    </w:p>
    <w:p>
      <w:pPr>
        <w:spacing w:after="0" w:line="53"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Bonnell Aluminum continues to experience higher than normal absenteeism and hiring difficulties, which it attributes to COVID-19-related factors. Bonnell Aluminum attempts to match its direct labor with demand and is facing difficulty maintaining sufficient labor to meet desired shipment levels.</w:t>
      </w:r>
    </w:p>
    <w:p>
      <w:pPr>
        <w:spacing w:after="0" w:line="43" w:lineRule="exact"/>
        <w:rPr>
          <w:sz w:val="20"/>
          <w:szCs w:val="20"/>
          <w:color w:val="auto"/>
        </w:rPr>
      </w:pPr>
    </w:p>
    <w:p>
      <w:pPr>
        <w:ind w:firstLine="362"/>
        <w:spacing w:after="0" w:line="283" w:lineRule="auto"/>
        <w:rPr>
          <w:sz w:val="20"/>
          <w:szCs w:val="20"/>
          <w:color w:val="auto"/>
        </w:rPr>
      </w:pPr>
      <w:r>
        <w:rPr>
          <w:rFonts w:ascii="Arial" w:cs="Arial" w:eastAsia="Arial" w:hAnsi="Arial"/>
          <w:sz w:val="15"/>
          <w:szCs w:val="15"/>
          <w:color w:val="auto"/>
        </w:rPr>
        <w:t>All three of the Company's business units are managing through supply chain disruptions, including raw material cost increases, shortages in aluminum and plastic resin and transportation delays. To offset growing cost pressures, Bonnell Aluminum implemented its second selling price increase in 2021, which became effective on April 26, 2021.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Considerations</w:t>
      </w:r>
    </w:p>
    <w:p>
      <w:pPr>
        <w:spacing w:after="0" w:line="81" w:lineRule="exact"/>
        <w:rPr>
          <w:sz w:val="20"/>
          <w:szCs w:val="20"/>
          <w:color w:val="auto"/>
        </w:rPr>
      </w:pPr>
    </w:p>
    <w:p>
      <w:pPr>
        <w:ind w:right="100" w:firstLine="362"/>
        <w:spacing w:after="0" w:line="256" w:lineRule="auto"/>
        <w:rPr>
          <w:sz w:val="20"/>
          <w:szCs w:val="20"/>
          <w:color w:val="auto"/>
        </w:rPr>
      </w:pPr>
      <w:r>
        <w:rPr>
          <w:rFonts w:ascii="Arial" w:cs="Arial" w:eastAsia="Arial" w:hAnsi="Arial"/>
          <w:sz w:val="16"/>
          <w:szCs w:val="16"/>
          <w:color w:val="auto"/>
        </w:rPr>
        <w:t>Approximately 62% of Bonnell Aluminum’s sales volume in 2020 was related to building and construction (“B&amp;C”) markets (non-residential B&amp;C of 55% and residential B&amp;C of 7%). Non-residential B&amp;C volume started to decline in the fourth quarter of 2020 after the fulfillment of contracts that existed at the start of the COVID-19 pandemic. Bonnell Aluminum continued to experience weakness in non-residential B&amp;C during the second quarter of 2021 with related volume declining 10.2% versus the second quarter of last year. In addition, a portion of the non-residential B&amp;C volume decline was due to pandemic-related production inefficiencies and labor constraints. However, B&amp;C-related sales volume declines were more than offset by increases in other markets, resulting in an overall increase in volume for the second quarter and first six months of 2021 of 11.9% and 2.5%, respectively. Moreover, Bonnell Aluminum's performance to date during the COVID-19 environment has exceeded the Company's expectations, with current bookings and backlog at record high levels.</w:t>
      </w:r>
    </w:p>
    <w:p>
      <w:pPr>
        <w:spacing w:after="0" w:line="62" w:lineRule="exact"/>
        <w:rPr>
          <w:sz w:val="20"/>
          <w:szCs w:val="20"/>
          <w:color w:val="auto"/>
        </w:rPr>
      </w:pPr>
    </w:p>
    <w:p>
      <w:pPr>
        <w:ind w:firstLine="362"/>
        <w:spacing w:after="0" w:line="277" w:lineRule="auto"/>
        <w:rPr>
          <w:sz w:val="20"/>
          <w:szCs w:val="20"/>
          <w:color w:val="auto"/>
        </w:rPr>
      </w:pPr>
      <w:r>
        <w:rPr>
          <w:rFonts w:ascii="Arial" w:cs="Arial" w:eastAsia="Arial" w:hAnsi="Arial"/>
          <w:sz w:val="15"/>
          <w:szCs w:val="15"/>
          <w:color w:val="auto"/>
        </w:rPr>
        <w:t>Demand has been strong during the COVID-19 pandemic for the Company’s flexible food packaging films produced by Terphane; however, temporary resin supply issues and customer inventory corrections adversely impacted second quarter sales volume versus the same period in the prior year. The Surface Protection component of PE Films had record EBITDA from ongoing operations in 2020, but is experiencing a decline in volume in 2021 related to a previously disclosed customer product transition and the timing of customer orders. In addition, significant resin cost increases since the second quarter of 2020 have adversely impacted PE Films' results, due to margin compression for products with customers that were not covered by resin pass-through arrangements. The quarterly lag between the timing of changes in resin costs and selling prices on existing pass-through arrangements also affected PE Films' results. See the PE Films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OPERATIONS REVIEW</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Aluminum Extrusions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gridSpan w:val="3"/>
          </w:tcPr>
          <w:p>
            <w:pPr>
              <w:jc w:val="right"/>
              <w:ind w:right="620"/>
              <w:spacing w:after="0"/>
              <w:rPr>
                <w:sz w:val="20"/>
                <w:szCs w:val="20"/>
                <w:color w:val="auto"/>
              </w:rPr>
            </w:pPr>
            <w:r>
              <w:rPr>
                <w:rFonts w:ascii="Arial" w:cs="Arial" w:eastAsia="Arial" w:hAnsi="Arial"/>
                <w:sz w:val="16"/>
                <w:szCs w:val="16"/>
                <w:color w:val="auto"/>
              </w:rPr>
              <w:t>Three Months Ended</w:t>
            </w:r>
          </w:p>
        </w:tc>
        <w:tc>
          <w:tcPr>
            <w:tcW w:w="144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6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Six Months Ended</w:t>
            </w:r>
          </w:p>
        </w:tc>
        <w:tc>
          <w:tcPr>
            <w:tcW w:w="760" w:type="dxa"/>
            <w:vAlign w:val="bottom"/>
          </w:tcPr>
          <w:p>
            <w:pPr>
              <w:spacing w:after="0"/>
              <w:rPr>
                <w:sz w:val="17"/>
                <w:szCs w:val="17"/>
                <w:color w:val="auto"/>
              </w:rPr>
            </w:pPr>
          </w:p>
        </w:tc>
        <w:tc>
          <w:tcPr>
            <w:tcW w:w="136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June 30,</w:t>
            </w:r>
          </w:p>
        </w:tc>
        <w:tc>
          <w:tcPr>
            <w:tcW w:w="9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7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June 30,</w:t>
            </w:r>
          </w:p>
        </w:tc>
        <w:tc>
          <w:tcPr>
            <w:tcW w:w="7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380"/>
              <w:spacing w:after="0" w:line="121" w:lineRule="exact"/>
              <w:rPr>
                <w:sz w:val="20"/>
                <w:szCs w:val="20"/>
                <w:color w:val="auto"/>
              </w:rPr>
            </w:pPr>
            <w:r>
              <w:rPr>
                <w:rFonts w:ascii="Arial" w:cs="Arial" w:eastAsia="Arial" w:hAnsi="Arial"/>
                <w:sz w:val="13"/>
                <w:szCs w:val="13"/>
                <w:color w:val="auto"/>
              </w:rPr>
              <w:t>(In thousands, except</w:t>
            </w:r>
          </w:p>
        </w:tc>
        <w:tc>
          <w:tcPr>
            <w:tcW w:w="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rPr>
              <w:t>(Unfavorable)</w:t>
            </w:r>
          </w:p>
        </w:tc>
        <w:tc>
          <w:tcPr>
            <w:tcW w:w="6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60" w:type="dxa"/>
            <w:vAlign w:val="bottom"/>
          </w:tcPr>
          <w:p>
            <w:pPr>
              <w:jc w:val="center"/>
              <w:ind w:left="1"/>
              <w:spacing w:after="0" w:line="121" w:lineRule="exact"/>
              <w:rPr>
                <w:sz w:val="20"/>
                <w:szCs w:val="20"/>
                <w:color w:val="auto"/>
              </w:rPr>
            </w:pPr>
            <w:r>
              <w:rPr>
                <w:rFonts w:ascii="Arial" w:cs="Arial" w:eastAsia="Arial" w:hAnsi="Arial"/>
                <w:sz w:val="13"/>
                <w:szCs w:val="13"/>
                <w:color w:val="auto"/>
              </w:rPr>
              <w:t>(Unfavorable)</w:t>
            </w:r>
          </w:p>
        </w:tc>
        <w:tc>
          <w:tcPr>
            <w:tcW w:w="0" w:type="dxa"/>
            <w:vAlign w:val="bottom"/>
          </w:tcPr>
          <w:p>
            <w:pPr>
              <w:spacing w:after="0"/>
              <w:rPr>
                <w:sz w:val="1"/>
                <w:szCs w:val="1"/>
                <w:color w:val="auto"/>
              </w:rPr>
            </w:pPr>
          </w:p>
        </w:tc>
      </w:tr>
      <w:tr>
        <w:trPr>
          <w:trHeight w:val="22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percentages)</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 Change</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89"/>
              </w:rPr>
              <w:t>2020</w:t>
            </w:r>
          </w:p>
        </w:tc>
        <w:tc>
          <w:tcPr>
            <w:tcW w:w="136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88"/>
              </w:rPr>
              <w:t>% Change</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volume (lbs)</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49,021</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43,807</w:t>
            </w:r>
          </w:p>
        </w:tc>
        <w:tc>
          <w:tcPr>
            <w:tcW w:w="144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88"/>
              </w:rPr>
              <w:t>11.9%</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93,387</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91,124</w:t>
            </w:r>
          </w:p>
        </w:tc>
        <w:tc>
          <w:tcPr>
            <w:tcW w:w="136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3"/>
              </w:rPr>
              <w:t>2.5%</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sales</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139,281</w:t>
            </w: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106,058</w:t>
            </w:r>
          </w:p>
        </w:tc>
        <w:tc>
          <w:tcPr>
            <w:tcW w:w="14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88"/>
              </w:rPr>
              <w:t>31.3%</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257,405</w:t>
            </w: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223,945</w:t>
            </w:r>
          </w:p>
        </w:tc>
        <w:tc>
          <w:tcPr>
            <w:tcW w:w="136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14.9%</w:t>
            </w: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Ongoing operations:</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ind w:left="520"/>
              <w:spacing w:after="0"/>
              <w:rPr>
                <w:sz w:val="20"/>
                <w:szCs w:val="20"/>
                <w:color w:val="auto"/>
              </w:rPr>
            </w:pPr>
            <w:r>
              <w:rPr>
                <w:rFonts w:ascii="Arial" w:cs="Arial" w:eastAsia="Arial" w:hAnsi="Arial"/>
                <w:sz w:val="16"/>
                <w:szCs w:val="16"/>
                <w:color w:val="auto"/>
              </w:rPr>
              <w:t>EBITDA</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19,723</w:t>
            </w:r>
          </w:p>
        </w:tc>
        <w:tc>
          <w:tcPr>
            <w:tcW w:w="4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13,279</w:t>
            </w:r>
          </w:p>
        </w:tc>
        <w:tc>
          <w:tcPr>
            <w:tcW w:w="1440" w:type="dxa"/>
            <w:vAlign w:val="bottom"/>
          </w:tcPr>
          <w:p>
            <w:pPr>
              <w:jc w:val="center"/>
              <w:ind w:left="281"/>
              <w:spacing w:after="0"/>
              <w:rPr>
                <w:sz w:val="20"/>
                <w:szCs w:val="20"/>
                <w:color w:val="auto"/>
              </w:rPr>
            </w:pPr>
            <w:r>
              <w:rPr>
                <w:rFonts w:ascii="Arial" w:cs="Arial" w:eastAsia="Arial" w:hAnsi="Arial"/>
                <w:sz w:val="16"/>
                <w:szCs w:val="16"/>
                <w:color w:val="auto"/>
                <w:w w:val="88"/>
              </w:rPr>
              <w:t>48.5%</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33,024</w:t>
            </w:r>
          </w:p>
        </w:tc>
        <w:tc>
          <w:tcPr>
            <w:tcW w:w="6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24,956</w:t>
            </w:r>
          </w:p>
        </w:tc>
        <w:tc>
          <w:tcPr>
            <w:tcW w:w="1360" w:type="dxa"/>
            <w:vAlign w:val="bottom"/>
          </w:tcPr>
          <w:p>
            <w:pPr>
              <w:jc w:val="center"/>
              <w:ind w:left="381"/>
              <w:spacing w:after="0"/>
              <w:rPr>
                <w:sz w:val="20"/>
                <w:szCs w:val="20"/>
                <w:color w:val="auto"/>
              </w:rPr>
            </w:pPr>
            <w:r>
              <w:rPr>
                <w:rFonts w:ascii="Arial" w:cs="Arial" w:eastAsia="Arial" w:hAnsi="Arial"/>
                <w:sz w:val="16"/>
                <w:szCs w:val="16"/>
                <w:color w:val="auto"/>
                <w:w w:val="92"/>
              </w:rPr>
              <w:t>32.3%</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520"/>
              <w:spacing w:after="0" w:line="157" w:lineRule="exact"/>
              <w:rPr>
                <w:sz w:val="20"/>
                <w:szCs w:val="20"/>
                <w:color w:val="auto"/>
              </w:rPr>
            </w:pPr>
            <w:r>
              <w:rPr>
                <w:rFonts w:ascii="Arial" w:cs="Arial" w:eastAsia="Arial" w:hAnsi="Arial"/>
                <w:sz w:val="16"/>
                <w:szCs w:val="16"/>
                <w:color w:val="auto"/>
              </w:rPr>
              <w:t>Depreciation &amp;</w:t>
            </w:r>
          </w:p>
        </w:tc>
        <w:tc>
          <w:tcPr>
            <w:tcW w:w="6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(4,032)</w:t>
            </w:r>
          </w:p>
        </w:tc>
        <w:tc>
          <w:tcPr>
            <w:tcW w:w="4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(4,267)</w:t>
            </w:r>
          </w:p>
        </w:tc>
        <w:tc>
          <w:tcPr>
            <w:tcW w:w="1440" w:type="dxa"/>
            <w:vAlign w:val="bottom"/>
            <w:vMerge w:val="restart"/>
            <w:shd w:val="clear" w:color="auto" w:fill="CCEEFF"/>
          </w:tcPr>
          <w:p>
            <w:pPr>
              <w:jc w:val="center"/>
              <w:ind w:left="281"/>
              <w:spacing w:after="0"/>
              <w:rPr>
                <w:sz w:val="20"/>
                <w:szCs w:val="20"/>
                <w:color w:val="auto"/>
              </w:rPr>
            </w:pPr>
            <w:r>
              <w:rPr>
                <w:rFonts w:ascii="Arial" w:cs="Arial" w:eastAsia="Arial" w:hAnsi="Arial"/>
                <w:sz w:val="16"/>
                <w:szCs w:val="16"/>
                <w:color w:val="auto"/>
                <w:w w:val="87"/>
              </w:rPr>
              <w:t>5.5%</w:t>
            </w:r>
          </w:p>
        </w:tc>
        <w:tc>
          <w:tcPr>
            <w:tcW w:w="6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(8,162)</w:t>
            </w:r>
          </w:p>
        </w:tc>
        <w:tc>
          <w:tcPr>
            <w:tcW w:w="62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(8,380)</w:t>
            </w:r>
          </w:p>
        </w:tc>
        <w:tc>
          <w:tcPr>
            <w:tcW w:w="1360" w:type="dxa"/>
            <w:vAlign w:val="bottom"/>
            <w:vMerge w:val="restart"/>
            <w:shd w:val="clear" w:color="auto" w:fill="CCEEFF"/>
          </w:tcPr>
          <w:p>
            <w:pPr>
              <w:jc w:val="center"/>
              <w:ind w:left="381"/>
              <w:spacing w:after="0"/>
              <w:rPr>
                <w:sz w:val="20"/>
                <w:szCs w:val="20"/>
                <w:color w:val="auto"/>
              </w:rPr>
            </w:pPr>
            <w:r>
              <w:rPr>
                <w:rFonts w:ascii="Arial" w:cs="Arial" w:eastAsia="Arial" w:hAnsi="Arial"/>
                <w:sz w:val="16"/>
                <w:szCs w:val="16"/>
                <w:color w:val="auto"/>
                <w:w w:val="93"/>
              </w:rPr>
              <w:t>2.6%</w:t>
            </w:r>
          </w:p>
        </w:tc>
        <w:tc>
          <w:tcPr>
            <w:tcW w:w="0" w:type="dxa"/>
            <w:vAlign w:val="bottom"/>
          </w:tcPr>
          <w:p>
            <w:pPr>
              <w:spacing w:after="0"/>
              <w:rPr>
                <w:sz w:val="1"/>
                <w:szCs w:val="1"/>
                <w:color w:val="auto"/>
              </w:rPr>
            </w:pPr>
          </w:p>
        </w:tc>
      </w:tr>
      <w:tr>
        <w:trPr>
          <w:trHeight w:val="205"/>
        </w:trPr>
        <w:tc>
          <w:tcPr>
            <w:tcW w:w="2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EBIT*</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15,691</w:t>
            </w: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9,012</w:t>
            </w:r>
          </w:p>
        </w:tc>
        <w:tc>
          <w:tcPr>
            <w:tcW w:w="14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88"/>
              </w:rPr>
              <w:t>74.1%</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24,862</w:t>
            </w: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16,576</w:t>
            </w:r>
          </w:p>
        </w:tc>
        <w:tc>
          <w:tcPr>
            <w:tcW w:w="136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50.0%</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4,326</w:t>
            </w: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6,773</w:t>
            </w:r>
          </w:p>
        </w:tc>
        <w:tc>
          <w:tcPr>
            <w:tcW w:w="6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0" w:right="620" w:firstLine="362"/>
        <w:spacing w:after="0" w:line="235" w:lineRule="auto"/>
        <w:rPr>
          <w:sz w:val="20"/>
          <w:szCs w:val="20"/>
          <w:color w:val="auto"/>
        </w:rPr>
      </w:pPr>
      <w:r>
        <w:rPr>
          <w:rFonts w:ascii="Arial" w:cs="Arial" w:eastAsia="Arial" w:hAnsi="Arial"/>
          <w:sz w:val="16"/>
          <w:szCs w:val="16"/>
          <w:color w:val="auto"/>
        </w:rPr>
        <w:t>*See the table in Note 11, "Business Segments," of this Form 10-Q ("Note 11") for a reconciliation of this non-GAAP measure to the most comparable measure calculated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Second Quarter 2021 Results vs. Second Quarter 2020 Results</w:t>
      </w:r>
    </w:p>
    <w:p>
      <w:pPr>
        <w:spacing w:after="0" w:line="93" w:lineRule="exact"/>
        <w:rPr>
          <w:sz w:val="20"/>
          <w:szCs w:val="20"/>
          <w:color w:val="auto"/>
        </w:rPr>
      </w:pPr>
    </w:p>
    <w:p>
      <w:pPr>
        <w:ind w:right="80" w:firstLine="362"/>
        <w:spacing w:after="0" w:line="256" w:lineRule="auto"/>
        <w:rPr>
          <w:sz w:val="20"/>
          <w:szCs w:val="20"/>
          <w:color w:val="auto"/>
        </w:rPr>
      </w:pPr>
      <w:r>
        <w:rPr>
          <w:rFonts w:ascii="Arial" w:cs="Arial" w:eastAsia="Arial" w:hAnsi="Arial"/>
          <w:sz w:val="16"/>
          <w:szCs w:val="16"/>
          <w:color w:val="auto"/>
        </w:rPr>
        <w:t>Net sales (sales less freight) in the second quarter of 2021 increased versus the second quarter of 2020, primarily due to higher volume, the pass-through of higher metal costs and an increase in average selling prices to cover higher operating costs. Sales volume in the second quarter of 2021 increased by 11.9% versus the second quarter of 2020. Sales volume associated with the non-residential B&amp;C market, which represented 55% of volume in 2020, declined 10.2% in the second quarter of 2021 versus the second quarter of 2020. Sales volume associated with specialty markets, which represented 31% of total volume in 2020, increased 44.2% in the second quarter of 2021 versus the second quarter of 2020, and sales volume associated with the automotive market, which represented 9% of total volume in 2020, increased 65.3% in the second quarter of 2021 versus the second quarter of 2020. See “</w:t>
      </w:r>
      <w:r>
        <w:rPr>
          <w:rFonts w:ascii="Arial" w:cs="Arial" w:eastAsia="Arial" w:hAnsi="Arial"/>
          <w:sz w:val="16"/>
          <w:szCs w:val="16"/>
          <w:i w:val="1"/>
          <w:iCs w:val="1"/>
          <w:color w:val="auto"/>
        </w:rPr>
        <w:t>The Impact of COVID-19 and Related Financial Considerations</w:t>
      </w:r>
      <w:r>
        <w:rPr>
          <w:rFonts w:ascii="Arial" w:cs="Arial" w:eastAsia="Arial" w:hAnsi="Arial"/>
          <w:sz w:val="16"/>
          <w:szCs w:val="16"/>
          <w:color w:val="auto"/>
        </w:rPr>
        <w:t>” section for more information on business conditions.</w:t>
      </w:r>
    </w:p>
    <w:p>
      <w:pPr>
        <w:spacing w:after="0" w:line="62" w:lineRule="exact"/>
        <w:rPr>
          <w:sz w:val="20"/>
          <w:szCs w:val="20"/>
          <w:color w:val="auto"/>
        </w:rPr>
      </w:pPr>
    </w:p>
    <w:p>
      <w:pPr>
        <w:ind w:right="120" w:firstLine="362"/>
        <w:spacing w:after="0" w:line="277" w:lineRule="auto"/>
        <w:rPr>
          <w:sz w:val="20"/>
          <w:szCs w:val="20"/>
          <w:color w:val="auto"/>
        </w:rPr>
      </w:pPr>
      <w:r>
        <w:rPr>
          <w:rFonts w:ascii="Arial" w:cs="Arial" w:eastAsia="Arial" w:hAnsi="Arial"/>
          <w:sz w:val="15"/>
          <w:szCs w:val="15"/>
          <w:color w:val="auto"/>
        </w:rPr>
        <w:t xml:space="preserve">EBITDA from ongoing operations in the second quarter of 2021 increased by $6.4 million in comparison to the second quarter of 2020, including a $5.2 million favorable variance from the timing of the flow through of aluminum raw materials costs under the first-in first-out (“FIFO”) inventory method. This favorable FIFO variance was due to aluminum raw materials previously acquired at lower costs in a quickly rising pricing environment driving a benefit of $3.1 million in the second quarter of 2021 versus a charge of $2.1 million in the second quarter of 2020. In addition, higher volume ($3.9 million) and higher pricing ($3.3 million) were partially offset by higher labor and other operating costs ($3.3 million), higher general, selling and administrative expenses ($1.8 million) and higher freight costs ($0.8 million). Refer to Item 3. </w:t>
      </w:r>
      <w:r>
        <w:rPr>
          <w:rFonts w:ascii="Arial" w:cs="Arial" w:eastAsia="Arial" w:hAnsi="Arial"/>
          <w:sz w:val="15"/>
          <w:szCs w:val="15"/>
          <w:i w:val="1"/>
          <w:iCs w:val="1"/>
          <w:color w:val="auto"/>
        </w:rPr>
        <w:t xml:space="preserve">Quantitative and Qualitative Disclosures About Market Risk </w:t>
      </w:r>
      <w:r>
        <w:rPr>
          <w:rFonts w:ascii="Arial" w:cs="Arial" w:eastAsia="Arial" w:hAnsi="Arial"/>
          <w:sz w:val="15"/>
          <w:szCs w:val="15"/>
          <w:color w:val="auto"/>
        </w:rPr>
        <w:t>of this Form 10-Q for additional information on aluminum prices.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Six Months of 2021 Results vs. First Six Months </w:t>
      </w:r>
      <w:r>
        <w:rPr>
          <w:rFonts w:ascii="Arial" w:cs="Arial" w:eastAsia="Arial" w:hAnsi="Arial"/>
          <w:sz w:val="16"/>
          <w:szCs w:val="16"/>
          <w:i w:val="1"/>
          <w:iCs w:val="1"/>
          <w:u w:val="single" w:color="auto"/>
          <w:color w:val="auto"/>
          <w:highlight w:val="white"/>
        </w:rPr>
        <w:t>2020 Results</w:t>
      </w:r>
    </w:p>
    <w:p>
      <w:pPr>
        <w:spacing w:after="0" w:line="93" w:lineRule="exact"/>
        <w:rPr>
          <w:sz w:val="20"/>
          <w:szCs w:val="20"/>
          <w:color w:val="auto"/>
        </w:rPr>
      </w:pPr>
    </w:p>
    <w:p>
      <w:pPr>
        <w:ind w:right="100" w:firstLine="362"/>
        <w:spacing w:after="0" w:line="265" w:lineRule="auto"/>
        <w:rPr>
          <w:sz w:val="20"/>
          <w:szCs w:val="20"/>
          <w:color w:val="auto"/>
        </w:rPr>
      </w:pPr>
      <w:r>
        <w:rPr>
          <w:rFonts w:ascii="Arial" w:cs="Arial" w:eastAsia="Arial" w:hAnsi="Arial"/>
          <w:sz w:val="16"/>
          <w:szCs w:val="16"/>
          <w:color w:val="auto"/>
        </w:rPr>
        <w:t>Net sales in the first six months of 2021 increased versus the first six months of 2020, primarily due to higher sales volume in the specialty and automotive markets, the pass-through of higher metal costs and an increase in average selling prices to cover higher operating costs. Sales volume in the first six months of 2021 increased by 2.5% versus the first six months of 2020.</w:t>
      </w:r>
    </w:p>
    <w:p>
      <w:pPr>
        <w:spacing w:after="0" w:line="54" w:lineRule="exact"/>
        <w:rPr>
          <w:sz w:val="20"/>
          <w:szCs w:val="20"/>
          <w:color w:val="auto"/>
        </w:rPr>
      </w:pPr>
    </w:p>
    <w:p>
      <w:pPr>
        <w:ind w:right="80" w:firstLine="362"/>
        <w:spacing w:after="0" w:line="283" w:lineRule="auto"/>
        <w:rPr>
          <w:sz w:val="20"/>
          <w:szCs w:val="20"/>
          <w:color w:val="auto"/>
        </w:rPr>
      </w:pPr>
      <w:r>
        <w:rPr>
          <w:rFonts w:ascii="Arial" w:cs="Arial" w:eastAsia="Arial" w:hAnsi="Arial"/>
          <w:sz w:val="15"/>
          <w:szCs w:val="15"/>
          <w:color w:val="auto"/>
        </w:rPr>
        <w:t>EBITDA from ongoing operations in the first six months of 2021 increased by $8.1 million in comparison to the first six months of 2020 due to higher volumes ($2.5 million) and higher pricing ($4.7 million), partially offset by higher labor and employee-related costs ($1.8 million) and other operational costs ($3.0 million), higher general, administrative and selling expenses ($1.0 million) and higher freight costs ($1.0 million). In addition, and consistent with second quarter results, inventories accounted for under the FIFO method resulted in a benefit of $4.1 million in the first six months of 2021 versus a charge of $3.5 million in the first six months of 2020.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Projected Capital Expenditures and Depreciation &amp; Amortization</w:t>
      </w:r>
    </w:p>
    <w:p>
      <w:pPr>
        <w:spacing w:after="0" w:line="93" w:lineRule="exact"/>
        <w:rPr>
          <w:sz w:val="20"/>
          <w:szCs w:val="20"/>
          <w:color w:val="auto"/>
        </w:rPr>
      </w:pPr>
    </w:p>
    <w:p>
      <w:pPr>
        <w:ind w:right="140" w:firstLine="362"/>
        <w:spacing w:after="0" w:line="320" w:lineRule="auto"/>
        <w:rPr>
          <w:sz w:val="20"/>
          <w:szCs w:val="20"/>
          <w:color w:val="auto"/>
        </w:rPr>
      </w:pPr>
      <w:r>
        <w:rPr>
          <w:rFonts w:ascii="Arial" w:cs="Arial" w:eastAsia="Arial" w:hAnsi="Arial"/>
          <w:sz w:val="14"/>
          <w:szCs w:val="14"/>
          <w:color w:val="auto"/>
        </w:rPr>
        <w:t>Capital expenditures for Bonnell Aluminum are projected to be $21 million in 2021, including $3 million for infrastructure upgrades at the Carthage, Tennessee and Newnan, Georgia facilities, $1 million for a roof replacement at the Elkhart, Indiana site and $4 million for strategic projects. In addition, approximately $13 million will be required to support continuity of current operations. Depreciation expense is projected to be $14 million in 2021. Amortization expense is projected to be $3 million in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PE Films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gridSpan w:val="3"/>
          </w:tcPr>
          <w:p>
            <w:pPr>
              <w:jc w:val="right"/>
              <w:ind w:right="540"/>
              <w:spacing w:after="0"/>
              <w:rPr>
                <w:sz w:val="20"/>
                <w:szCs w:val="20"/>
                <w:color w:val="auto"/>
              </w:rPr>
            </w:pPr>
            <w:r>
              <w:rPr>
                <w:rFonts w:ascii="Arial" w:cs="Arial" w:eastAsia="Arial" w:hAnsi="Arial"/>
                <w:sz w:val="16"/>
                <w:szCs w:val="16"/>
                <w:color w:val="auto"/>
              </w:rPr>
              <w:t>Three Months Ended</w:t>
            </w:r>
          </w:p>
        </w:tc>
        <w:tc>
          <w:tcPr>
            <w:tcW w:w="1480" w:type="dxa"/>
            <w:vAlign w:val="bottom"/>
            <w:vMerge w:val="restart"/>
          </w:tcPr>
          <w:p>
            <w:pPr>
              <w:ind w:left="580"/>
              <w:spacing w:after="0"/>
              <w:rPr>
                <w:sz w:val="20"/>
                <w:szCs w:val="20"/>
                <w:color w:val="auto"/>
              </w:rPr>
            </w:pPr>
            <w:r>
              <w:rPr>
                <w:rFonts w:ascii="Arial" w:cs="Arial" w:eastAsia="Arial" w:hAnsi="Arial"/>
                <w:sz w:val="16"/>
                <w:szCs w:val="16"/>
                <w:color w:val="auto"/>
              </w:rPr>
              <w:t>Favorable/</w:t>
            </w:r>
          </w:p>
        </w:tc>
        <w:tc>
          <w:tcPr>
            <w:tcW w:w="6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Six Months Ended</w:t>
            </w:r>
          </w:p>
        </w:tc>
        <w:tc>
          <w:tcPr>
            <w:tcW w:w="700" w:type="dxa"/>
            <w:vAlign w:val="bottom"/>
          </w:tcPr>
          <w:p>
            <w:pPr>
              <w:spacing w:after="0"/>
              <w:rPr>
                <w:sz w:val="17"/>
                <w:szCs w:val="17"/>
                <w:color w:val="auto"/>
              </w:rPr>
            </w:pPr>
          </w:p>
        </w:tc>
        <w:tc>
          <w:tcPr>
            <w:tcW w:w="1380" w:type="dxa"/>
            <w:vAlign w:val="bottom"/>
            <w:vMerge w:val="restart"/>
          </w:tcPr>
          <w:p>
            <w:pPr>
              <w:ind w:left="580"/>
              <w:spacing w:after="0"/>
              <w:rPr>
                <w:sz w:val="20"/>
                <w:szCs w:val="20"/>
                <w:color w:val="auto"/>
              </w:rPr>
            </w:pPr>
            <w:r>
              <w:rPr>
                <w:rFonts w:ascii="Arial" w:cs="Arial" w:eastAsia="Arial" w:hAnsi="Arial"/>
                <w:sz w:val="16"/>
                <w:szCs w:val="16"/>
                <w:color w:val="auto"/>
              </w:rPr>
              <w:t>Favorable/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June 30,</w:t>
            </w:r>
          </w:p>
        </w:tc>
        <w:tc>
          <w:tcPr>
            <w:tcW w:w="7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40" w:type="dxa"/>
            <w:vAlign w:val="bottom"/>
          </w:tcPr>
          <w:p>
            <w:pPr>
              <w:ind w:left="380"/>
              <w:spacing w:after="0" w:line="121" w:lineRule="exact"/>
              <w:rPr>
                <w:sz w:val="20"/>
                <w:szCs w:val="20"/>
                <w:color w:val="auto"/>
              </w:rPr>
            </w:pPr>
            <w:r>
              <w:rPr>
                <w:rFonts w:ascii="Arial" w:cs="Arial" w:eastAsia="Arial" w:hAnsi="Arial"/>
                <w:sz w:val="13"/>
                <w:szCs w:val="13"/>
                <w:color w:val="auto"/>
              </w:rPr>
              <w:t>(In thousands, except</w:t>
            </w:r>
          </w:p>
        </w:tc>
        <w:tc>
          <w:tcPr>
            <w:tcW w:w="6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rPr>
              <w:t>(Unfavorable)</w:t>
            </w:r>
          </w:p>
        </w:tc>
        <w:tc>
          <w:tcPr>
            <w:tcW w:w="6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80" w:type="dxa"/>
            <w:vAlign w:val="bottom"/>
          </w:tcPr>
          <w:p>
            <w:pPr>
              <w:jc w:val="center"/>
              <w:ind w:left="21"/>
              <w:spacing w:after="0" w:line="121" w:lineRule="exact"/>
              <w:rPr>
                <w:sz w:val="20"/>
                <w:szCs w:val="20"/>
                <w:color w:val="auto"/>
              </w:rPr>
            </w:pPr>
            <w:r>
              <w:rPr>
                <w:rFonts w:ascii="Arial" w:cs="Arial" w:eastAsia="Arial" w:hAnsi="Arial"/>
                <w:sz w:val="13"/>
                <w:szCs w:val="13"/>
                <w:color w:val="auto"/>
              </w:rPr>
              <w:t>(Unfavorable)</w:t>
            </w:r>
          </w:p>
        </w:tc>
        <w:tc>
          <w:tcPr>
            <w:tcW w:w="0" w:type="dxa"/>
            <w:vAlign w:val="bottom"/>
          </w:tcPr>
          <w:p>
            <w:pPr>
              <w:spacing w:after="0"/>
              <w:rPr>
                <w:sz w:val="1"/>
                <w:szCs w:val="1"/>
                <w:color w:val="auto"/>
              </w:rPr>
            </w:pPr>
          </w:p>
        </w:tc>
      </w:tr>
      <w:tr>
        <w:trPr>
          <w:trHeight w:val="221"/>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percentages)</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 Change</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4"/>
              </w:rPr>
              <w:t>2020</w:t>
            </w:r>
          </w:p>
        </w:tc>
        <w:tc>
          <w:tcPr>
            <w:tcW w:w="138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90"/>
              </w:rPr>
              <w:t>% Change</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volume (lbs)</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10,538</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w:t>
            </w:r>
          </w:p>
        </w:tc>
        <w:tc>
          <w:tcPr>
            <w:tcW w:w="148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93"/>
              </w:rPr>
              <w:t>(9.3)%</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20,782</w:t>
            </w: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23,792</w:t>
            </w:r>
          </w:p>
        </w:tc>
        <w:tc>
          <w:tcPr>
            <w:tcW w:w="138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2"/>
              </w:rPr>
              <w:t>(12.7)%</w:t>
            </w:r>
          </w:p>
        </w:tc>
        <w:tc>
          <w:tcPr>
            <w:tcW w:w="0" w:type="dxa"/>
            <w:vAlign w:val="bottom"/>
          </w:tcPr>
          <w:p>
            <w:pPr>
              <w:spacing w:after="0"/>
              <w:rPr>
                <w:sz w:val="1"/>
                <w:szCs w:val="1"/>
                <w:color w:val="auto"/>
              </w:rPr>
            </w:pPr>
          </w:p>
        </w:tc>
      </w:tr>
      <w:tr>
        <w:trPr>
          <w:trHeight w:val="209"/>
        </w:trPr>
        <w:tc>
          <w:tcPr>
            <w:tcW w:w="24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sales</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31,430</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40,203</w:t>
            </w:r>
          </w:p>
        </w:tc>
        <w:tc>
          <w:tcPr>
            <w:tcW w:w="148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92"/>
              </w:rPr>
              <w:t>(21.8)%</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59,384</w:t>
            </w: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77,004</w:t>
            </w: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(22.9)%</w:t>
            </w: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Ongoing operations:</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520"/>
              <w:spacing w:after="0"/>
              <w:rPr>
                <w:sz w:val="20"/>
                <w:szCs w:val="20"/>
                <w:color w:val="auto"/>
              </w:rPr>
            </w:pPr>
            <w:r>
              <w:rPr>
                <w:rFonts w:ascii="Arial" w:cs="Arial" w:eastAsia="Arial" w:hAnsi="Arial"/>
                <w:sz w:val="16"/>
                <w:szCs w:val="16"/>
                <w:color w:val="auto"/>
              </w:rPr>
              <w:t>EBITDA</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0"/>
              <w:spacing w:after="0"/>
              <w:rPr>
                <w:sz w:val="20"/>
                <w:szCs w:val="20"/>
                <w:color w:val="auto"/>
              </w:rPr>
            </w:pPr>
            <w:r>
              <w:rPr>
                <w:rFonts w:ascii="Arial" w:cs="Arial" w:eastAsia="Arial" w:hAnsi="Arial"/>
                <w:sz w:val="16"/>
                <w:szCs w:val="16"/>
                <w:color w:val="auto"/>
              </w:rPr>
              <w:t>9,001</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15,471</w:t>
            </w:r>
          </w:p>
        </w:tc>
        <w:tc>
          <w:tcPr>
            <w:tcW w:w="1480" w:type="dxa"/>
            <w:vAlign w:val="bottom"/>
          </w:tcPr>
          <w:p>
            <w:pPr>
              <w:jc w:val="center"/>
              <w:ind w:left="281"/>
              <w:spacing w:after="0"/>
              <w:rPr>
                <w:sz w:val="20"/>
                <w:szCs w:val="20"/>
                <w:color w:val="auto"/>
              </w:rPr>
            </w:pPr>
            <w:r>
              <w:rPr>
                <w:rFonts w:ascii="Arial" w:cs="Arial" w:eastAsia="Arial" w:hAnsi="Arial"/>
                <w:sz w:val="16"/>
                <w:szCs w:val="16"/>
                <w:color w:val="auto"/>
                <w:w w:val="92"/>
              </w:rPr>
              <w:t>(41.8)%</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16,213</w:t>
            </w:r>
          </w:p>
        </w:tc>
        <w:tc>
          <w:tcPr>
            <w:tcW w:w="6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27,884</w:t>
            </w:r>
          </w:p>
        </w:tc>
        <w:tc>
          <w:tcPr>
            <w:tcW w:w="1380" w:type="dxa"/>
            <w:vAlign w:val="bottom"/>
          </w:tcPr>
          <w:p>
            <w:pPr>
              <w:jc w:val="center"/>
              <w:ind w:left="381"/>
              <w:spacing w:after="0"/>
              <w:rPr>
                <w:sz w:val="20"/>
                <w:szCs w:val="20"/>
                <w:color w:val="auto"/>
              </w:rPr>
            </w:pPr>
            <w:r>
              <w:rPr>
                <w:rFonts w:ascii="Arial" w:cs="Arial" w:eastAsia="Arial" w:hAnsi="Arial"/>
                <w:sz w:val="16"/>
                <w:szCs w:val="16"/>
                <w:color w:val="auto"/>
                <w:w w:val="92"/>
              </w:rPr>
              <w:t>(41.9)%</w:t>
            </w:r>
          </w:p>
        </w:tc>
        <w:tc>
          <w:tcPr>
            <w:tcW w:w="0" w:type="dxa"/>
            <w:vAlign w:val="bottom"/>
          </w:tcPr>
          <w:p>
            <w:pPr>
              <w:spacing w:after="0"/>
              <w:rPr>
                <w:sz w:val="1"/>
                <w:szCs w:val="1"/>
                <w:color w:val="auto"/>
              </w:rPr>
            </w:pPr>
          </w:p>
        </w:tc>
      </w:tr>
      <w:tr>
        <w:trPr>
          <w:trHeight w:val="205"/>
        </w:trPr>
        <w:tc>
          <w:tcPr>
            <w:tcW w:w="24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6"/>
              </w:rPr>
              <w:t>Depreciation &amp; amortization</w:t>
            </w: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(1,671)</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480" w:type="dxa"/>
            <w:vAlign w:val="bottom"/>
            <w:tcBorders>
              <w:bottom w:val="single" w:sz="8" w:color="auto"/>
            </w:tcBorders>
            <w:shd w:val="clear" w:color="auto" w:fill="CCEEFF"/>
          </w:tcPr>
          <w:p>
            <w:pPr>
              <w:jc w:val="center"/>
              <w:ind w:left="281"/>
              <w:spacing w:after="0"/>
              <w:rPr>
                <w:sz w:val="20"/>
                <w:szCs w:val="20"/>
                <w:color w:val="auto"/>
              </w:rPr>
            </w:pPr>
            <w:r>
              <w:rPr>
                <w:rFonts w:ascii="Arial" w:cs="Arial" w:eastAsia="Arial" w:hAnsi="Arial"/>
                <w:sz w:val="16"/>
                <w:szCs w:val="16"/>
                <w:color w:val="auto"/>
                <w:w w:val="93"/>
              </w:rPr>
              <w:t>(5.2)%</w:t>
            </w: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(3,090)</w:t>
            </w:r>
          </w:p>
        </w:tc>
        <w:tc>
          <w:tcPr>
            <w:tcW w:w="6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38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93"/>
              </w:rPr>
              <w:t>(0.2)%</w:t>
            </w:r>
          </w:p>
        </w:tc>
        <w:tc>
          <w:tcPr>
            <w:tcW w:w="0" w:type="dxa"/>
            <w:vAlign w:val="bottom"/>
          </w:tcPr>
          <w:p>
            <w:pPr>
              <w:spacing w:after="0"/>
              <w:rPr>
                <w:sz w:val="1"/>
                <w:szCs w:val="1"/>
                <w:color w:val="auto"/>
              </w:rPr>
            </w:pPr>
          </w:p>
        </w:tc>
      </w:tr>
      <w:tr>
        <w:trPr>
          <w:trHeight w:val="201"/>
        </w:trPr>
        <w:tc>
          <w:tcPr>
            <w:tcW w:w="24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EBIT*</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7,330</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w:t>
            </w:r>
          </w:p>
        </w:tc>
        <w:tc>
          <w:tcPr>
            <w:tcW w:w="148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92"/>
              </w:rPr>
              <w:t>(47.2)%</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13,123</w:t>
            </w: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24,801</w:t>
            </w: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(47.1)%</w:t>
            </w:r>
          </w:p>
        </w:tc>
        <w:tc>
          <w:tcPr>
            <w:tcW w:w="0" w:type="dxa"/>
            <w:vAlign w:val="bottom"/>
          </w:tcPr>
          <w:p>
            <w:pPr>
              <w:spacing w:after="0"/>
              <w:rPr>
                <w:sz w:val="1"/>
                <w:szCs w:val="1"/>
                <w:color w:val="auto"/>
              </w:rPr>
            </w:pPr>
          </w:p>
        </w:tc>
      </w:tr>
      <w:tr>
        <w:trPr>
          <w:trHeight w:val="209"/>
        </w:trPr>
        <w:tc>
          <w:tcPr>
            <w:tcW w:w="24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1,733</w:t>
            </w:r>
          </w:p>
        </w:tc>
        <w:tc>
          <w:tcPr>
            <w:tcW w:w="6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13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6"/>
          <w:szCs w:val="16"/>
          <w:color w:val="auto"/>
        </w:rPr>
        <w:t>* See the table in Note 11 for a reconciliation of this non-GAAP measure to the most comparable measure calculated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Second Quarter 2021 Results vs. Second Quarter 2020 Results</w:t>
      </w:r>
    </w:p>
    <w:p>
      <w:pPr>
        <w:spacing w:after="0" w:line="81" w:lineRule="exact"/>
        <w:rPr>
          <w:sz w:val="20"/>
          <w:szCs w:val="20"/>
          <w:color w:val="auto"/>
        </w:rPr>
      </w:pPr>
    </w:p>
    <w:p>
      <w:pPr>
        <w:jc w:val="both"/>
        <w:ind w:right="140" w:firstLine="362"/>
        <w:spacing w:after="0" w:line="279" w:lineRule="auto"/>
        <w:rPr>
          <w:sz w:val="20"/>
          <w:szCs w:val="20"/>
          <w:color w:val="auto"/>
        </w:rPr>
      </w:pPr>
      <w:r>
        <w:rPr>
          <w:rFonts w:ascii="Arial" w:cs="Arial" w:eastAsia="Arial" w:hAnsi="Arial"/>
          <w:sz w:val="16"/>
          <w:szCs w:val="16"/>
          <w:color w:val="auto"/>
        </w:rPr>
        <w:t>Net sales declined by $8.8 million in the second quarter of 2021 versus the second quarter of 2020, primarily due to lower volume and unfavorable mix associated with the previously disclosed customer product transitions in Surface Protection.</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from ongoing operations in the second quarter of 2021 decreased by $6.5 million versus the second quarter of 2020, primarily due to:</w:t>
      </w:r>
    </w:p>
    <w:p>
      <w:pPr>
        <w:spacing w:after="0" w:line="93" w:lineRule="exact"/>
        <w:rPr>
          <w:sz w:val="20"/>
          <w:szCs w:val="20"/>
          <w:color w:val="auto"/>
        </w:rPr>
      </w:pPr>
    </w:p>
    <w:p>
      <w:pPr>
        <w:ind w:left="360" w:right="200" w:hanging="219"/>
        <w:spacing w:after="0" w:line="265" w:lineRule="auto"/>
        <w:tabs>
          <w:tab w:leader="none" w:pos="3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$5.7 million decrease from Surface Protection related to lower sales associated with the customer product transitions ($7.2 million) and higher resin costs, net of existing index based pricing ($1.0 million), partially offset by higher sales of products unrelated to the customer product transitions ($0.9 million), higher productivity ($0.7 million), lower research and development expenses ($0.4 million) and lower other operating costs ($0.5 million); and</w:t>
      </w:r>
    </w:p>
    <w:p>
      <w:pPr>
        <w:spacing w:after="0" w:line="41" w:lineRule="exact"/>
        <w:rPr>
          <w:rFonts w:ascii="Arial" w:cs="Arial" w:eastAsia="Arial" w:hAnsi="Arial"/>
          <w:sz w:val="16"/>
          <w:szCs w:val="16"/>
          <w:color w:val="auto"/>
        </w:rPr>
      </w:pPr>
    </w:p>
    <w:p>
      <w:pPr>
        <w:ind w:left="360" w:right="180" w:hanging="219"/>
        <w:spacing w:after="0" w:line="279" w:lineRule="auto"/>
        <w:tabs>
          <w:tab w:leader="none" w:pos="3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 $0.6 million decrease from Pottsville Packaging primarily related to higher resin costs. Refer to Item 3.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of this Form 10-Q for additional information on resin prices.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 Product Transitions in Surface Protection</w:t>
      </w:r>
    </w:p>
    <w:p>
      <w:pPr>
        <w:spacing w:after="0" w:line="93" w:lineRule="exact"/>
        <w:rPr>
          <w:sz w:val="20"/>
          <w:szCs w:val="20"/>
          <w:color w:val="auto"/>
        </w:rPr>
      </w:pPr>
    </w:p>
    <w:p>
      <w:pPr>
        <w:ind w:right="420" w:firstLine="362"/>
        <w:spacing w:after="0" w:line="279" w:lineRule="auto"/>
        <w:rPr>
          <w:sz w:val="20"/>
          <w:szCs w:val="20"/>
          <w:color w:val="auto"/>
        </w:rPr>
      </w:pPr>
      <w:r>
        <w:rPr>
          <w:rFonts w:ascii="Arial" w:cs="Arial" w:eastAsia="Arial" w:hAnsi="Arial"/>
          <w:sz w:val="16"/>
          <w:szCs w:val="16"/>
          <w:color w:val="auto"/>
        </w:rPr>
        <w:t>The Surface Protection component of PE Films supports manufacturers of optical and other specialty substrates used in flat panel display products. These films are primarily used by customers to protect components of displays in the manufacturing and transportation processes and then discarded.</w:t>
      </w:r>
    </w:p>
    <w:p>
      <w:pPr>
        <w:spacing w:after="0" w:line="31" w:lineRule="exact"/>
        <w:rPr>
          <w:sz w:val="20"/>
          <w:szCs w:val="20"/>
          <w:color w:val="auto"/>
        </w:rPr>
      </w:pPr>
    </w:p>
    <w:p>
      <w:pPr>
        <w:ind w:right="60" w:firstLine="362"/>
        <w:spacing w:after="0" w:line="275" w:lineRule="auto"/>
        <w:rPr>
          <w:sz w:val="20"/>
          <w:szCs w:val="20"/>
          <w:color w:val="auto"/>
        </w:rPr>
      </w:pPr>
      <w:r>
        <w:rPr>
          <w:rFonts w:ascii="Arial" w:cs="Arial" w:eastAsia="Arial" w:hAnsi="Arial"/>
          <w:sz w:val="15"/>
          <w:szCs w:val="15"/>
          <w:color w:val="auto"/>
        </w:rPr>
        <w:t>The Company previously reported the risk that a portion of its film products used in surface protection applications will be made obsolete by possible future customer product transitions to less costly alternative processes or materials. These transitions principally relate to one customer. The Company believes that previously reported delays in this customer's transitions have been resolved by the customer and much of the remaining transitions are expected to occur by the end of 2021. Under this scenario, the Company estimates that the contribution to EBITDA from ongoing operations for PE Films could decline due to the remaining customer product transitions by $18 million in 2021 versus 2020 (of which approximately $13 million occurred during the first six months of 2021) and $4 million in 2022 versus 2021. To offset the expected adverse impact, the Company is aggressively pursuing and making progress in generating contribution from sales from new surface protection products, applications and customers and implementing cost savings measures. Annual contribution to EBITDA from ongoing operations for PE Films on surface protection products unrelated to the customer product transitions have increased by approximately $12 million during the past two years.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Six Months of 2021 Results vs. First Six Months </w:t>
      </w:r>
      <w:r>
        <w:rPr>
          <w:rFonts w:ascii="Arial" w:cs="Arial" w:eastAsia="Arial" w:hAnsi="Arial"/>
          <w:sz w:val="16"/>
          <w:szCs w:val="16"/>
          <w:i w:val="1"/>
          <w:iCs w:val="1"/>
          <w:u w:val="single" w:color="auto"/>
          <w:color w:val="auto"/>
          <w:highlight w:val="white"/>
        </w:rPr>
        <w:t>2020 Results</w:t>
      </w:r>
    </w:p>
    <w:p>
      <w:pPr>
        <w:spacing w:after="0" w:line="93" w:lineRule="exact"/>
        <w:rPr>
          <w:sz w:val="20"/>
          <w:szCs w:val="20"/>
          <w:color w:val="auto"/>
        </w:rPr>
      </w:pPr>
    </w:p>
    <w:p>
      <w:pPr>
        <w:ind w:right="180" w:firstLine="362"/>
        <w:spacing w:after="0" w:line="279" w:lineRule="auto"/>
        <w:rPr>
          <w:sz w:val="20"/>
          <w:szCs w:val="20"/>
          <w:color w:val="auto"/>
        </w:rPr>
      </w:pPr>
      <w:r>
        <w:rPr>
          <w:rFonts w:ascii="Arial" w:cs="Arial" w:eastAsia="Arial" w:hAnsi="Arial"/>
          <w:sz w:val="16"/>
          <w:szCs w:val="16"/>
          <w:color w:val="auto"/>
        </w:rPr>
        <w:t>Net sales in the first six months of 2021 decreased versus the first six months 2020, primarily due to lower volume and unfavorable mix associated with the previously disclosed customer product transitions in Surface Protection.</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from ongoing operation in the first six months of 2021 decreased by $11.7 million versus the first six months of 2020 primarily due to:</w:t>
      </w:r>
    </w:p>
    <w:p>
      <w:pPr>
        <w:spacing w:after="0" w:line="93" w:lineRule="exact"/>
        <w:rPr>
          <w:sz w:val="20"/>
          <w:szCs w:val="20"/>
          <w:color w:val="auto"/>
        </w:rPr>
      </w:pPr>
    </w:p>
    <w:p>
      <w:pPr>
        <w:jc w:val="both"/>
        <w:ind w:left="360" w:right="160" w:hanging="219"/>
        <w:spacing w:after="0" w:line="265" w:lineRule="auto"/>
        <w:tabs>
          <w:tab w:leader="none" w:pos="3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$11.1 million decrease from Surface Protection primarily related to lower sales and unfavorable mix associated with the customer product transitions ($13.0 million) and higher resin costs, net of existing index based pricing ($1.7 million), partially offset by higher sales of products unrelated to the customer product transitions ($1.8 million) and higher productivity ($2.0 million); and</w:t>
      </w:r>
    </w:p>
    <w:p>
      <w:pPr>
        <w:spacing w:after="0" w:line="54" w:lineRule="exact"/>
        <w:rPr>
          <w:rFonts w:ascii="Arial" w:cs="Arial" w:eastAsia="Arial" w:hAnsi="Arial"/>
          <w:sz w:val="16"/>
          <w:szCs w:val="16"/>
          <w:color w:val="auto"/>
        </w:rPr>
      </w:pPr>
    </w:p>
    <w:p>
      <w:pPr>
        <w:ind w:left="360" w:hanging="219"/>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$1.0 million decrease from Pottsville Packaging primarily related to higher resin costs.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u w:val="single" w:color="auto"/>
          <w:color w:val="auto"/>
        </w:rPr>
        <w:t>Projected Capital Expenditures and Depreciation &amp; Amortization</w:t>
      </w:r>
    </w:p>
    <w:p>
      <w:pPr>
        <w:spacing w:after="0" w:line="81" w:lineRule="exact"/>
        <w:rPr>
          <w:sz w:val="20"/>
          <w:szCs w:val="20"/>
          <w:color w:val="auto"/>
        </w:rPr>
      </w:pPr>
    </w:p>
    <w:p>
      <w:pPr>
        <w:ind w:right="140" w:firstLine="362"/>
        <w:spacing w:after="0" w:line="314" w:lineRule="auto"/>
        <w:rPr>
          <w:sz w:val="20"/>
          <w:szCs w:val="20"/>
          <w:color w:val="auto"/>
        </w:rPr>
      </w:pPr>
      <w:r>
        <w:rPr>
          <w:rFonts w:ascii="Arial" w:cs="Arial" w:eastAsia="Arial" w:hAnsi="Arial"/>
          <w:sz w:val="15"/>
          <w:szCs w:val="15"/>
          <w:color w:val="auto"/>
        </w:rPr>
        <w:t>Capital expenditures for PE Films are projected to be $4 million in 2021, including $2 million for productivity projects and $2 million for capital expenditures required to support continuity of current operations. Depreciation expense is projected to be $6 million in 2021. There is no amortization expense for PE Films.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Flexible Packaging Films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80" w:type="dxa"/>
            <w:vAlign w:val="bottom"/>
            <w:gridSpan w:val="3"/>
          </w:tcPr>
          <w:p>
            <w:pPr>
              <w:jc w:val="right"/>
              <w:ind w:right="440"/>
              <w:spacing w:after="0"/>
              <w:rPr>
                <w:sz w:val="20"/>
                <w:szCs w:val="20"/>
                <w:color w:val="auto"/>
              </w:rPr>
            </w:pPr>
            <w:r>
              <w:rPr>
                <w:rFonts w:ascii="Arial" w:cs="Arial" w:eastAsia="Arial" w:hAnsi="Arial"/>
                <w:sz w:val="16"/>
                <w:szCs w:val="16"/>
                <w:color w:val="auto"/>
              </w:rPr>
              <w:t>Three Months Ended</w:t>
            </w:r>
          </w:p>
        </w:tc>
        <w:tc>
          <w:tcPr>
            <w:tcW w:w="144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560" w:type="dxa"/>
            <w:vAlign w:val="bottom"/>
          </w:tcPr>
          <w:p>
            <w:pPr>
              <w:spacing w:after="0"/>
              <w:rPr>
                <w:sz w:val="17"/>
                <w:szCs w:val="17"/>
                <w:color w:val="auto"/>
              </w:rPr>
            </w:pPr>
          </w:p>
        </w:tc>
        <w:tc>
          <w:tcPr>
            <w:tcW w:w="2180" w:type="dxa"/>
            <w:vAlign w:val="bottom"/>
            <w:gridSpan w:val="3"/>
          </w:tcPr>
          <w:p>
            <w:pPr>
              <w:ind w:left="400"/>
              <w:spacing w:after="0"/>
              <w:rPr>
                <w:sz w:val="20"/>
                <w:szCs w:val="20"/>
                <w:color w:val="auto"/>
              </w:rPr>
            </w:pPr>
            <w:r>
              <w:rPr>
                <w:rFonts w:ascii="Arial" w:cs="Arial" w:eastAsia="Arial" w:hAnsi="Arial"/>
                <w:sz w:val="16"/>
                <w:szCs w:val="16"/>
                <w:color w:val="auto"/>
              </w:rPr>
              <w:t>Six Months Ended</w:t>
            </w:r>
          </w:p>
        </w:tc>
        <w:tc>
          <w:tcPr>
            <w:tcW w:w="1380" w:type="dxa"/>
            <w:vAlign w:val="bottom"/>
            <w:vMerge w:val="restart"/>
          </w:tcPr>
          <w:p>
            <w:pPr>
              <w:ind w:left="580"/>
              <w:spacing w:after="0"/>
              <w:rPr>
                <w:sz w:val="20"/>
                <w:szCs w:val="20"/>
                <w:color w:val="auto"/>
              </w:rPr>
            </w:pPr>
            <w:r>
              <w:rPr>
                <w:rFonts w:ascii="Arial" w:cs="Arial" w:eastAsia="Arial" w:hAnsi="Arial"/>
                <w:sz w:val="16"/>
                <w:szCs w:val="16"/>
                <w:color w:val="auto"/>
              </w:rPr>
              <w:t>Favorable/</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June 30,</w:t>
            </w:r>
          </w:p>
        </w:tc>
        <w:tc>
          <w:tcPr>
            <w:tcW w:w="7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June 30,</w:t>
            </w:r>
          </w:p>
        </w:tc>
        <w:tc>
          <w:tcPr>
            <w:tcW w:w="7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rPr>
              <w:t>(Unfavorable)</w:t>
            </w:r>
          </w:p>
        </w:tc>
        <w:tc>
          <w:tcPr>
            <w:tcW w:w="5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80" w:type="dxa"/>
            <w:vAlign w:val="bottom"/>
          </w:tcPr>
          <w:p>
            <w:pPr>
              <w:jc w:val="center"/>
              <w:ind w:left="21"/>
              <w:spacing w:after="0" w:line="121" w:lineRule="exact"/>
              <w:rPr>
                <w:sz w:val="20"/>
                <w:szCs w:val="20"/>
                <w:color w:val="auto"/>
              </w:rPr>
            </w:pPr>
            <w:r>
              <w:rPr>
                <w:rFonts w:ascii="Arial" w:cs="Arial" w:eastAsia="Arial" w:hAnsi="Arial"/>
                <w:sz w:val="13"/>
                <w:szCs w:val="13"/>
                <w:color w:val="auto"/>
              </w:rPr>
              <w:t>(Unfavorable)</w:t>
            </w:r>
          </w:p>
        </w:tc>
        <w:tc>
          <w:tcPr>
            <w:tcW w:w="0" w:type="dxa"/>
            <w:vAlign w:val="bottom"/>
          </w:tcPr>
          <w:p>
            <w:pPr>
              <w:spacing w:after="0"/>
              <w:rPr>
                <w:sz w:val="1"/>
                <w:szCs w:val="1"/>
                <w:color w:val="auto"/>
              </w:rPr>
            </w:pPr>
          </w:p>
        </w:tc>
      </w:tr>
      <w:tr>
        <w:trPr>
          <w:trHeight w:val="221"/>
        </w:trPr>
        <w:tc>
          <w:tcPr>
            <w:tcW w:w="2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 except percentages)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 Change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2020</w:t>
            </w:r>
          </w:p>
        </w:tc>
        <w:tc>
          <w:tcPr>
            <w:tcW w:w="138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90"/>
              </w:rPr>
              <w:t>% Change</w:t>
            </w:r>
          </w:p>
        </w:tc>
        <w:tc>
          <w:tcPr>
            <w:tcW w:w="0" w:type="dxa"/>
            <w:vAlign w:val="bottom"/>
          </w:tcPr>
          <w:p>
            <w:pPr>
              <w:spacing w:after="0"/>
              <w:rPr>
                <w:sz w:val="1"/>
                <w:szCs w:val="1"/>
                <w:color w:val="auto"/>
              </w:rPr>
            </w:pPr>
          </w:p>
        </w:tc>
      </w:tr>
      <w:tr>
        <w:trPr>
          <w:trHeight w:val="197"/>
        </w:trPr>
        <w:tc>
          <w:tcPr>
            <w:tcW w:w="2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volume (lbs)</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24,230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29,195</w:t>
            </w:r>
          </w:p>
        </w:tc>
        <w:tc>
          <w:tcPr>
            <w:tcW w:w="144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92"/>
              </w:rPr>
              <w:t>(17.0)%</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51,638</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54,974</w:t>
            </w:r>
          </w:p>
        </w:tc>
        <w:tc>
          <w:tcPr>
            <w:tcW w:w="138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3"/>
              </w:rPr>
              <w:t>(6.1)%</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sales</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33,374</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34,104</w:t>
            </w:r>
          </w:p>
        </w:tc>
        <w:tc>
          <w:tcPr>
            <w:tcW w:w="14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93"/>
              </w:rPr>
              <w:t>(2.1)%</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65,895</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64,678</w:t>
            </w: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87"/>
              </w:rPr>
              <w:t>1.9%</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Ongoing operations:</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tcPr>
          <w:p>
            <w:pPr>
              <w:ind w:left="520"/>
              <w:spacing w:after="0"/>
              <w:rPr>
                <w:sz w:val="20"/>
                <w:szCs w:val="20"/>
                <w:color w:val="auto"/>
              </w:rPr>
            </w:pPr>
            <w:r>
              <w:rPr>
                <w:rFonts w:ascii="Arial" w:cs="Arial" w:eastAsia="Arial" w:hAnsi="Arial"/>
                <w:sz w:val="16"/>
                <w:szCs w:val="16"/>
                <w:color w:val="auto"/>
              </w:rPr>
              <w:t>EBITDA</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0"/>
              <w:spacing w:after="0"/>
              <w:rPr>
                <w:sz w:val="20"/>
                <w:szCs w:val="20"/>
                <w:color w:val="auto"/>
              </w:rPr>
            </w:pPr>
            <w:r>
              <w:rPr>
                <w:rFonts w:ascii="Arial" w:cs="Arial" w:eastAsia="Arial" w:hAnsi="Arial"/>
                <w:sz w:val="16"/>
                <w:szCs w:val="16"/>
                <w:color w:val="auto"/>
              </w:rPr>
              <w:t>8,277</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6,495</w:t>
            </w:r>
          </w:p>
        </w:tc>
        <w:tc>
          <w:tcPr>
            <w:tcW w:w="1440" w:type="dxa"/>
            <w:vAlign w:val="bottom"/>
          </w:tcPr>
          <w:p>
            <w:pPr>
              <w:jc w:val="center"/>
              <w:ind w:left="261"/>
              <w:spacing w:after="0"/>
              <w:rPr>
                <w:sz w:val="20"/>
                <w:szCs w:val="20"/>
                <w:color w:val="auto"/>
              </w:rPr>
            </w:pPr>
            <w:r>
              <w:rPr>
                <w:rFonts w:ascii="Arial" w:cs="Arial" w:eastAsia="Arial" w:hAnsi="Arial"/>
                <w:sz w:val="16"/>
                <w:szCs w:val="16"/>
                <w:color w:val="auto"/>
                <w:w w:val="92"/>
              </w:rPr>
              <w:t>27.4%</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17,901</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13,048</w:t>
            </w:r>
          </w:p>
        </w:tc>
        <w:tc>
          <w:tcPr>
            <w:tcW w:w="1380" w:type="dxa"/>
            <w:vAlign w:val="bottom"/>
          </w:tcPr>
          <w:p>
            <w:pPr>
              <w:jc w:val="center"/>
              <w:ind w:left="381"/>
              <w:spacing w:after="0"/>
              <w:rPr>
                <w:sz w:val="20"/>
                <w:szCs w:val="20"/>
                <w:color w:val="auto"/>
              </w:rPr>
            </w:pPr>
            <w:r>
              <w:rPr>
                <w:rFonts w:ascii="Arial" w:cs="Arial" w:eastAsia="Arial" w:hAnsi="Arial"/>
                <w:sz w:val="16"/>
                <w:szCs w:val="16"/>
                <w:color w:val="auto"/>
                <w:w w:val="88"/>
              </w:rPr>
              <w:t>37.2%</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Depreciation &amp; amortization</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(506)</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440" w:type="dxa"/>
            <w:vAlign w:val="bottom"/>
            <w:tcBorders>
              <w:bottom w:val="single" w:sz="8" w:color="auto"/>
            </w:tcBorders>
            <w:shd w:val="clear" w:color="auto" w:fill="CCEEFF"/>
          </w:tcPr>
          <w:p>
            <w:pPr>
              <w:jc w:val="center"/>
              <w:ind w:left="281"/>
              <w:spacing w:after="0"/>
              <w:rPr>
                <w:sz w:val="20"/>
                <w:szCs w:val="20"/>
                <w:color w:val="auto"/>
              </w:rPr>
            </w:pPr>
            <w:r>
              <w:rPr>
                <w:rFonts w:ascii="Arial" w:cs="Arial" w:eastAsia="Arial" w:hAnsi="Arial"/>
                <w:sz w:val="16"/>
                <w:szCs w:val="16"/>
                <w:color w:val="auto"/>
                <w:w w:val="92"/>
              </w:rPr>
              <w:t>(16.1)%</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(972)</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38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(12.5)%</w:t>
            </w:r>
          </w:p>
        </w:tc>
        <w:tc>
          <w:tcPr>
            <w:tcW w:w="0" w:type="dxa"/>
            <w:vAlign w:val="bottom"/>
          </w:tcPr>
          <w:p>
            <w:pPr>
              <w:spacing w:after="0"/>
              <w:rPr>
                <w:sz w:val="1"/>
                <w:szCs w:val="1"/>
                <w:color w:val="auto"/>
              </w:rPr>
            </w:pPr>
          </w:p>
        </w:tc>
      </w:tr>
      <w:tr>
        <w:trPr>
          <w:trHeight w:val="201"/>
        </w:trPr>
        <w:tc>
          <w:tcPr>
            <w:tcW w:w="2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EBIT*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7,771</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6,059</w:t>
            </w:r>
          </w:p>
        </w:tc>
        <w:tc>
          <w:tcPr>
            <w:tcW w:w="144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w w:val="92"/>
              </w:rPr>
              <w:t>28.3%</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16,929</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12,184</w:t>
            </w: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88"/>
              </w:rPr>
              <w:t>38.9%</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1,117</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2,388</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3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right="1600" w:firstLine="378"/>
        <w:spacing w:after="0" w:line="408" w:lineRule="auto"/>
        <w:rPr>
          <w:sz w:val="20"/>
          <w:szCs w:val="20"/>
          <w:color w:val="auto"/>
        </w:rPr>
      </w:pPr>
      <w:r>
        <w:rPr>
          <w:rFonts w:ascii="Arial" w:cs="Arial" w:eastAsia="Arial" w:hAnsi="Arial"/>
          <w:sz w:val="16"/>
          <w:szCs w:val="16"/>
          <w:color w:val="auto"/>
        </w:rPr>
        <w:t xml:space="preserve">* See the table in Note 11 for a reconciliation of this non-GAAP measure to the most comparable measure calculated in accordance with GAAP. </w:t>
      </w:r>
      <w:r>
        <w:rPr>
          <w:rFonts w:ascii="Arial" w:cs="Arial" w:eastAsia="Arial" w:hAnsi="Arial"/>
          <w:sz w:val="16"/>
          <w:szCs w:val="16"/>
          <w:i w:val="1"/>
          <w:iCs w:val="1"/>
          <w:u w:val="single" w:color="auto"/>
          <w:color w:val="auto"/>
        </w:rPr>
        <w:t>Second Quarter 2021 Results vs. Second Quarter 2020 Results</w:t>
      </w:r>
    </w:p>
    <w:p>
      <w:pPr>
        <w:spacing w:after="0" w:line="1" w:lineRule="exact"/>
        <w:rPr>
          <w:sz w:val="20"/>
          <w:szCs w:val="20"/>
          <w:color w:val="auto"/>
        </w:rPr>
      </w:pPr>
    </w:p>
    <w:p>
      <w:pPr>
        <w:ind w:right="200" w:firstLine="362"/>
        <w:spacing w:after="0" w:line="261" w:lineRule="auto"/>
        <w:rPr>
          <w:sz w:val="20"/>
          <w:szCs w:val="20"/>
          <w:color w:val="auto"/>
        </w:rPr>
      </w:pPr>
      <w:r>
        <w:rPr>
          <w:rFonts w:ascii="Arial" w:cs="Arial" w:eastAsia="Arial" w:hAnsi="Arial"/>
          <w:sz w:val="16"/>
          <w:szCs w:val="16"/>
          <w:color w:val="auto"/>
        </w:rPr>
        <w:t>Sales volume declined by 17.0% during the second quarter of 2021 versus the second quarter of 2020, primarily due to temporary resin supply issues impacting production and lower demand, which the Company believes was related to customer inventory corrections in Brazil. Net sales in the second quarter of 2021 decreased 2.1% compared to the second quarter of 2020, primarily due to lower sales volume, partially offset by favorable product mix and higher selling prices from the pass-through of higher resin costs.</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from ongoing operations in the second quarter of 2021 increased by $1.8 million versus the second quarter of 2020 primarily due to:</w:t>
      </w:r>
    </w:p>
    <w:p>
      <w:pPr>
        <w:spacing w:after="0" w:line="93" w:lineRule="exact"/>
        <w:rPr>
          <w:sz w:val="20"/>
          <w:szCs w:val="20"/>
          <w:color w:val="auto"/>
        </w:rPr>
      </w:pPr>
    </w:p>
    <w:p>
      <w:pPr>
        <w:ind w:left="580" w:right="480" w:hanging="222"/>
        <w:spacing w:after="0" w:line="314" w:lineRule="auto"/>
        <w:tabs>
          <w:tab w:leader="none" w:pos="576" w:val="left"/>
        </w:tabs>
        <w:numPr>
          <w:ilvl w:val="0"/>
          <w:numId w:val="13"/>
        </w:numPr>
        <w:rPr>
          <w:rFonts w:ascii="Arial" w:cs="Arial" w:eastAsia="Arial" w:hAnsi="Arial"/>
          <w:sz w:val="15"/>
          <w:szCs w:val="15"/>
          <w:color w:val="auto"/>
        </w:rPr>
      </w:pPr>
      <w:r>
        <w:rPr>
          <w:rFonts w:ascii="Arial" w:cs="Arial" w:eastAsia="Arial" w:hAnsi="Arial"/>
          <w:sz w:val="15"/>
          <w:szCs w:val="15"/>
          <w:color w:val="auto"/>
        </w:rPr>
        <w:t>Lower sales volume ($2.8 million), partially offset by favorable product mix ($0.7 million), lower fixed ($0.5 million) and variable ($0.2 million) costs, higher selling prices from the pass-through of higher resin costs ($0.5 million) and lower selling and general administration expenses ($0.6 million);</w:t>
      </w:r>
    </w:p>
    <w:p>
      <w:pPr>
        <w:spacing w:after="0" w:line="19" w:lineRule="exact"/>
        <w:rPr>
          <w:rFonts w:ascii="Arial" w:cs="Arial" w:eastAsia="Arial" w:hAnsi="Arial"/>
          <w:sz w:val="15"/>
          <w:szCs w:val="15"/>
          <w:color w:val="auto"/>
        </w:rPr>
      </w:pPr>
    </w:p>
    <w:p>
      <w:pPr>
        <w:ind w:left="580" w:hanging="222"/>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favorable foreign currency translation of Real-denominated operating costs ($2.2 million); and</w:t>
      </w:r>
    </w:p>
    <w:p>
      <w:pPr>
        <w:spacing w:after="0" w:line="81" w:lineRule="exact"/>
        <w:rPr>
          <w:rFonts w:ascii="Arial" w:cs="Arial" w:eastAsia="Arial" w:hAnsi="Arial"/>
          <w:sz w:val="16"/>
          <w:szCs w:val="16"/>
          <w:color w:val="auto"/>
        </w:rPr>
      </w:pPr>
    </w:p>
    <w:p>
      <w:pPr>
        <w:ind w:left="580" w:hanging="222"/>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Higher foreign currency transaction losses of $0.1 million in the second quarter of 2021 versus the second quarter of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Six Months of 2021 Results vs. First Six Months </w:t>
      </w:r>
      <w:r>
        <w:rPr>
          <w:rFonts w:ascii="Arial" w:cs="Arial" w:eastAsia="Arial" w:hAnsi="Arial"/>
          <w:sz w:val="16"/>
          <w:szCs w:val="16"/>
          <w:i w:val="1"/>
          <w:iCs w:val="1"/>
          <w:u w:val="single" w:color="auto"/>
          <w:color w:val="auto"/>
          <w:highlight w:val="white"/>
        </w:rPr>
        <w:t>2020 Results</w:t>
      </w:r>
    </w:p>
    <w:p>
      <w:pPr>
        <w:spacing w:after="0" w:line="93" w:lineRule="exact"/>
        <w:rPr>
          <w:sz w:val="20"/>
          <w:szCs w:val="20"/>
          <w:color w:val="auto"/>
        </w:rPr>
      </w:pPr>
    </w:p>
    <w:p>
      <w:pPr>
        <w:ind w:right="220" w:firstLine="362"/>
        <w:spacing w:after="0" w:line="265" w:lineRule="auto"/>
        <w:rPr>
          <w:sz w:val="20"/>
          <w:szCs w:val="20"/>
          <w:color w:val="auto"/>
        </w:rPr>
      </w:pPr>
      <w:r>
        <w:rPr>
          <w:rFonts w:ascii="Arial" w:cs="Arial" w:eastAsia="Arial" w:hAnsi="Arial"/>
          <w:sz w:val="16"/>
          <w:szCs w:val="16"/>
          <w:color w:val="auto"/>
        </w:rPr>
        <w:t>Sales volume declined by 6.1% during the first six months of 2021 versus the first six months of 2020, primarily due to the factors adversely impacting the second quarter of 2021 mentioned above. Net sales in the first six months of 2021 increased 1.9% compared to the first six months of 2020, primarily due to favorable product mix and higher selling prices from the pass-through of higher resin costs, partially offset by lower sales volume.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from ongoing operations in the first six months of 2021 increased by $4.8 million versus the first six months of 2020 primarily due to:</w:t>
      </w:r>
    </w:p>
    <w:p>
      <w:pPr>
        <w:spacing w:after="0" w:line="93" w:lineRule="exact"/>
        <w:rPr>
          <w:sz w:val="20"/>
          <w:szCs w:val="20"/>
          <w:color w:val="auto"/>
        </w:rPr>
      </w:pPr>
    </w:p>
    <w:p>
      <w:pPr>
        <w:ind w:left="580" w:right="200" w:hanging="222"/>
        <w:spacing w:after="0" w:line="314" w:lineRule="auto"/>
        <w:tabs>
          <w:tab w:leader="none" w:pos="576" w:val="left"/>
        </w:tabs>
        <w:numPr>
          <w:ilvl w:val="0"/>
          <w:numId w:val="14"/>
        </w:numPr>
        <w:rPr>
          <w:rFonts w:ascii="Arial" w:cs="Arial" w:eastAsia="Arial" w:hAnsi="Arial"/>
          <w:sz w:val="15"/>
          <w:szCs w:val="15"/>
          <w:color w:val="auto"/>
        </w:rPr>
      </w:pPr>
      <w:r>
        <w:rPr>
          <w:rFonts w:ascii="Arial" w:cs="Arial" w:eastAsia="Arial" w:hAnsi="Arial"/>
          <w:sz w:val="15"/>
          <w:szCs w:val="15"/>
          <w:color w:val="auto"/>
        </w:rPr>
        <w:t>Higher selling prices from the pass-through of higher resin costs ($1.6 million), favorable product mix ($1.4 million), lower variable costs ($0.4 million) and lower selling and general administration expenses ($0.5 million), partially offset by lower sales volume ($1.7 million) and higher fixed costs ($0.6 million);</w:t>
      </w:r>
    </w:p>
    <w:p>
      <w:pPr>
        <w:spacing w:after="0" w:line="19" w:lineRule="exact"/>
        <w:rPr>
          <w:rFonts w:ascii="Arial" w:cs="Arial" w:eastAsia="Arial" w:hAnsi="Arial"/>
          <w:sz w:val="15"/>
          <w:szCs w:val="15"/>
          <w:color w:val="auto"/>
        </w:rPr>
      </w:pPr>
    </w:p>
    <w:p>
      <w:pPr>
        <w:ind w:left="580" w:hanging="22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favorable currency translation of Real-denominated operating costs ($3.5 million);</w:t>
      </w:r>
    </w:p>
    <w:p>
      <w:pPr>
        <w:spacing w:after="0" w:line="81" w:lineRule="exact"/>
        <w:rPr>
          <w:rFonts w:ascii="Arial" w:cs="Arial" w:eastAsia="Arial" w:hAnsi="Arial"/>
          <w:sz w:val="16"/>
          <w:szCs w:val="16"/>
          <w:color w:val="auto"/>
        </w:rPr>
      </w:pPr>
    </w:p>
    <w:p>
      <w:pPr>
        <w:ind w:left="580" w:hanging="22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Foreign currency transaction loss of $0.1 million in the first six months of 2021 versus losses of $0.2 million in the first six months of 2020; and</w:t>
      </w:r>
    </w:p>
    <w:p>
      <w:pPr>
        <w:spacing w:after="0" w:line="93" w:lineRule="exact"/>
        <w:rPr>
          <w:rFonts w:ascii="Arial" w:cs="Arial" w:eastAsia="Arial" w:hAnsi="Arial"/>
          <w:sz w:val="16"/>
          <w:szCs w:val="16"/>
          <w:color w:val="auto"/>
        </w:rPr>
      </w:pPr>
    </w:p>
    <w:p>
      <w:pPr>
        <w:ind w:left="580" w:hanging="22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Lower value-added tax credits received in the first six months of 2021 ($0.5 million) compared with the first six months of 2020 ($1.2 million).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u w:val="single" w:color="auto"/>
          <w:color w:val="auto"/>
        </w:rPr>
        <w:t>Projected Capital Expenditures and Depreciation &amp; Amortization</w:t>
      </w:r>
    </w:p>
    <w:p>
      <w:pPr>
        <w:spacing w:after="0" w:line="81" w:lineRule="exact"/>
        <w:rPr>
          <w:sz w:val="20"/>
          <w:szCs w:val="20"/>
          <w:color w:val="auto"/>
        </w:rPr>
      </w:pPr>
    </w:p>
    <w:p>
      <w:pPr>
        <w:ind w:right="160" w:firstLine="362"/>
        <w:spacing w:after="0" w:line="265" w:lineRule="auto"/>
        <w:rPr>
          <w:sz w:val="20"/>
          <w:szCs w:val="20"/>
          <w:color w:val="auto"/>
        </w:rPr>
      </w:pPr>
      <w:r>
        <w:rPr>
          <w:rFonts w:ascii="Arial" w:cs="Arial" w:eastAsia="Arial" w:hAnsi="Arial"/>
          <w:sz w:val="16"/>
          <w:szCs w:val="16"/>
          <w:color w:val="auto"/>
        </w:rPr>
        <w:t>Capital expenditures for Flexible Packaging Films are projected to be $8 million in 2021, including $5 million for new capacity for value-added products and productivity projects and $3 million for capital expenditures required to support continuity of current operations. Depreciation expense is projected to be $2 million in 2021. Amortization expense is projected to be $0.4 million in 2021.</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Corporate Expenses, Interest, Taxes &amp; Other</w:t>
      </w:r>
    </w:p>
    <w:p>
      <w:pPr>
        <w:spacing w:after="0" w:line="106" w:lineRule="exact"/>
        <w:rPr>
          <w:sz w:val="20"/>
          <w:szCs w:val="20"/>
          <w:color w:val="auto"/>
        </w:rPr>
      </w:pPr>
    </w:p>
    <w:p>
      <w:pPr>
        <w:ind w:firstLine="579"/>
        <w:spacing w:after="0" w:line="258" w:lineRule="auto"/>
        <w:rPr>
          <w:sz w:val="20"/>
          <w:szCs w:val="20"/>
          <w:color w:val="auto"/>
        </w:rPr>
      </w:pPr>
      <w:r>
        <w:rPr>
          <w:rFonts w:ascii="Arial" w:cs="Arial" w:eastAsia="Arial" w:hAnsi="Arial"/>
          <w:sz w:val="16"/>
          <w:szCs w:val="16"/>
          <w:color w:val="auto"/>
        </w:rPr>
        <w:t>Corporate expenses, net, increased in the first six months of 2021 versus the first six months of 2020, primarily due to higher employee-related compensation ($1.8 million), stock-based compensation ($1.3 million), costs associated with held for sale assets ($0.4 million) and write-downs related to the investment held in Harbinger Capital Partners Special Situations Fund ($0.3 million), partially offset by lower professional fees related to remediation activities of previously disclosed material weaknesses in the Company’s internal control over financial reporting and business development activities ($1.0 million) and favorable transition service fees, net of corporate costs associated with the divested Personal Care Films business ($0.6 million).</w:t>
      </w:r>
    </w:p>
    <w:p>
      <w:pPr>
        <w:spacing w:after="0" w:line="61" w:lineRule="exact"/>
        <w:rPr>
          <w:sz w:val="20"/>
          <w:szCs w:val="20"/>
          <w:color w:val="auto"/>
        </w:rPr>
      </w:pPr>
    </w:p>
    <w:p>
      <w:pPr>
        <w:ind w:right="400" w:firstLine="362"/>
        <w:spacing w:after="0" w:line="279" w:lineRule="auto"/>
        <w:rPr>
          <w:sz w:val="20"/>
          <w:szCs w:val="20"/>
          <w:color w:val="auto"/>
        </w:rPr>
      </w:pPr>
      <w:r>
        <w:rPr>
          <w:rFonts w:ascii="Arial" w:cs="Arial" w:eastAsia="Arial" w:hAnsi="Arial"/>
          <w:sz w:val="16"/>
          <w:szCs w:val="16"/>
          <w:color w:val="auto"/>
        </w:rPr>
        <w:t>Interest expense was $1.7 million in the first six months of 2021 in comparison to $1.1 million in the first six months of 2020, primarily due to higher average debt levels.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effective tax rate used to compute income taxes for continuing operations in the first six months of 2021 was 22.5%, compared to 27.1% in the first six months of</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2020. The differences between the U.S. federal statutory rate and the effective tax rate for the first six months of 2021 and 2020 are shown in the table provided in Note 12.</w:t>
      </w:r>
    </w:p>
    <w:p>
      <w:pPr>
        <w:spacing w:after="0" w:line="104" w:lineRule="exact"/>
        <w:rPr>
          <w:sz w:val="20"/>
          <w:szCs w:val="20"/>
          <w:color w:val="auto"/>
        </w:rPr>
      </w:pPr>
    </w:p>
    <w:p>
      <w:pPr>
        <w:ind w:right="60" w:firstLine="362"/>
        <w:spacing w:after="0" w:line="276" w:lineRule="auto"/>
        <w:rPr>
          <w:sz w:val="20"/>
          <w:szCs w:val="20"/>
          <w:color w:val="auto"/>
        </w:rPr>
      </w:pPr>
      <w:r>
        <w:rPr>
          <w:rFonts w:ascii="Arial" w:cs="Arial" w:eastAsia="Arial" w:hAnsi="Arial"/>
          <w:sz w:val="15"/>
          <w:szCs w:val="15"/>
          <w:color w:val="auto"/>
        </w:rPr>
        <w:t>Pension expense was $7.0 million in the first six months of 2021, a favorable change of $0.1 million compared to the first six months of 2020. The impact on earnings from pension expense is reflected in “Corporate expenses, net” in the net sales and EBITDA from ongoing operations by segment table. Pension expense is projected to be $14 million in 2021, which is determined at the beginning of the year based on the funded status of the Company’s defined benefit pension plan and actuarial assumptions at that time. Tredegar’s frozen defined benefit pension plan was underfunded on a GAAP basis by $103 million at December 31, 2020, comprised of investments at fair value of $233 million and a projected benefit obligation (“PBO”) of $336 million. GAAP accounting requires adjustment for changes in values of assets and the PBO only at the end of each year, even though these values change daily. The Company estimates that changes to the values of pension plan assets and liabilities resulted in a decrease in the underfunding from $103 million at December 31, 2020 to approximately $75 million at June 30, 2021.</w:t>
      </w:r>
    </w:p>
    <w:p>
      <w:pPr>
        <w:spacing w:after="0" w:line="43" w:lineRule="exact"/>
        <w:rPr>
          <w:sz w:val="20"/>
          <w:szCs w:val="20"/>
          <w:color w:val="auto"/>
        </w:rPr>
      </w:pPr>
    </w:p>
    <w:p>
      <w:pPr>
        <w:ind w:right="40" w:firstLine="362"/>
        <w:spacing w:after="0" w:line="263" w:lineRule="auto"/>
        <w:rPr>
          <w:sz w:val="20"/>
          <w:szCs w:val="20"/>
          <w:color w:val="auto"/>
        </w:rPr>
      </w:pPr>
      <w:r>
        <w:rPr>
          <w:rFonts w:ascii="Arial" w:cs="Arial" w:eastAsia="Arial" w:hAnsi="Arial"/>
          <w:sz w:val="15"/>
          <w:szCs w:val="15"/>
          <w:color w:val="auto"/>
        </w:rPr>
        <w:t>Tredegar owns approximately 19% of kaléo, which makes and sells an epinephrine delivery device under the name AUVI-Q</w:t>
      </w:r>
      <w:r>
        <w:rPr>
          <w:rFonts w:ascii="Arial" w:cs="Arial" w:eastAsia="Arial" w:hAnsi="Arial"/>
          <w:sz w:val="19"/>
          <w:szCs w:val="19"/>
          <w:color w:val="auto"/>
          <w:vertAlign w:val="superscript"/>
        </w:rPr>
        <w:t>®</w:t>
      </w:r>
      <w:r>
        <w:rPr>
          <w:rFonts w:ascii="Arial" w:cs="Arial" w:eastAsia="Arial" w:hAnsi="Arial"/>
          <w:sz w:val="15"/>
          <w:szCs w:val="15"/>
          <w:color w:val="auto"/>
        </w:rPr>
        <w:t>. The Company accounts for its investment in kaléo using a fair value method. The Company’s estimate of the fair value of its interest in kaléo at June 30, 2021 was $35.2 million ($30.1 million after taxes), essentially unchanged from the balance at March 31, 2021 of $35.0 million ($30.0 million after taxes) and December 31, 2020 of $34.6 million ($29.7 million after taxes). kaléo’s stock is not publicly traded. The ultimate value of the Company’s ownership interest in kaléo could be materially different from the estimated fair value and will ultimately be determined and realized only if and when a liquidity event occurs. See Note 7 for more information on this investment.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Net capitalization and other credit measures are provided in </w:t>
      </w:r>
      <w:r>
        <w:rPr>
          <w:rFonts w:ascii="Arial" w:cs="Arial" w:eastAsia="Arial" w:hAnsi="Arial"/>
          <w:sz w:val="16"/>
          <w:szCs w:val="16"/>
          <w:b w:val="1"/>
          <w:bCs w:val="1"/>
          <w:i w:val="1"/>
          <w:iCs w:val="1"/>
          <w:color w:val="auto"/>
        </w:rPr>
        <w:t>Liquidity and Capital Resources</w:t>
      </w:r>
      <w:r>
        <w:rPr>
          <w:rFonts w:ascii="Arial" w:cs="Arial" w:eastAsia="Arial" w:hAnsi="Arial"/>
          <w:sz w:val="16"/>
          <w:szCs w:val="16"/>
          <w:color w:val="auto"/>
        </w:rPr>
        <w:t>.</w:t>
      </w:r>
    </w:p>
    <w:p>
      <w:pPr>
        <w:spacing w:after="0" w:line="89" w:lineRule="exact"/>
        <w:rPr>
          <w:sz w:val="20"/>
          <w:szCs w:val="20"/>
          <w:color w:val="auto"/>
        </w:rPr>
      </w:pPr>
    </w:p>
    <w:p>
      <w:pPr>
        <w:ind w:left="4660"/>
        <w:spacing w:after="0"/>
        <w:rPr>
          <w:sz w:val="20"/>
          <w:szCs w:val="20"/>
          <w:color w:val="auto"/>
        </w:rPr>
      </w:pPr>
      <w:r>
        <w:rPr>
          <w:rFonts w:ascii="Arial" w:cs="Arial" w:eastAsia="Arial" w:hAnsi="Arial"/>
          <w:sz w:val="16"/>
          <w:szCs w:val="16"/>
          <w:b w:val="1"/>
          <w:bCs w:val="1"/>
          <w:u w:val="single" w:color="auto"/>
          <w:color w:val="auto"/>
        </w:rPr>
        <w:t>Critical Accounting Policies</w:t>
      </w:r>
    </w:p>
    <w:p>
      <w:pPr>
        <w:spacing w:after="0" w:line="97" w:lineRule="exact"/>
        <w:rPr>
          <w:sz w:val="20"/>
          <w:szCs w:val="20"/>
          <w:color w:val="auto"/>
        </w:rPr>
      </w:pPr>
    </w:p>
    <w:p>
      <w:pPr>
        <w:ind w:right="80" w:firstLine="362"/>
        <w:spacing w:after="0" w:line="295" w:lineRule="auto"/>
        <w:rPr>
          <w:sz w:val="20"/>
          <w:szCs w:val="20"/>
          <w:color w:val="auto"/>
        </w:rPr>
      </w:pPr>
      <w:r>
        <w:rPr>
          <w:rFonts w:ascii="Arial" w:cs="Arial" w:eastAsia="Arial" w:hAnsi="Arial"/>
          <w:sz w:val="14"/>
          <w:szCs w:val="14"/>
          <w:color w:val="auto"/>
        </w:rPr>
        <w:t>In the ordinary course of business, the Company makes a number of estimates and assumptions relating to the reporting of results of operations and financial position in the preparation of financial statements in conformity with GAAP. The Company believes the estimates, assumptions and judgments described in the section “Management’s Discussion and Analysis of Financial Condition and Results of Operations – Critical Accounting Policies” of the 2020 Form 10-K have the greatest potential impact on our financial statements, so Tredegar considers these to be its critical accounting policies. These policies include accounting for impairment of long-lived assets and goodwill, investment accounted for under the fair value method, pension benefits and income taxes. These policies require management to exercise judgments that are often difficult, subjective and complex due to the necessity of estimating the effect of matters that are inherently uncertain. Actual results could differ significantly from those estimates under different assumptions and conditions. The Company believes the consistent application of these policies enables it to provide readers of the financial statements with useful and reliable information about our operating results and financial condition. Since December 31, 2020, there have been no changes in these policies that have had a material impact on results of operations or financial position. For more information on new accounting pronouncements, see Note 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 w:name="page32"/>
    <w:bookmarkEnd w:id="31"/>
    <w:p>
      <w:pPr>
        <w:jc w:val="center"/>
        <w:ind w:left="340"/>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 of 2021 Compared with the Second Quarter of 2020</w:t>
      </w:r>
    </w:p>
    <w:p>
      <w:pPr>
        <w:spacing w:after="0" w:line="93" w:lineRule="exact"/>
        <w:rPr>
          <w:sz w:val="20"/>
          <w:szCs w:val="20"/>
          <w:color w:val="auto"/>
        </w:rPr>
      </w:pPr>
    </w:p>
    <w:p>
      <w:pPr>
        <w:ind w:right="20" w:firstLine="362"/>
        <w:spacing w:after="0" w:line="258" w:lineRule="auto"/>
        <w:rPr>
          <w:sz w:val="20"/>
          <w:szCs w:val="20"/>
          <w:color w:val="auto"/>
        </w:rPr>
      </w:pPr>
      <w:r>
        <w:rPr>
          <w:rFonts w:ascii="Arial" w:cs="Arial" w:eastAsia="Arial" w:hAnsi="Arial"/>
          <w:sz w:val="16"/>
          <w:szCs w:val="16"/>
          <w:color w:val="auto"/>
        </w:rPr>
        <w:t xml:space="preserve">Sales in the second quarter of 2021 increased by 13.4% compared with the second quarter of 2020. Net sales in Aluminum Extrusions increased 31.3% due to higher volume, the pass-through of higher metal costs and an increase in average selling prices to cover higher operating costs. Net sales decreased 21.8% in PE Films, primarily due to lower volume and unfavorable mix associated with the previously disclosed customer product transitions in Surface Protection. Net sales in Flexible Packaging Films decreased 2.1% primarily due to lower sales volume, partially offset by a favorable product mix and higher selling prices from the pass-through of higher resin costs. For more information on net sales and volume, see the </w:t>
      </w:r>
      <w:r>
        <w:rPr>
          <w:rFonts w:ascii="Arial" w:cs="Arial" w:eastAsia="Arial" w:hAnsi="Arial"/>
          <w:sz w:val="16"/>
          <w:szCs w:val="16"/>
          <w:b w:val="1"/>
          <w:bCs w:val="1"/>
          <w:i w:val="1"/>
          <w:iCs w:val="1"/>
          <w:color w:val="auto"/>
        </w:rPr>
        <w:t>Executive Summary</w:t>
      </w:r>
      <w:r>
        <w:rPr>
          <w:rFonts w:ascii="Arial" w:cs="Arial" w:eastAsia="Arial" w:hAnsi="Arial"/>
          <w:sz w:val="16"/>
          <w:szCs w:val="16"/>
          <w:color w:val="auto"/>
        </w:rPr>
        <w:t>.</w:t>
      </w:r>
    </w:p>
    <w:p>
      <w:pPr>
        <w:spacing w:after="0" w:line="61" w:lineRule="exact"/>
        <w:rPr>
          <w:sz w:val="20"/>
          <w:szCs w:val="20"/>
          <w:color w:val="auto"/>
        </w:rPr>
      </w:pPr>
    </w:p>
    <w:p>
      <w:pPr>
        <w:ind w:firstLine="362"/>
        <w:spacing w:after="0" w:line="255" w:lineRule="auto"/>
        <w:rPr>
          <w:sz w:val="20"/>
          <w:szCs w:val="20"/>
          <w:color w:val="auto"/>
        </w:rPr>
      </w:pPr>
      <w:r>
        <w:rPr>
          <w:rFonts w:ascii="Arial" w:cs="Arial" w:eastAsia="Arial" w:hAnsi="Arial"/>
          <w:sz w:val="16"/>
          <w:szCs w:val="16"/>
          <w:color w:val="auto"/>
        </w:rPr>
        <w:t>Consolidated gross profit (sales minus cost of goods sold and freight) as a percentage of sales (gross profit margin) was 21.5% in the second quarter of 2021 compared to 24.9% in the second quarter of 2020. The gross profit margin in Aluminum Extrusions increased primarily due to higher average selling prices and favorable FIFO variance in the second quarter of 2021 due to aluminum raw materials previously acquired at lower costs. This favorable FIFO variance was due to aluminum raw materials previously acquired at lower costs in a quickly rising pricing environment driving a benefit of $3.1 million in the second quarter of 2021 versus a charge of $2.1 million in the second quarter of 2020. The gross profit margin in PE Films decreased primarily due to lower volume, unfavorable mix associated with the customer product transitions in Surface Protection and higher resin costs, net of existing index based pricing, partially offset by higher sales of products unrelated to the customer product transitions and higher productivity. The gross profit margin in Flexible Packaging Films increased due to a favorable product mix and higher selling prices from the pass-through of higher resin costs.</w:t>
      </w:r>
    </w:p>
    <w:p>
      <w:pPr>
        <w:spacing w:after="0" w:line="53" w:lineRule="exact"/>
        <w:rPr>
          <w:sz w:val="20"/>
          <w:szCs w:val="20"/>
          <w:color w:val="auto"/>
        </w:rPr>
      </w:pPr>
    </w:p>
    <w:p>
      <w:pPr>
        <w:ind w:right="40" w:firstLine="362"/>
        <w:spacing w:after="0" w:line="261" w:lineRule="auto"/>
        <w:rPr>
          <w:sz w:val="20"/>
          <w:szCs w:val="20"/>
          <w:color w:val="auto"/>
        </w:rPr>
      </w:pPr>
      <w:r>
        <w:rPr>
          <w:rFonts w:ascii="Arial" w:cs="Arial" w:eastAsia="Arial" w:hAnsi="Arial"/>
          <w:sz w:val="16"/>
          <w:szCs w:val="16"/>
          <w:color w:val="auto"/>
        </w:rPr>
        <w:t>As a percentage of sales, selling, general and administrative (“SG&amp;A”) and research and development ("R&amp;D") expenses were 10.3% in the second quarter of 2021, compared with 12.6% in the second quarter of last year. SG&amp;A and R&amp;D expenses were down year-over-year, while net sales increased. Decreased spending is primarily due to nonrecurring SG&amp;A expenses related to Bright View Technologies in the second quarter of 2020 and lower R&amp;D spending, partially offset by higher employee-related compensation expense.</w:t>
      </w:r>
    </w:p>
    <w:p>
      <w:pPr>
        <w:spacing w:after="0" w:line="56" w:lineRule="exact"/>
        <w:rPr>
          <w:sz w:val="20"/>
          <w:szCs w:val="20"/>
          <w:color w:val="auto"/>
        </w:rPr>
      </w:pPr>
    </w:p>
    <w:p>
      <w:pPr>
        <w:ind w:right="60" w:firstLine="362"/>
        <w:spacing w:after="0" w:line="265" w:lineRule="auto"/>
        <w:rPr>
          <w:sz w:val="20"/>
          <w:szCs w:val="20"/>
          <w:color w:val="auto"/>
        </w:rPr>
      </w:pPr>
      <w:r>
        <w:rPr>
          <w:rFonts w:ascii="Arial" w:cs="Arial" w:eastAsia="Arial" w:hAnsi="Arial"/>
          <w:sz w:val="16"/>
          <w:szCs w:val="16"/>
          <w:color w:val="auto"/>
        </w:rPr>
        <w:t>Pre-tax gains and losses associated with plant shutdowns, asset impairments, restructurings and other items for continuing operations in the second quarters of 2021 and 2020 detailed below are shown in the statements of net sales and EBITDA from ongoing operations by segment table in Note 11 and are included in “Asset impairments and costs associated with exit and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disposal activities, net of adjustments” in the consolidated statements of income, unless otherwise noted.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color w:val="auto"/>
                <w:w w:val="89"/>
              </w:rPr>
              <w:t>Three Months Ended June 30,</w:t>
            </w:r>
          </w:p>
        </w:tc>
        <w:tc>
          <w:tcPr>
            <w:tcW w:w="0" w:type="dxa"/>
            <w:vAlign w:val="bottom"/>
          </w:tcPr>
          <w:p>
            <w:pPr>
              <w:spacing w:after="0"/>
              <w:rPr>
                <w:sz w:val="1"/>
                <w:szCs w:val="1"/>
                <w:color w:val="auto"/>
              </w:rPr>
            </w:pPr>
          </w:p>
        </w:tc>
      </w:tr>
      <w:tr>
        <w:trPr>
          <w:trHeight w:val="205"/>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 millions)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Aluminum Extrusions: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80" w:type="dxa"/>
            <w:vAlign w:val="bottom"/>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400"/>
              <w:spacing w:after="0" w:line="206" w:lineRule="exact"/>
              <w:rPr>
                <w:sz w:val="20"/>
                <w:szCs w:val="20"/>
                <w:color w:val="auto"/>
              </w:rPr>
            </w:pPr>
            <w:r>
              <w:rPr>
                <w:rFonts w:ascii="Arial" w:cs="Arial" w:eastAsia="Arial" w:hAnsi="Arial"/>
                <w:sz w:val="16"/>
                <w:szCs w:val="16"/>
                <w:color w:val="auto"/>
              </w:rPr>
              <w:t>Consulting expenses for enterprise resource planning feasibility study</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5"/>
        </w:trPr>
        <w:tc>
          <w:tcPr>
            <w:tcW w:w="8980" w:type="dxa"/>
            <w:vAlign w:val="bottom"/>
            <w:tcBorders>
              <w:bottom w:val="single" w:sz="8" w:color="auto"/>
            </w:tcBorders>
          </w:tcPr>
          <w:p>
            <w:pPr>
              <w:ind w:left="400"/>
              <w:spacing w:after="0" w:line="206" w:lineRule="exact"/>
              <w:rPr>
                <w:sz w:val="20"/>
                <w:szCs w:val="20"/>
                <w:color w:val="auto"/>
              </w:rPr>
            </w:pPr>
            <w:r>
              <w:rPr>
                <w:rFonts w:ascii="Arial" w:cs="Arial" w:eastAsia="Arial" w:hAnsi="Arial"/>
                <w:sz w:val="16"/>
                <w:szCs w:val="16"/>
                <w:color w:val="auto"/>
              </w:rPr>
              <w:t>COVID-19-related expenses, net of relief</w:t>
            </w:r>
            <w:r>
              <w:rPr>
                <w:rFonts w:ascii="Arial" w:cs="Arial" w:eastAsia="Arial" w:hAnsi="Arial"/>
                <w:sz w:val="20"/>
                <w:szCs w:val="20"/>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2"/>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Aluminum Extrusions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980" w:type="dxa"/>
            <w:vAlign w:val="bottom"/>
          </w:tcPr>
          <w:p>
            <w:pPr>
              <w:ind w:left="20"/>
              <w:spacing w:after="0" w:line="174" w:lineRule="exact"/>
              <w:rPr>
                <w:sz w:val="20"/>
                <w:szCs w:val="20"/>
                <w:color w:val="auto"/>
              </w:rPr>
            </w:pPr>
            <w:r>
              <w:rPr>
                <w:rFonts w:ascii="Arial" w:cs="Arial" w:eastAsia="Arial" w:hAnsi="Arial"/>
                <w:sz w:val="16"/>
                <w:szCs w:val="16"/>
                <w:color w:val="auto"/>
              </w:rPr>
              <w:t>PE Films: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80" w:type="dxa"/>
            <w:vAlign w:val="bottom"/>
            <w:tcBorders>
              <w:bottom w:val="single" w:sz="8" w:color="auto"/>
            </w:tcBorders>
          </w:tcPr>
          <w:p>
            <w:pPr>
              <w:ind w:left="400"/>
              <w:spacing w:after="0" w:line="206" w:lineRule="exact"/>
              <w:rPr>
                <w:sz w:val="20"/>
                <w:szCs w:val="20"/>
                <w:color w:val="auto"/>
              </w:rPr>
            </w:pPr>
            <w:r>
              <w:rPr>
                <w:rFonts w:ascii="Arial" w:cs="Arial" w:eastAsia="Arial" w:hAnsi="Arial"/>
                <w:sz w:val="16"/>
                <w:szCs w:val="16"/>
                <w:color w:val="auto"/>
              </w:rPr>
              <w:t>COVID-19-related expenses</w:t>
            </w:r>
            <w:r>
              <w:rPr>
                <w:rFonts w:ascii="Arial" w:cs="Arial" w:eastAsia="Arial" w:hAnsi="Arial"/>
                <w:sz w:val="20"/>
                <w:szCs w:val="20"/>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2"/>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PE Films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980" w:type="dxa"/>
            <w:vAlign w:val="bottom"/>
          </w:tcPr>
          <w:p>
            <w:pPr>
              <w:ind w:left="20"/>
              <w:spacing w:after="0" w:line="174" w:lineRule="exact"/>
              <w:rPr>
                <w:sz w:val="20"/>
                <w:szCs w:val="20"/>
                <w:color w:val="auto"/>
              </w:rPr>
            </w:pPr>
            <w:r>
              <w:rPr>
                <w:rFonts w:ascii="Arial" w:cs="Arial" w:eastAsia="Arial" w:hAnsi="Arial"/>
                <w:sz w:val="16"/>
                <w:szCs w:val="16"/>
                <w:color w:val="auto"/>
              </w:rPr>
              <w:t>Flexible Packaging Films: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980" w:type="dxa"/>
            <w:vAlign w:val="bottom"/>
          </w:tcPr>
          <w:p>
            <w:pPr>
              <w:ind w:left="400"/>
              <w:spacing w:after="0" w:line="157" w:lineRule="exact"/>
              <w:rPr>
                <w:sz w:val="20"/>
                <w:szCs w:val="20"/>
                <w:color w:val="auto"/>
              </w:rPr>
            </w:pPr>
            <w:r>
              <w:rPr>
                <w:rFonts w:ascii="Arial" w:cs="Arial" w:eastAsia="Arial" w:hAnsi="Arial"/>
                <w:sz w:val="16"/>
                <w:szCs w:val="16"/>
                <w:color w:val="auto"/>
                <w:w w:val="94"/>
              </w:rPr>
              <w:t>One-time tax credit in Brazil for unemployment/social security insurance non-income taxes resulting from a favorable decision by</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980" w:type="dxa"/>
            <w:vAlign w:val="bottom"/>
            <w:tcBorders>
              <w:bottom w:val="single" w:sz="8" w:color="auto"/>
            </w:tcBorders>
          </w:tcPr>
          <w:p>
            <w:pPr>
              <w:ind w:left="400"/>
              <w:spacing w:after="0" w:line="206" w:lineRule="exact"/>
              <w:rPr>
                <w:sz w:val="20"/>
                <w:szCs w:val="20"/>
                <w:color w:val="auto"/>
              </w:rPr>
            </w:pPr>
            <w:r>
              <w:rPr>
                <w:rFonts w:ascii="Arial" w:cs="Arial" w:eastAsia="Arial" w:hAnsi="Arial"/>
                <w:sz w:val="16"/>
                <w:szCs w:val="16"/>
                <w:color w:val="auto"/>
              </w:rPr>
              <w:t>Brazil’s Supreme Court regarding the calculation of such taxes</w:t>
            </w:r>
            <w:r>
              <w:rPr>
                <w:rFonts w:ascii="Arial" w:cs="Arial" w:eastAsia="Arial" w:hAnsi="Arial"/>
                <w:sz w:val="20"/>
                <w:szCs w:val="20"/>
                <w:color w:val="auto"/>
                <w:vertAlign w:val="superscript"/>
              </w:rPr>
              <w:t>2,3</w:t>
            </w: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Flexible Packaging Films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980" w:type="dxa"/>
            <w:vAlign w:val="bottom"/>
          </w:tcPr>
          <w:p>
            <w:pPr>
              <w:ind w:left="20"/>
              <w:spacing w:after="0" w:line="174" w:lineRule="exact"/>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associated with plant shutdowns, asset impairments and restructurings: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80" w:type="dxa"/>
            <w:vAlign w:val="bottom"/>
          </w:tcPr>
          <w:p>
            <w:pPr>
              <w:ind w:left="300"/>
              <w:spacing w:after="0"/>
              <w:rPr>
                <w:sz w:val="20"/>
                <w:szCs w:val="20"/>
                <w:color w:val="auto"/>
              </w:rPr>
            </w:pPr>
            <w:r>
              <w:rPr>
                <w:rFonts w:ascii="Arial" w:cs="Arial" w:eastAsia="Arial" w:hAnsi="Arial"/>
                <w:sz w:val="16"/>
                <w:szCs w:val="16"/>
                <w:color w:val="auto"/>
              </w:rPr>
              <w:t>Maintenance costs associated with held-for-sale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980" w:type="dxa"/>
            <w:vAlign w:val="bottom"/>
          </w:tcPr>
          <w:p>
            <w:pPr>
              <w:ind w:left="300"/>
              <w:spacing w:after="0" w:line="157" w:lineRule="exact"/>
              <w:rPr>
                <w:sz w:val="20"/>
                <w:szCs w:val="20"/>
                <w:color w:val="auto"/>
              </w:rPr>
            </w:pPr>
            <w:r>
              <w:rPr>
                <w:rFonts w:ascii="Arial" w:cs="Arial" w:eastAsia="Arial" w:hAnsi="Arial"/>
                <w:sz w:val="16"/>
                <w:szCs w:val="16"/>
                <w:color w:val="auto"/>
                <w:w w:val="93"/>
              </w:rPr>
              <w:t>Professional fees associated with: remediation activities and other costs relating to the Company’s material weaknesses in internal</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5"/>
        </w:trPr>
        <w:tc>
          <w:tcPr>
            <w:tcW w:w="8980" w:type="dxa"/>
            <w:vAlign w:val="bottom"/>
          </w:tcPr>
          <w:p>
            <w:pPr>
              <w:ind w:left="300"/>
              <w:spacing w:after="0" w:line="206" w:lineRule="exact"/>
              <w:rPr>
                <w:sz w:val="20"/>
                <w:szCs w:val="20"/>
                <w:color w:val="auto"/>
              </w:rPr>
            </w:pPr>
            <w:r>
              <w:rPr>
                <w:rFonts w:ascii="Arial" w:cs="Arial" w:eastAsia="Arial" w:hAnsi="Arial"/>
                <w:sz w:val="16"/>
                <w:szCs w:val="16"/>
                <w:color w:val="auto"/>
              </w:rPr>
              <w:t>control over financial reporting; and business development activities</w:t>
            </w:r>
            <w:r>
              <w:rPr>
                <w:rFonts w:ascii="Arial" w:cs="Arial" w:eastAsia="Arial" w:hAnsi="Arial"/>
                <w:sz w:val="20"/>
                <w:szCs w:val="20"/>
                <w:color w:val="auto"/>
                <w:vertAlign w:val="superscript"/>
              </w:rPr>
              <w:t>1</w:t>
            </w: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Write-down of investment in Harbinger Capital Partners Special Situations Fund</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980" w:type="dxa"/>
            <w:vAlign w:val="bottom"/>
          </w:tcPr>
          <w:p>
            <w:pPr>
              <w:ind w:left="300"/>
              <w:spacing w:after="0" w:line="206" w:lineRule="exact"/>
              <w:rPr>
                <w:sz w:val="20"/>
                <w:szCs w:val="20"/>
                <w:color w:val="auto"/>
              </w:rPr>
            </w:pPr>
            <w:r>
              <w:rPr>
                <w:rFonts w:ascii="Arial" w:cs="Arial" w:eastAsia="Arial" w:hAnsi="Arial"/>
                <w:sz w:val="16"/>
                <w:szCs w:val="16"/>
                <w:color w:val="auto"/>
                <w:w w:val="90"/>
              </w:rPr>
              <w:t>Stock compensation expense associated with the fair value remeasurement of awards granted at the time of the 2020 special dividend</w:t>
            </w:r>
            <w:r>
              <w:rPr>
                <w:rFonts w:ascii="Arial" w:cs="Arial" w:eastAsia="Arial" w:hAnsi="Arial"/>
                <w:sz w:val="20"/>
                <w:szCs w:val="20"/>
                <w:color w:val="auto"/>
                <w:w w:val="90"/>
                <w:vertAlign w:val="superscript"/>
              </w:rPr>
              <w:t>1</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9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Transition service fees, net of corporate costs associated with the divested Personal Care Films business</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980" w:type="dxa"/>
            <w:vAlign w:val="bottom"/>
            <w:tcBorders>
              <w:bottom w:val="single" w:sz="8" w:color="auto"/>
            </w:tcBorders>
          </w:tcPr>
          <w:p>
            <w:pPr>
              <w:ind w:left="300"/>
              <w:spacing w:after="0" w:line="206" w:lineRule="exact"/>
              <w:rPr>
                <w:sz w:val="20"/>
                <w:szCs w:val="20"/>
                <w:color w:val="auto"/>
              </w:rPr>
            </w:pPr>
            <w:r>
              <w:rPr>
                <w:rFonts w:ascii="Arial" w:cs="Arial" w:eastAsia="Arial" w:hAnsi="Arial"/>
                <w:sz w:val="16"/>
                <w:szCs w:val="16"/>
                <w:color w:val="auto"/>
              </w:rPr>
              <w:t>Accelerated recognition of stock-based compensation expense</w:t>
            </w:r>
            <w:r>
              <w:rPr>
                <w:rFonts w:ascii="Arial" w:cs="Arial" w:eastAsia="Arial" w:hAnsi="Arial"/>
                <w:sz w:val="20"/>
                <w:szCs w:val="20"/>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2"/>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Corporate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47"/>
        <w:spacing w:after="0"/>
        <w:tabs>
          <w:tab w:leader="none" w:pos="1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 in the consolidated statements of income.</w:t>
      </w:r>
    </w:p>
    <w:p>
      <w:pPr>
        <w:ind w:left="160" w:hanging="147"/>
        <w:spacing w:after="0" w:line="215" w:lineRule="auto"/>
        <w:tabs>
          <w:tab w:leader="none" w:pos="1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“Other income (expense), net” in the consolidated statements of income.</w:t>
      </w:r>
    </w:p>
    <w:p>
      <w:pPr>
        <w:ind w:left="160" w:hanging="147"/>
        <w:spacing w:after="0" w:line="215" w:lineRule="auto"/>
        <w:tabs>
          <w:tab w:leader="none" w:pos="1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13 to the Consolidated Financial Statements.</w:t>
      </w:r>
    </w:p>
    <w:p>
      <w:pPr>
        <w:ind w:left="160" w:hanging="147"/>
        <w:spacing w:after="0"/>
        <w:tabs>
          <w:tab w:leader="none" w:pos="1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2 to the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3" w:name="page34"/>
    <w:bookmarkEnd w:id="33"/>
    <w:p>
      <w:pPr>
        <w:ind w:left="360"/>
        <w:spacing w:after="0"/>
        <w:rPr>
          <w:sz w:val="20"/>
          <w:szCs w:val="20"/>
          <w:color w:val="auto"/>
        </w:rPr>
      </w:pPr>
      <w:r>
        <w:rPr>
          <w:rFonts w:ascii="Arial" w:cs="Arial" w:eastAsia="Arial" w:hAnsi="Arial"/>
          <w:sz w:val="16"/>
          <w:szCs w:val="16"/>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49"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Three Months Ended June 30,</w:t>
      </w:r>
    </w:p>
    <w:p>
      <w:pPr>
        <w:spacing w:after="0" w:line="21" w:lineRule="exact"/>
        <w:rPr>
          <w:sz w:val="20"/>
          <w:szCs w:val="20"/>
          <w:color w:val="auto"/>
        </w:rPr>
      </w:pPr>
    </w:p>
    <w:p>
      <w:pPr>
        <w:ind w:left="380"/>
        <w:spacing w:after="0"/>
        <w:tabs>
          <w:tab w:leader="none" w:pos="7940" w:val="left"/>
          <w:tab w:leader="none" w:pos="10180" w:val="left"/>
        </w:tabs>
        <w:rPr>
          <w:sz w:val="20"/>
          <w:szCs w:val="20"/>
          <w:color w:val="auto"/>
        </w:rPr>
      </w:pPr>
      <w:r>
        <w:rPr>
          <w:rFonts w:ascii="Arial" w:cs="Arial" w:eastAsia="Arial" w:hAnsi="Arial"/>
          <w:sz w:val="16"/>
          <w:szCs w:val="16"/>
          <w:color w:val="auto"/>
        </w:rPr>
        <w:t>(In millions)</w:t>
      </w:r>
      <w:r>
        <w:rPr>
          <w:sz w:val="20"/>
          <w:szCs w:val="20"/>
          <w:color w:val="auto"/>
        </w:rPr>
        <w:tab/>
      </w:r>
      <w:r>
        <w:rPr>
          <w:rFonts w:ascii="Arial" w:cs="Arial" w:eastAsia="Arial" w:hAnsi="Arial"/>
          <w:sz w:val="16"/>
          <w:szCs w:val="16"/>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6925" cy="237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925" cy="237490"/>
                    </a:xfrm>
                    <a:prstGeom prst="rect">
                      <a:avLst/>
                    </a:prstGeom>
                    <a:noFill/>
                  </pic:spPr>
                </pic:pic>
              </a:graphicData>
            </a:graphic>
          </wp:anchor>
        </w:drawing>
      </w:r>
    </w:p>
    <w:p>
      <w:pPr>
        <w:spacing w:after="0" w:line="13" w:lineRule="exact"/>
        <w:rPr>
          <w:sz w:val="20"/>
          <w:szCs w:val="20"/>
          <w:color w:val="auto"/>
        </w:rPr>
      </w:pPr>
    </w:p>
    <w:p>
      <w:pPr>
        <w:ind w:left="20" w:right="4880" w:firstLine="362"/>
        <w:spacing w:after="0" w:line="236" w:lineRule="auto"/>
        <w:rPr>
          <w:sz w:val="20"/>
          <w:szCs w:val="20"/>
          <w:color w:val="auto"/>
        </w:rPr>
      </w:pPr>
      <w:r>
        <w:rPr>
          <w:rFonts w:ascii="Arial" w:cs="Arial" w:eastAsia="Arial" w:hAnsi="Arial"/>
          <w:sz w:val="16"/>
          <w:szCs w:val="16"/>
          <w:color w:val="auto"/>
        </w:rPr>
        <w:t>Floating-rate debt with interest charged on a rollover basis at one-month LIBOR plus a credit spread:</w:t>
      </w:r>
    </w:p>
    <w:tbl>
      <w:tblPr>
        <w:tblLayout w:type="fixed"/>
        <w:tblInd w:w="0" w:type="dxa"/>
        <w:tblCellMar>
          <w:top w:w="0" w:type="dxa"/>
          <w:left w:w="0" w:type="dxa"/>
          <w:bottom w:w="0" w:type="dxa"/>
          <w:right w:w="0" w:type="dxa"/>
        </w:tblCellMar>
      </w:tblPr>
      <w:tr>
        <w:trPr>
          <w:trHeight w:val="205"/>
        </w:trPr>
        <w:tc>
          <w:tcPr>
            <w:tcW w:w="5040" w:type="dxa"/>
            <w:vAlign w:val="bottom"/>
          </w:tcPr>
          <w:p>
            <w:pPr>
              <w:ind w:left="660"/>
              <w:spacing w:after="0"/>
              <w:rPr>
                <w:sz w:val="20"/>
                <w:szCs w:val="20"/>
                <w:color w:val="auto"/>
              </w:rPr>
            </w:pPr>
            <w:r>
              <w:rPr>
                <w:rFonts w:ascii="Arial" w:cs="Arial" w:eastAsia="Arial" w:hAnsi="Arial"/>
                <w:sz w:val="16"/>
                <w:szCs w:val="16"/>
                <w:color w:val="auto"/>
              </w:rPr>
              <w:t>Average outstanding debt balance</w:t>
            </w:r>
          </w:p>
        </w:tc>
        <w:tc>
          <w:tcPr>
            <w:tcW w:w="268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133.8</w:t>
            </w:r>
          </w:p>
        </w:tc>
        <w:tc>
          <w:tcPr>
            <w:tcW w:w="580" w:type="dxa"/>
            <w:vAlign w:val="bottom"/>
          </w:tcPr>
          <w:p>
            <w:pPr>
              <w:spacing w:after="0"/>
              <w:rPr>
                <w:sz w:val="17"/>
                <w:szCs w:val="17"/>
                <w:color w:val="auto"/>
              </w:rPr>
            </w:pPr>
          </w:p>
        </w:tc>
        <w:tc>
          <w:tcPr>
            <w:tcW w:w="7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43.6</w:t>
            </w:r>
          </w:p>
        </w:tc>
        <w:tc>
          <w:tcPr>
            <w:tcW w:w="360" w:type="dxa"/>
            <w:vAlign w:val="bottom"/>
          </w:tcPr>
          <w:p>
            <w:pPr>
              <w:spacing w:after="0"/>
              <w:rPr>
                <w:sz w:val="17"/>
                <w:szCs w:val="17"/>
                <w:color w:val="auto"/>
              </w:rPr>
            </w:pPr>
          </w:p>
        </w:tc>
      </w:tr>
      <w:tr>
        <w:trPr>
          <w:trHeight w:val="205"/>
        </w:trPr>
        <w:tc>
          <w:tcPr>
            <w:tcW w:w="5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Average interest rate</w:t>
            </w:r>
          </w:p>
        </w:tc>
        <w:tc>
          <w:tcPr>
            <w:tcW w:w="26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Six Months of 2021 Results vs. First Six Months </w:t>
      </w:r>
      <w:r>
        <w:rPr>
          <w:rFonts w:ascii="Arial" w:cs="Arial" w:eastAsia="Arial" w:hAnsi="Arial"/>
          <w:sz w:val="16"/>
          <w:szCs w:val="16"/>
          <w:i w:val="1"/>
          <w:iCs w:val="1"/>
          <w:u w:val="single" w:color="auto"/>
          <w:color w:val="auto"/>
          <w:highlight w:val="white"/>
        </w:rPr>
        <w:t>2020 Results</w:t>
      </w:r>
    </w:p>
    <w:p>
      <w:pPr>
        <w:spacing w:after="0" w:line="93" w:lineRule="exact"/>
        <w:rPr>
          <w:sz w:val="20"/>
          <w:szCs w:val="20"/>
          <w:color w:val="auto"/>
        </w:rPr>
      </w:pPr>
    </w:p>
    <w:p>
      <w:pPr>
        <w:ind w:right="100" w:firstLine="362"/>
        <w:spacing w:after="0" w:line="279" w:lineRule="auto"/>
        <w:rPr>
          <w:sz w:val="20"/>
          <w:szCs w:val="20"/>
          <w:color w:val="auto"/>
        </w:rPr>
      </w:pPr>
      <w:r>
        <w:rPr>
          <w:rFonts w:ascii="Arial" w:cs="Arial" w:eastAsia="Arial" w:hAnsi="Arial"/>
          <w:sz w:val="15"/>
          <w:szCs w:val="15"/>
          <w:color w:val="auto"/>
        </w:rPr>
        <w:t xml:space="preserve">Sales in the first six months of 2021 increased by 4.6% compared with the first six months of 2020. Net sales increased 14.9% in Aluminum Extrusions due to higher sales volume in the specialty and automotive markets and the pass-through of higher metal costs and an increase in average selling prices to cover higher operating costs. Net sales decreased 22.9% in PE Films primarily due to lower volume and unfavorable mix associated with the previously disclosed customer product transitions in Surface Protection. Net sales in Flexible Packaging Films increased 1.9% primarily due to a favorable product mix and higher selling prices from the pass-through of higher resin costs, partially offset by lower sales volume. For more information on net sales and volume, see the </w:t>
      </w:r>
      <w:r>
        <w:rPr>
          <w:rFonts w:ascii="Arial" w:cs="Arial" w:eastAsia="Arial" w:hAnsi="Arial"/>
          <w:sz w:val="15"/>
          <w:szCs w:val="15"/>
          <w:b w:val="1"/>
          <w:bCs w:val="1"/>
          <w:i w:val="1"/>
          <w:iCs w:val="1"/>
          <w:color w:val="auto"/>
        </w:rPr>
        <w:t>Executive Summary</w:t>
      </w:r>
      <w:r>
        <w:rPr>
          <w:rFonts w:ascii="Arial" w:cs="Arial" w:eastAsia="Arial" w:hAnsi="Arial"/>
          <w:sz w:val="15"/>
          <w:szCs w:val="15"/>
          <w:color w:val="auto"/>
        </w:rPr>
        <w:t>.</w:t>
      </w:r>
    </w:p>
    <w:p>
      <w:pPr>
        <w:spacing w:after="0" w:line="35" w:lineRule="exact"/>
        <w:rPr>
          <w:sz w:val="20"/>
          <w:szCs w:val="20"/>
          <w:color w:val="auto"/>
        </w:rPr>
      </w:pPr>
    </w:p>
    <w:p>
      <w:pPr>
        <w:ind w:right="120" w:firstLine="362"/>
        <w:spacing w:after="0" w:line="277" w:lineRule="auto"/>
        <w:rPr>
          <w:sz w:val="20"/>
          <w:szCs w:val="20"/>
          <w:color w:val="auto"/>
        </w:rPr>
      </w:pPr>
      <w:r>
        <w:rPr>
          <w:rFonts w:ascii="Arial" w:cs="Arial" w:eastAsia="Arial" w:hAnsi="Arial"/>
          <w:sz w:val="15"/>
          <w:szCs w:val="15"/>
          <w:color w:val="auto"/>
        </w:rPr>
        <w:t>Consolidated gross profit (sales minus cost of goods sold and freight) as a percentage of sales (gross profit margin) was 20.9% in the first six months of 2021 compared to 22.8% in the first six months of 2020. The gross profit margin in Aluminum Extrusions increased primarily due to higher average selling prices and favorable FIFO variance in the first six months of 2021 due to aluminum raw materials previously acquired at lower costs. The gross profit margin in PE Films decreased primarily due to lower volume, unfavorable mix associated with the customer product transitions in Surface Protection and higher resin costs, net of existing index based pricing, partially offset by higher sales of products unrelated to the customer product transitions and higher productivity. The gross profit margin in Flexible Packaging Films increased due to favorable product mix and higher selling prices from the pass-through of higher resin costs, partially offset by lower sales volume.</w:t>
      </w:r>
    </w:p>
    <w:p>
      <w:pPr>
        <w:spacing w:after="0" w:line="48" w:lineRule="exact"/>
        <w:rPr>
          <w:sz w:val="20"/>
          <w:szCs w:val="20"/>
          <w:color w:val="auto"/>
        </w:rPr>
      </w:pPr>
    </w:p>
    <w:p>
      <w:pPr>
        <w:ind w:right="40" w:firstLine="362"/>
        <w:spacing w:after="0" w:line="258" w:lineRule="auto"/>
        <w:rPr>
          <w:sz w:val="20"/>
          <w:szCs w:val="20"/>
          <w:color w:val="auto"/>
        </w:rPr>
      </w:pPr>
      <w:r>
        <w:rPr>
          <w:rFonts w:ascii="Arial" w:cs="Arial" w:eastAsia="Arial" w:hAnsi="Arial"/>
          <w:sz w:val="16"/>
          <w:szCs w:val="16"/>
          <w:color w:val="auto"/>
        </w:rPr>
        <w:t>As a percentage of sales, SG&amp;A and R&amp;D expenses were 10.6% in the first six months of 2021, compared with 12.1% in the first six months of last year. SG&amp;A and R&amp;D expenses were down year-over-year, while net sales increased. Decreased spending is primarily due to nonrecurring SG&amp;A expenses related to Bright View Technologies in the first six months of 2020, lower R&amp;D spending, lower professional fees related to remediation activities of previously disclosed material weaknesses in the Company’s internal control over financial reporting and business development activities, partially offset by higher employee-related compensation and higher stock compensation.</w:t>
      </w:r>
    </w:p>
    <w:p>
      <w:pPr>
        <w:spacing w:after="0" w:line="61" w:lineRule="exact"/>
        <w:rPr>
          <w:sz w:val="20"/>
          <w:szCs w:val="20"/>
          <w:color w:val="auto"/>
        </w:rPr>
      </w:pPr>
    </w:p>
    <w:p>
      <w:pPr>
        <w:ind w:right="100" w:firstLine="362"/>
        <w:spacing w:after="0" w:line="291" w:lineRule="auto"/>
        <w:rPr>
          <w:sz w:val="20"/>
          <w:szCs w:val="20"/>
          <w:color w:val="auto"/>
        </w:rPr>
      </w:pPr>
      <w:r>
        <w:rPr>
          <w:rFonts w:ascii="Arial" w:cs="Arial" w:eastAsia="Arial" w:hAnsi="Arial"/>
          <w:sz w:val="15"/>
          <w:szCs w:val="15"/>
          <w:color w:val="auto"/>
        </w:rPr>
        <w:t>Pre-tax gains and losses associated with plant shutdowns, asset impairments, restructurings and other items for continuing operations in the first six months of 2021 and 2020 detailed below are shown in the statements of net sales and EBITDA from ongoing operations by segment table in Note 11 and are included in “Asset impairments and costs associated with exit and disposal activities, net of adjustments” in the consolidated statements of income, unless otherwise noted.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9"/>
        </w:trPr>
        <w:tc>
          <w:tcPr>
            <w:tcW w:w="86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6"/>
                <w:szCs w:val="16"/>
                <w:color w:val="auto"/>
                <w:w w:val="98"/>
              </w:rPr>
              <w:t>Six Months Ended June 30,</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 millions)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Aluminum Extrusions: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400"/>
              <w:spacing w:after="0" w:line="206" w:lineRule="exact"/>
              <w:rPr>
                <w:sz w:val="20"/>
                <w:szCs w:val="20"/>
                <w:color w:val="auto"/>
              </w:rPr>
            </w:pPr>
            <w:r>
              <w:rPr>
                <w:rFonts w:ascii="Arial" w:cs="Arial" w:eastAsia="Arial" w:hAnsi="Arial"/>
                <w:sz w:val="16"/>
                <w:szCs w:val="16"/>
                <w:color w:val="auto"/>
              </w:rPr>
              <w:t>Consulting expenses for enterprise resource planning feasibility study</w:t>
            </w:r>
            <w:r>
              <w:rPr>
                <w:rFonts w:ascii="Arial" w:cs="Arial" w:eastAsia="Arial" w:hAnsi="Arial"/>
                <w:sz w:val="20"/>
                <w:szCs w:val="20"/>
                <w:color w:val="auto"/>
                <w:vertAlign w:val="superscript"/>
              </w:rPr>
              <w:t>1</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tcPr>
          <w:p>
            <w:pPr>
              <w:ind w:left="400"/>
              <w:spacing w:after="0" w:line="206" w:lineRule="exact"/>
              <w:rPr>
                <w:sz w:val="20"/>
                <w:szCs w:val="20"/>
                <w:color w:val="auto"/>
              </w:rPr>
            </w:pPr>
            <w:r>
              <w:rPr>
                <w:rFonts w:ascii="Arial" w:cs="Arial" w:eastAsia="Arial" w:hAnsi="Arial"/>
                <w:sz w:val="16"/>
                <w:szCs w:val="16"/>
                <w:color w:val="auto"/>
              </w:rPr>
              <w:t>COVID-19-related expenses, net of relief</w:t>
            </w:r>
            <w:r>
              <w:rPr>
                <w:rFonts w:ascii="Arial" w:cs="Arial" w:eastAsia="Arial" w:hAnsi="Arial"/>
                <w:sz w:val="20"/>
                <w:szCs w:val="20"/>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2"/>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Aluminum Extrusions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80" w:type="dxa"/>
            <w:vAlign w:val="bottom"/>
          </w:tcPr>
          <w:p>
            <w:pPr>
              <w:ind w:left="20"/>
              <w:spacing w:after="0" w:line="174" w:lineRule="exact"/>
              <w:rPr>
                <w:sz w:val="20"/>
                <w:szCs w:val="20"/>
                <w:color w:val="auto"/>
              </w:rPr>
            </w:pPr>
            <w:r>
              <w:rPr>
                <w:rFonts w:ascii="Arial" w:cs="Arial" w:eastAsia="Arial" w:hAnsi="Arial"/>
                <w:sz w:val="16"/>
                <w:szCs w:val="16"/>
                <w:color w:val="auto"/>
              </w:rPr>
              <w:t>PE Films: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tcPr>
          <w:p>
            <w:pPr>
              <w:ind w:left="400"/>
              <w:spacing w:after="0" w:line="206" w:lineRule="exact"/>
              <w:rPr>
                <w:sz w:val="20"/>
                <w:szCs w:val="20"/>
                <w:color w:val="auto"/>
              </w:rPr>
            </w:pPr>
            <w:r>
              <w:rPr>
                <w:rFonts w:ascii="Arial" w:cs="Arial" w:eastAsia="Arial" w:hAnsi="Arial"/>
                <w:sz w:val="16"/>
                <w:szCs w:val="16"/>
                <w:color w:val="auto"/>
              </w:rPr>
              <w:t>COVID-19-related expenses</w:t>
            </w:r>
            <w:r>
              <w:rPr>
                <w:rFonts w:ascii="Arial" w:cs="Arial" w:eastAsia="Arial" w:hAnsi="Arial"/>
                <w:sz w:val="20"/>
                <w:szCs w:val="20"/>
                <w:color w:val="auto"/>
                <w:vertAlign w:val="superscript"/>
              </w:rPr>
              <w:t>2</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2"/>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PE Films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80" w:type="dxa"/>
            <w:vAlign w:val="bottom"/>
          </w:tcPr>
          <w:p>
            <w:pPr>
              <w:ind w:left="20"/>
              <w:spacing w:after="0" w:line="174" w:lineRule="exact"/>
              <w:rPr>
                <w:sz w:val="20"/>
                <w:szCs w:val="20"/>
                <w:color w:val="auto"/>
              </w:rPr>
            </w:pPr>
            <w:r>
              <w:rPr>
                <w:rFonts w:ascii="Arial" w:cs="Arial" w:eastAsia="Arial" w:hAnsi="Arial"/>
                <w:sz w:val="16"/>
                <w:szCs w:val="16"/>
                <w:color w:val="auto"/>
              </w:rPr>
              <w:t>Flexible Packaging Films: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tcPr>
          <w:p>
            <w:pPr>
              <w:ind w:left="400"/>
              <w:spacing w:after="0" w:line="157" w:lineRule="exact"/>
              <w:rPr>
                <w:sz w:val="20"/>
                <w:szCs w:val="20"/>
                <w:color w:val="auto"/>
              </w:rPr>
            </w:pPr>
            <w:r>
              <w:rPr>
                <w:rFonts w:ascii="Arial" w:cs="Arial" w:eastAsia="Arial" w:hAnsi="Arial"/>
                <w:sz w:val="16"/>
                <w:szCs w:val="16"/>
                <w:color w:val="auto"/>
                <w:w w:val="97"/>
              </w:rPr>
              <w:t>One-time tax credit in Brazil for PIS/COFINS social contribution non-income taxes resulting from a favorable decision by</w:t>
            </w: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300" w:type="dxa"/>
            <w:vAlign w:val="bottom"/>
            <w:vMerge w:val="restart"/>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tcPr>
          <w:p>
            <w:pPr>
              <w:ind w:left="400"/>
              <w:spacing w:after="0" w:line="206" w:lineRule="exact"/>
              <w:rPr>
                <w:sz w:val="20"/>
                <w:szCs w:val="20"/>
                <w:color w:val="auto"/>
              </w:rPr>
            </w:pPr>
            <w:r>
              <w:rPr>
                <w:rFonts w:ascii="Arial" w:cs="Arial" w:eastAsia="Arial" w:hAnsi="Arial"/>
                <w:sz w:val="16"/>
                <w:szCs w:val="16"/>
                <w:color w:val="auto"/>
              </w:rPr>
              <w:t>Brazil’s Supreme Court regarding the calculation of such taxes</w:t>
            </w:r>
            <w:r>
              <w:rPr>
                <w:rFonts w:ascii="Arial" w:cs="Arial" w:eastAsia="Arial" w:hAnsi="Arial"/>
                <w:sz w:val="20"/>
                <w:szCs w:val="20"/>
                <w:color w:val="auto"/>
                <w:vertAlign w:val="superscript"/>
              </w:rPr>
              <w:t>2,3</w:t>
            </w:r>
          </w:p>
        </w:tc>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shd w:val="clear" w:color="auto" w:fill="CCEEFF"/>
          </w:tcPr>
          <w:p>
            <w:pPr>
              <w:ind w:left="400"/>
              <w:spacing w:after="0" w:line="206" w:lineRule="exact"/>
              <w:rPr>
                <w:sz w:val="20"/>
                <w:szCs w:val="20"/>
                <w:color w:val="auto"/>
              </w:rPr>
            </w:pPr>
            <w:r>
              <w:rPr>
                <w:rFonts w:ascii="Arial" w:cs="Arial" w:eastAsia="Arial" w:hAnsi="Arial"/>
                <w:sz w:val="16"/>
                <w:szCs w:val="16"/>
                <w:color w:val="auto"/>
              </w:rPr>
              <w:t>COVID-19-related expenses</w:t>
            </w:r>
            <w:r>
              <w:rPr>
                <w:rFonts w:ascii="Arial" w:cs="Arial" w:eastAsia="Arial" w:hAnsi="Arial"/>
                <w:sz w:val="20"/>
                <w:szCs w:val="20"/>
                <w:color w:val="auto"/>
                <w:vertAlign w:val="superscript"/>
              </w:rPr>
              <w:t>2</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for Flexible Packaging Films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associated with plant shutdowns, asset impairments and restructurings: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Maintenance costs associated with held-for-sale assets</w:t>
            </w:r>
            <w:r>
              <w:rPr>
                <w:rFonts w:ascii="Arial" w:cs="Arial" w:eastAsia="Arial" w:hAnsi="Arial"/>
                <w:sz w:val="20"/>
                <w:szCs w:val="20"/>
                <w:color w:val="auto"/>
                <w:vertAlign w:val="superscript"/>
              </w:rPr>
              <w:t>4</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0"/>
              </w:rPr>
              <w:t>Professional fees associated with: remediation activities and other costs relating to the Company’s material weaknesses in internal</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control over financial reporting; and business development activities</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300"/>
              <w:spacing w:after="0" w:line="206" w:lineRule="exact"/>
              <w:rPr>
                <w:sz w:val="20"/>
                <w:szCs w:val="20"/>
                <w:color w:val="auto"/>
              </w:rPr>
            </w:pPr>
            <w:r>
              <w:rPr>
                <w:rFonts w:ascii="Arial" w:cs="Arial" w:eastAsia="Arial" w:hAnsi="Arial"/>
                <w:sz w:val="16"/>
                <w:szCs w:val="16"/>
                <w:color w:val="auto"/>
              </w:rPr>
              <w:t>Write-down of investment in Harbinger Capital Partners Special Situations Fund</w:t>
            </w:r>
            <w:r>
              <w:rPr>
                <w:rFonts w:ascii="Arial" w:cs="Arial" w:eastAsia="Arial" w:hAnsi="Arial"/>
                <w:sz w:val="20"/>
                <w:szCs w:val="20"/>
                <w:color w:val="auto"/>
                <w:vertAlign w:val="superscript"/>
              </w:rPr>
              <w:t>2</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4"/>
              </w:rPr>
              <w:t>Stock compensation expense associated with the fair value remeasurement of awards granted at the time of the 2020 special</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dividend</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300"/>
              <w:spacing w:after="0" w:line="206" w:lineRule="exact"/>
              <w:rPr>
                <w:sz w:val="20"/>
                <w:szCs w:val="20"/>
                <w:color w:val="auto"/>
              </w:rPr>
            </w:pPr>
            <w:r>
              <w:rPr>
                <w:rFonts w:ascii="Arial" w:cs="Arial" w:eastAsia="Arial" w:hAnsi="Arial"/>
                <w:sz w:val="16"/>
                <w:szCs w:val="16"/>
                <w:color w:val="auto"/>
              </w:rPr>
              <w:t>Transition service fees, net of corporate costs associated with the divested Personal Care Films business</w:t>
            </w:r>
            <w:r>
              <w:rPr>
                <w:rFonts w:ascii="Arial" w:cs="Arial" w:eastAsia="Arial" w:hAnsi="Arial"/>
                <w:sz w:val="20"/>
                <w:szCs w:val="20"/>
                <w:color w:val="auto"/>
                <w:vertAlign w:val="superscript"/>
              </w:rPr>
              <w:t>2</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shd w:val="clear" w:color="auto" w:fill="CCEEFF"/>
          </w:tcPr>
          <w:p>
            <w:pPr>
              <w:ind w:left="300"/>
              <w:spacing w:after="0" w:line="206" w:lineRule="exact"/>
              <w:rPr>
                <w:sz w:val="20"/>
                <w:szCs w:val="20"/>
                <w:color w:val="auto"/>
              </w:rPr>
            </w:pPr>
            <w:r>
              <w:rPr>
                <w:rFonts w:ascii="Arial" w:cs="Arial" w:eastAsia="Arial" w:hAnsi="Arial"/>
                <w:sz w:val="16"/>
                <w:szCs w:val="16"/>
                <w:color w:val="auto"/>
              </w:rPr>
              <w:t>Accelerated recognition of stock-based compensation expense</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for Corporate</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47"/>
        <w:spacing w:after="0"/>
        <w:tabs>
          <w:tab w:leader="none" w:pos="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 in the consolidated statements of income.</w:t>
      </w:r>
    </w:p>
    <w:p>
      <w:pPr>
        <w:ind w:left="160" w:hanging="147"/>
        <w:spacing w:after="0" w:line="215" w:lineRule="auto"/>
        <w:tabs>
          <w:tab w:leader="none" w:pos="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“Other income (expense), net” in the consolidated statements of income.</w:t>
      </w:r>
    </w:p>
    <w:p>
      <w:pPr>
        <w:ind w:left="160" w:hanging="147"/>
        <w:spacing w:after="0" w:line="215" w:lineRule="auto"/>
        <w:tabs>
          <w:tab w:leader="none" w:pos="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13 to the Consolidated Financial Statements.</w:t>
      </w:r>
    </w:p>
    <w:p>
      <w:pPr>
        <w:ind w:left="160" w:hanging="147"/>
        <w:spacing w:after="0"/>
        <w:tabs>
          <w:tab w:leader="none" w:pos="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2 to the Consolidated Financial Statements.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Average debt outstanding and interest rates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Six Months Ended June 30,</w:t>
            </w: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r>
      <w:tr>
        <w:trPr>
          <w:trHeight w:val="205"/>
        </w:trPr>
        <w:tc>
          <w:tcPr>
            <w:tcW w:w="68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millions)</w:t>
            </w:r>
          </w:p>
        </w:tc>
        <w:tc>
          <w:tcPr>
            <w:tcW w:w="8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95"/>
              </w:rPr>
              <w:t>2020</w:t>
            </w:r>
          </w:p>
        </w:tc>
        <w:tc>
          <w:tcPr>
            <w:tcW w:w="360" w:type="dxa"/>
            <w:vAlign w:val="bottom"/>
            <w:tcBorders>
              <w:bottom w:val="single" w:sz="8" w:color="auto"/>
            </w:tcBorders>
          </w:tcPr>
          <w:p>
            <w:pPr>
              <w:spacing w:after="0"/>
              <w:rPr>
                <w:sz w:val="17"/>
                <w:szCs w:val="17"/>
                <w:color w:val="auto"/>
              </w:rPr>
            </w:pPr>
          </w:p>
        </w:tc>
      </w:tr>
      <w:tr>
        <w:trPr>
          <w:trHeight w:val="149"/>
        </w:trPr>
        <w:tc>
          <w:tcPr>
            <w:tcW w:w="682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w w:val="98"/>
              </w:rPr>
              <w:t>Floating-rate debt with interest charged on a rollover basis at one-month LIBOR plus a credit</w:t>
            </w:r>
          </w:p>
        </w:tc>
        <w:tc>
          <w:tcPr>
            <w:tcW w:w="8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205"/>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spread:</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05"/>
        </w:trPr>
        <w:tc>
          <w:tcPr>
            <w:tcW w:w="6820" w:type="dxa"/>
            <w:vAlign w:val="bottom"/>
          </w:tcPr>
          <w:p>
            <w:pPr>
              <w:ind w:left="660"/>
              <w:spacing w:after="0"/>
              <w:rPr>
                <w:sz w:val="20"/>
                <w:szCs w:val="20"/>
                <w:color w:val="auto"/>
              </w:rPr>
            </w:pPr>
            <w:r>
              <w:rPr>
                <w:rFonts w:ascii="Arial" w:cs="Arial" w:eastAsia="Arial" w:hAnsi="Arial"/>
                <w:sz w:val="16"/>
                <w:szCs w:val="16"/>
                <w:color w:val="auto"/>
              </w:rPr>
              <w:t>Average outstanding debt balance</w:t>
            </w: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136.1</w:t>
            </w:r>
          </w:p>
        </w:tc>
        <w:tc>
          <w:tcPr>
            <w:tcW w:w="150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43.4</w:t>
            </w:r>
          </w:p>
        </w:tc>
        <w:tc>
          <w:tcPr>
            <w:tcW w:w="360" w:type="dxa"/>
            <w:vAlign w:val="bottom"/>
          </w:tcPr>
          <w:p>
            <w:pPr>
              <w:spacing w:after="0"/>
              <w:rPr>
                <w:sz w:val="17"/>
                <w:szCs w:val="17"/>
                <w:color w:val="auto"/>
              </w:rPr>
            </w:pPr>
          </w:p>
        </w:tc>
      </w:tr>
      <w:tr>
        <w:trPr>
          <w:trHeight w:val="205"/>
        </w:trPr>
        <w:tc>
          <w:tcPr>
            <w:tcW w:w="6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Average interest rate</w:t>
            </w:r>
          </w:p>
        </w:tc>
        <w:tc>
          <w:tcPr>
            <w:tcW w:w="8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50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5" w:name="page36"/>
    <w:bookmarkEnd w:id="35"/>
    <w:p>
      <w:pPr>
        <w:jc w:val="center"/>
        <w:ind w:left="340"/>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85" w:lineRule="exact"/>
        <w:rPr>
          <w:sz w:val="20"/>
          <w:szCs w:val="20"/>
          <w:color w:val="auto"/>
        </w:rPr>
      </w:pPr>
    </w:p>
    <w:p>
      <w:pPr>
        <w:ind w:left="3" w:right="40" w:firstLine="362"/>
        <w:spacing w:after="0" w:line="261" w:lineRule="auto"/>
        <w:rPr>
          <w:sz w:val="20"/>
          <w:szCs w:val="20"/>
          <w:color w:val="auto"/>
        </w:rPr>
      </w:pPr>
      <w:r>
        <w:rPr>
          <w:rFonts w:ascii="Arial" w:cs="Arial" w:eastAsia="Arial" w:hAnsi="Arial"/>
          <w:sz w:val="16"/>
          <w:szCs w:val="16"/>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continuing operations from December 31, 2020 to June 30, 2021 are summarized below. Cash flows for discontinued operations have not been separately disclosed in the consolidated statements of cash flows.</w:t>
      </w:r>
    </w:p>
    <w:p>
      <w:pPr>
        <w:spacing w:after="0" w:line="56" w:lineRule="exact"/>
        <w:rPr>
          <w:sz w:val="20"/>
          <w:szCs w:val="20"/>
          <w:color w:val="auto"/>
        </w:rPr>
      </w:pPr>
    </w:p>
    <w:p>
      <w:pPr>
        <w:ind w:left="363" w:hanging="363"/>
        <w:spacing w:after="0"/>
        <w:tabs>
          <w:tab w:leader="none" w:pos="3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Accounts and other receivables increased $13.3 million (15.4%).</w:t>
      </w:r>
    </w:p>
    <w:p>
      <w:pPr>
        <w:spacing w:after="0" w:line="93" w:lineRule="exact"/>
        <w:rPr>
          <w:rFonts w:ascii="Arial" w:cs="Arial" w:eastAsia="Arial" w:hAnsi="Arial"/>
          <w:sz w:val="16"/>
          <w:szCs w:val="16"/>
          <w:color w:val="auto"/>
        </w:rPr>
      </w:pPr>
    </w:p>
    <w:p>
      <w:pPr>
        <w:ind w:left="723" w:right="140" w:hanging="362"/>
        <w:spacing w:after="0" w:line="261"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Accounts and other receivables in Aluminum Extrusions increased by $14.5 million primarily due to higher selling prices from the pass-through of higher metal costs and an increase in average selling prices to cover higher operating costs, partially offset with improved collection efforts during the second quarter of 2021. DSO (represents trailing 12 months net sales divided by a rolling 12-month average of accounts and other receivables balances) was approximately 45.9 days for the 12 months ended June 30, 2021 and 47.5 days for the 12 months ended December 31, 2020.</w:t>
      </w:r>
    </w:p>
    <w:p>
      <w:pPr>
        <w:spacing w:after="0" w:line="44" w:lineRule="exact"/>
        <w:rPr>
          <w:rFonts w:ascii="Arial" w:cs="Arial" w:eastAsia="Arial" w:hAnsi="Arial"/>
          <w:sz w:val="16"/>
          <w:szCs w:val="16"/>
          <w:color w:val="auto"/>
        </w:rPr>
      </w:pPr>
    </w:p>
    <w:p>
      <w:pPr>
        <w:ind w:left="723" w:right="100" w:hanging="362"/>
        <w:spacing w:after="0" w:line="320" w:lineRule="auto"/>
        <w:tabs>
          <w:tab w:leader="none" w:pos="7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Accounts and other receivables in PE Films decreased by $3.1 million due to lower sales volume and unfavorable mix associated with the previously disclosed customer product transitions in Surface Protection, partially offset by higher selling prices of packaging products as a result of the pass-through of increased resin costs. DSO was approximately 30.1 days for the 12 months ended June 30, 2021 and 30.2 days for the 12 months ended December 31, 2020.</w:t>
      </w:r>
    </w:p>
    <w:p>
      <w:pPr>
        <w:spacing w:after="0" w:line="19" w:lineRule="exact"/>
        <w:rPr>
          <w:rFonts w:ascii="Arial" w:cs="Arial" w:eastAsia="Arial" w:hAnsi="Arial"/>
          <w:sz w:val="14"/>
          <w:szCs w:val="14"/>
          <w:color w:val="auto"/>
        </w:rPr>
      </w:pPr>
    </w:p>
    <w:p>
      <w:pPr>
        <w:ind w:left="723" w:right="40" w:hanging="362"/>
        <w:spacing w:after="0" w:line="265"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Accounts and other receivables in Flexible Packaging Films increased by $2.7 million primarily due to a one-time tax credit in Brazil for PIS/COFINS social contribution non-income taxes, partially offset by higher sales volume to customers that have shorter payment terms. DSO was approximately 38.9 days for the 12 months ended June 30, 2021 and 41.0 days for the 12 months ended December 31, 2020.</w:t>
      </w:r>
    </w:p>
    <w:p>
      <w:pPr>
        <w:spacing w:after="0" w:line="54" w:lineRule="exact"/>
        <w:rPr>
          <w:rFonts w:ascii="Arial" w:cs="Arial" w:eastAsia="Arial" w:hAnsi="Arial"/>
          <w:sz w:val="16"/>
          <w:szCs w:val="16"/>
          <w:color w:val="auto"/>
        </w:rPr>
      </w:pPr>
    </w:p>
    <w:p>
      <w:pPr>
        <w:ind w:left="363" w:hanging="363"/>
        <w:spacing w:after="0"/>
        <w:tabs>
          <w:tab w:leader="none" w:pos="3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Inventories increased $14.7 million (22.2%).</w:t>
      </w:r>
    </w:p>
    <w:p>
      <w:pPr>
        <w:spacing w:after="0" w:line="81" w:lineRule="exact"/>
        <w:rPr>
          <w:rFonts w:ascii="Arial" w:cs="Arial" w:eastAsia="Arial" w:hAnsi="Arial"/>
          <w:sz w:val="16"/>
          <w:szCs w:val="16"/>
          <w:color w:val="auto"/>
        </w:rPr>
      </w:pPr>
    </w:p>
    <w:p>
      <w:pPr>
        <w:ind w:left="723" w:right="140" w:hanging="362"/>
        <w:spacing w:after="0" w:line="261"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Inventories in Aluminum Extrusions increased by $7.8 million due to higher average aluminum prices and the impact of COVID-19-related operational and production inefficiencies on the timing of shipments. DIO (represents trailing 12 months costs of goods sold calculated on a FIFO basis divided by a rolling 12-month average of inventory balances calculated on the FIFO basis) was approximately 38.9 days for the 12 months ended June 30, 2021 and 39.3 days for the 12 months ended December 31, 2020.</w:t>
      </w:r>
    </w:p>
    <w:p>
      <w:pPr>
        <w:spacing w:after="0" w:line="56" w:lineRule="exact"/>
        <w:rPr>
          <w:rFonts w:ascii="Arial" w:cs="Arial" w:eastAsia="Arial" w:hAnsi="Arial"/>
          <w:sz w:val="16"/>
          <w:szCs w:val="16"/>
          <w:color w:val="auto"/>
        </w:rPr>
      </w:pPr>
    </w:p>
    <w:p>
      <w:pPr>
        <w:ind w:left="723" w:right="320" w:hanging="362"/>
        <w:spacing w:after="0" w:line="265"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Inventories in PE Films remained flat as of June 30, 2021 compared to December 31, 2020. DIO of approximately 64.7 days for the 12 months ended June 30, 2021 was higher compared 59.2 days for the 12 months ended December 31, 2020 due to the higher Surface Protection 12-month average of raw materials inventory.</w:t>
      </w:r>
    </w:p>
    <w:p>
      <w:pPr>
        <w:spacing w:after="0" w:line="41" w:lineRule="exact"/>
        <w:rPr>
          <w:rFonts w:ascii="Arial" w:cs="Arial" w:eastAsia="Arial" w:hAnsi="Arial"/>
          <w:sz w:val="16"/>
          <w:szCs w:val="16"/>
          <w:color w:val="auto"/>
        </w:rPr>
      </w:pPr>
    </w:p>
    <w:p>
      <w:pPr>
        <w:ind w:left="723" w:hanging="362"/>
        <w:spacing w:after="0" w:line="236"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Inventories in Flexible Packaging Films increased by $6.4 million primarily due to higher planned raw material levels due to temporary resin supply issues and higher finished good levels due to lower than anticipated sales volume. DIO was approximately 92.4 days for the 12 months ended June 30, 2021 and 89.4 days for the 12 months ended December 31, 2020.</w:t>
      </w:r>
    </w:p>
    <w:p>
      <w:pPr>
        <w:spacing w:after="0" w:line="48" w:lineRule="exact"/>
        <w:rPr>
          <w:rFonts w:ascii="Arial" w:cs="Arial" w:eastAsia="Arial" w:hAnsi="Arial"/>
          <w:sz w:val="16"/>
          <w:szCs w:val="16"/>
          <w:color w:val="auto"/>
        </w:rPr>
      </w:pPr>
    </w:p>
    <w:p>
      <w:pPr>
        <w:ind w:left="363" w:right="100" w:hanging="363"/>
        <w:spacing w:after="0" w:line="279" w:lineRule="auto"/>
        <w:tabs>
          <w:tab w:leader="none" w:pos="3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property, plant and equipment increased $2.0 million (1.2%) primarily due to depreciation expense of $10.9 million, offset by capital expenditures of $12.3 million and a reduction from the effect of changes in foreign exchange rates of $0.9 million.</w:t>
      </w:r>
    </w:p>
    <w:p>
      <w:pPr>
        <w:spacing w:after="0" w:line="42" w:lineRule="exact"/>
        <w:rPr>
          <w:rFonts w:ascii="Arial" w:cs="Arial" w:eastAsia="Arial" w:hAnsi="Arial"/>
          <w:sz w:val="16"/>
          <w:szCs w:val="16"/>
          <w:color w:val="auto"/>
        </w:rPr>
      </w:pPr>
    </w:p>
    <w:p>
      <w:pPr>
        <w:ind w:left="363" w:hanging="363"/>
        <w:spacing w:after="0"/>
        <w:tabs>
          <w:tab w:leader="none" w:pos="3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Identifiable intangible assets, net decreased by $1.4 million (7.5%) due to amortization expense of $1.4 million.</w:t>
      </w:r>
    </w:p>
    <w:p>
      <w:pPr>
        <w:spacing w:after="0" w:line="93" w:lineRule="exact"/>
        <w:rPr>
          <w:rFonts w:ascii="Arial" w:cs="Arial" w:eastAsia="Arial" w:hAnsi="Arial"/>
          <w:sz w:val="16"/>
          <w:szCs w:val="16"/>
          <w:color w:val="auto"/>
        </w:rPr>
      </w:pPr>
    </w:p>
    <w:p>
      <w:pPr>
        <w:ind w:left="363" w:hanging="363"/>
        <w:spacing w:after="0"/>
        <w:tabs>
          <w:tab w:leader="none" w:pos="3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Accounts payable increased $23.5 million (26.2%).</w:t>
      </w:r>
    </w:p>
    <w:p>
      <w:pPr>
        <w:spacing w:after="0" w:line="81" w:lineRule="exact"/>
        <w:rPr>
          <w:rFonts w:ascii="Arial" w:cs="Arial" w:eastAsia="Arial" w:hAnsi="Arial"/>
          <w:sz w:val="16"/>
          <w:szCs w:val="16"/>
          <w:color w:val="auto"/>
        </w:rPr>
      </w:pPr>
    </w:p>
    <w:p>
      <w:pPr>
        <w:jc w:val="both"/>
        <w:ind w:left="723" w:right="80" w:hanging="362"/>
        <w:spacing w:after="0" w:line="291" w:lineRule="auto"/>
        <w:tabs>
          <w:tab w:leader="none" w:pos="7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Accounts payable in Aluminum Extrusions increased by $15.0 million primarily due to higher average aluminum prices and favorable payment terms with certain vendors. DPO (represents trailing 12 months costs of goods sold calculated on a FIFO basis divided by a rolling 12-month average of accounts payable balances) was approximately 55.2 days for the 12 months ended June 30, 2021 and 53.1 days for the 12 months ended December 31, 2020.</w:t>
      </w:r>
    </w:p>
    <w:p>
      <w:pPr>
        <w:spacing w:after="0" w:line="36" w:lineRule="exact"/>
        <w:rPr>
          <w:rFonts w:ascii="Arial" w:cs="Arial" w:eastAsia="Arial" w:hAnsi="Arial"/>
          <w:sz w:val="15"/>
          <w:szCs w:val="15"/>
          <w:color w:val="auto"/>
        </w:rPr>
      </w:pPr>
    </w:p>
    <w:p>
      <w:pPr>
        <w:jc w:val="both"/>
        <w:ind w:left="723" w:right="220" w:hanging="362"/>
        <w:spacing w:after="0" w:line="265"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Accounts payable in PE Films increased by $5.8 million primarily due to higher resin costs related to raw material purchases during the second quarter of 2021. DPO of approximately 35.0 days for the 12 months ended June 30, 2021 declined from 36.8 days for the 12 months ended December 31, 2020 due to the lower Surface Protection 12-month average of costs of goods sold as a result of lower sales volume.</w:t>
      </w:r>
    </w:p>
    <w:p>
      <w:pPr>
        <w:spacing w:after="0" w:line="54" w:lineRule="exact"/>
        <w:rPr>
          <w:rFonts w:ascii="Arial" w:cs="Arial" w:eastAsia="Arial" w:hAnsi="Arial"/>
          <w:sz w:val="16"/>
          <w:szCs w:val="16"/>
          <w:color w:val="auto"/>
        </w:rPr>
      </w:pPr>
    </w:p>
    <w:p>
      <w:pPr>
        <w:ind w:left="723" w:right="660" w:hanging="362"/>
        <w:spacing w:after="0" w:line="314" w:lineRule="auto"/>
        <w:tabs>
          <w:tab w:leader="none" w:pos="7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Accounts payable in Flexible Packaging Films increased $3.1 million due to higher raw material purchases during the first six months of 2021. DPO was approximately 67.0 days for the 12 months ended June 30, 2021 and 61.7 days for the 12 months ended December 31, 2020.</w:t>
      </w:r>
    </w:p>
    <w:p>
      <w:pPr>
        <w:spacing w:after="0" w:line="200" w:lineRule="exact"/>
        <w:rPr>
          <w:sz w:val="20"/>
          <w:szCs w:val="20"/>
          <w:color w:val="auto"/>
        </w:rPr>
      </w:pPr>
    </w:p>
    <w:p>
      <w:pPr>
        <w:spacing w:after="0" w:line="22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3"/>
          </w:cols>
          <w:pgMar w:left="317" w:top="895" w:right="359" w:bottom="1440" w:gutter="0" w:footer="0" w:header="0"/>
        </w:sectPr>
      </w:pPr>
    </w:p>
    <w:bookmarkStart w:id="36" w:name="page37"/>
    <w:bookmarkEnd w:id="36"/>
    <w:p>
      <w:pPr>
        <w:ind w:right="60" w:firstLine="362"/>
        <w:spacing w:after="0" w:line="265" w:lineRule="auto"/>
        <w:rPr>
          <w:sz w:val="20"/>
          <w:szCs w:val="20"/>
          <w:color w:val="auto"/>
        </w:rPr>
      </w:pPr>
      <w:r>
        <w:rPr>
          <w:rFonts w:ascii="Arial" w:cs="Arial" w:eastAsia="Arial" w:hAnsi="Arial"/>
          <w:sz w:val="16"/>
          <w:szCs w:val="16"/>
          <w:color w:val="auto"/>
        </w:rPr>
        <w:t>Net cash provided by operating activities was $41.5 million in the first six months of 2021 compared to $36.1 million in the first six months of 2020. The increase was primarily due to higher net working capital ($3.5 million) and higher EBITDA for business segments of $1.0 million in the first six months of 2021 versus the first six months of 2020.</w:t>
      </w:r>
    </w:p>
    <w:p>
      <w:pPr>
        <w:spacing w:after="0" w:line="42" w:lineRule="exact"/>
        <w:rPr>
          <w:sz w:val="20"/>
          <w:szCs w:val="20"/>
          <w:color w:val="auto"/>
        </w:rPr>
      </w:pPr>
    </w:p>
    <w:p>
      <w:pPr>
        <w:ind w:right="60" w:firstLine="362"/>
        <w:spacing w:after="0" w:line="279" w:lineRule="auto"/>
        <w:rPr>
          <w:sz w:val="20"/>
          <w:szCs w:val="20"/>
          <w:color w:val="auto"/>
        </w:rPr>
      </w:pPr>
      <w:r>
        <w:rPr>
          <w:rFonts w:ascii="Arial" w:cs="Arial" w:eastAsia="Arial" w:hAnsi="Arial"/>
          <w:sz w:val="16"/>
          <w:szCs w:val="16"/>
          <w:color w:val="auto"/>
        </w:rPr>
        <w:t>Net cash used in investing activities increased during the first six months of 2021 compared to the first six months of 2020 due to higher capital expenditure spending of $2.5 million.</w:t>
      </w:r>
    </w:p>
    <w:p>
      <w:pPr>
        <w:spacing w:after="0" w:line="43" w:lineRule="exact"/>
        <w:rPr>
          <w:sz w:val="20"/>
          <w:szCs w:val="20"/>
          <w:color w:val="auto"/>
        </w:rPr>
      </w:pPr>
    </w:p>
    <w:p>
      <w:pPr>
        <w:ind w:right="160" w:firstLine="362"/>
        <w:spacing w:after="0" w:line="265" w:lineRule="auto"/>
        <w:rPr>
          <w:sz w:val="20"/>
          <w:szCs w:val="20"/>
          <w:color w:val="auto"/>
        </w:rPr>
      </w:pPr>
      <w:r>
        <w:rPr>
          <w:rFonts w:ascii="Arial" w:cs="Arial" w:eastAsia="Arial" w:hAnsi="Arial"/>
          <w:sz w:val="16"/>
          <w:szCs w:val="16"/>
          <w:color w:val="auto"/>
        </w:rPr>
        <w:t>Net cash used in financing activities of $24.2 million in the first six months of 2021, compared to $16.6 million in the first six months of 2020, increased primarily due to higher net repayments ($9.0 million) under the Credit Agreement (as defined below), partially offset by repurchases of employee common stock for tax withholdings of $0.6 million in the first six months of 2020.</w:t>
      </w:r>
    </w:p>
    <w:p>
      <w:pPr>
        <w:spacing w:after="0" w:line="54"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Tredegar has a five-year secured revolving credit agreement (the “Credit Agreement”) providing for aggregate borrowings in an amount of $375 million, which matures in June 2024.</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capitalization and indebtedness as defined under the Credit Agreement as of June 30, 2021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Borders>
              <w:top w:val="single" w:sz="8" w:color="auto"/>
            </w:tcBorders>
          </w:tcPr>
          <w:p>
            <w:pPr>
              <w:spacing w:after="0"/>
              <w:rPr>
                <w:sz w:val="19"/>
                <w:szCs w:val="19"/>
                <w:color w:val="auto"/>
              </w:rPr>
            </w:pPr>
          </w:p>
        </w:tc>
        <w:tc>
          <w:tcPr>
            <w:tcW w:w="6640" w:type="dxa"/>
            <w:vAlign w:val="bottom"/>
            <w:tcBorders>
              <w:top w:val="single" w:sz="8" w:color="auto"/>
            </w:tcBorders>
          </w:tcPr>
          <w:p>
            <w:pPr>
              <w:jc w:val="right"/>
              <w:ind w:right="2600"/>
              <w:spacing w:after="0"/>
              <w:rPr>
                <w:sz w:val="20"/>
                <w:szCs w:val="20"/>
                <w:color w:val="auto"/>
              </w:rPr>
            </w:pPr>
            <w:r>
              <w:rPr>
                <w:rFonts w:ascii="Arial" w:cs="Arial" w:eastAsia="Arial" w:hAnsi="Arial"/>
                <w:sz w:val="16"/>
                <w:szCs w:val="16"/>
                <w:color w:val="auto"/>
                <w:w w:val="97"/>
              </w:rPr>
              <w:t>Net Capitalization and Indebtedness as of June 30, 2021</w:t>
            </w:r>
          </w:p>
        </w:tc>
        <w:tc>
          <w:tcPr>
            <w:tcW w:w="960" w:type="dxa"/>
            <w:vAlign w:val="bottom"/>
            <w:tcBorders>
              <w:top w:val="single" w:sz="8" w:color="auto"/>
            </w:tcBorders>
          </w:tcPr>
          <w:p>
            <w:pPr>
              <w:spacing w:after="0"/>
              <w:rPr>
                <w:sz w:val="19"/>
                <w:szCs w:val="19"/>
                <w:color w:val="auto"/>
              </w:rPr>
            </w:pPr>
          </w:p>
        </w:tc>
      </w:tr>
      <w:tr>
        <w:trPr>
          <w:trHeight w:val="205"/>
        </w:trPr>
        <w:tc>
          <w:tcPr>
            <w:tcW w:w="366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jc w:val="right"/>
              <w:ind w:right="3960"/>
              <w:spacing w:after="0"/>
              <w:rPr>
                <w:sz w:val="20"/>
                <w:szCs w:val="20"/>
                <w:color w:val="auto"/>
              </w:rPr>
            </w:pPr>
            <w:r>
              <w:rPr>
                <w:rFonts w:ascii="Arial" w:cs="Arial" w:eastAsia="Arial" w:hAnsi="Arial"/>
                <w:sz w:val="16"/>
                <w:szCs w:val="16"/>
                <w:color w:val="auto"/>
              </w:rPr>
              <w:t>(In thousands)</w:t>
            </w:r>
          </w:p>
        </w:tc>
        <w:tc>
          <w:tcPr>
            <w:tcW w:w="960" w:type="dxa"/>
            <w:vAlign w:val="bottom"/>
            <w:tcBorders>
              <w:bottom w:val="single" w:sz="8" w:color="auto"/>
            </w:tcBorders>
          </w:tcPr>
          <w:p>
            <w:pPr>
              <w:spacing w:after="0"/>
              <w:rPr>
                <w:sz w:val="17"/>
                <w:szCs w:val="17"/>
                <w:color w:val="auto"/>
              </w:rPr>
            </w:pPr>
          </w:p>
        </w:tc>
      </w:tr>
      <w:tr>
        <w:trPr>
          <w:trHeight w:val="197"/>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capitalization:</w:t>
            </w:r>
          </w:p>
        </w:tc>
        <w:tc>
          <w:tcPr>
            <w:tcW w:w="6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3660" w:type="dxa"/>
            <w:vAlign w:val="bottom"/>
          </w:tcPr>
          <w:p>
            <w:pPr>
              <w:ind w:left="660"/>
              <w:spacing w:after="0"/>
              <w:rPr>
                <w:sz w:val="20"/>
                <w:szCs w:val="20"/>
                <w:color w:val="auto"/>
              </w:rPr>
            </w:pPr>
            <w:r>
              <w:rPr>
                <w:rFonts w:ascii="Arial" w:cs="Arial" w:eastAsia="Arial" w:hAnsi="Arial"/>
                <w:sz w:val="16"/>
                <w:szCs w:val="16"/>
                <w:color w:val="auto"/>
              </w:rPr>
              <w:t>Cash and cash equivalents</w:t>
            </w:r>
          </w:p>
        </w:tc>
        <w:tc>
          <w:tcPr>
            <w:tcW w:w="66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18,298</w:t>
            </w:r>
          </w:p>
        </w:tc>
      </w:tr>
      <w:tr>
        <w:trPr>
          <w:trHeight w:val="205"/>
        </w:trPr>
        <w:tc>
          <w:tcPr>
            <w:tcW w:w="3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Debt:</w:t>
            </w:r>
          </w:p>
        </w:tc>
        <w:tc>
          <w:tcPr>
            <w:tcW w:w="6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36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Credit Agreement</w:t>
            </w:r>
          </w:p>
        </w:tc>
        <w:tc>
          <w:tcPr>
            <w:tcW w:w="6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117,000</w:t>
            </w:r>
          </w:p>
        </w:tc>
      </w:tr>
      <w:tr>
        <w:trPr>
          <w:trHeight w:val="197"/>
        </w:trPr>
        <w:tc>
          <w:tcPr>
            <w:tcW w:w="3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Debt, net of cash and cash equivalents</w:t>
            </w:r>
          </w:p>
        </w:tc>
        <w:tc>
          <w:tcPr>
            <w:tcW w:w="6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98,702</w:t>
            </w:r>
          </w:p>
        </w:tc>
      </w:tr>
      <w:tr>
        <w:trPr>
          <w:trHeight w:val="205"/>
        </w:trPr>
        <w:tc>
          <w:tcPr>
            <w:tcW w:w="36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Shareholders’ equity</w:t>
            </w:r>
          </w:p>
        </w:tc>
        <w:tc>
          <w:tcPr>
            <w:tcW w:w="6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143,340</w:t>
            </w:r>
          </w:p>
        </w:tc>
      </w:tr>
      <w:tr>
        <w:trPr>
          <w:trHeight w:val="201"/>
        </w:trPr>
        <w:tc>
          <w:tcPr>
            <w:tcW w:w="36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Net capitalization</w:t>
            </w:r>
          </w:p>
        </w:tc>
        <w:tc>
          <w:tcPr>
            <w:tcW w:w="66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242,042</w:t>
            </w:r>
          </w:p>
        </w:tc>
      </w:tr>
      <w:tr>
        <w:trPr>
          <w:trHeight w:val="205"/>
        </w:trPr>
        <w:tc>
          <w:tcPr>
            <w:tcW w:w="3660" w:type="dxa"/>
            <w:vAlign w:val="bottom"/>
          </w:tcPr>
          <w:p>
            <w:pPr>
              <w:ind w:left="380"/>
              <w:spacing w:after="0"/>
              <w:rPr>
                <w:sz w:val="20"/>
                <w:szCs w:val="20"/>
                <w:color w:val="auto"/>
              </w:rPr>
            </w:pPr>
            <w:r>
              <w:rPr>
                <w:rFonts w:ascii="Arial" w:cs="Arial" w:eastAsia="Arial" w:hAnsi="Arial"/>
                <w:sz w:val="16"/>
                <w:szCs w:val="16"/>
                <w:color w:val="auto"/>
              </w:rPr>
              <w:t>Indebtedness as defined in Credit Agreement:</w:t>
            </w:r>
          </w:p>
        </w:tc>
        <w:tc>
          <w:tcPr>
            <w:tcW w:w="6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36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Total debt</w:t>
            </w:r>
          </w:p>
        </w:tc>
        <w:tc>
          <w:tcPr>
            <w:tcW w:w="66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117,000</w:t>
            </w:r>
          </w:p>
        </w:tc>
      </w:tr>
      <w:tr>
        <w:trPr>
          <w:trHeight w:val="201"/>
        </w:trPr>
        <w:tc>
          <w:tcPr>
            <w:tcW w:w="36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Indebtedness</w:t>
            </w:r>
          </w:p>
        </w:tc>
        <w:tc>
          <w:tcPr>
            <w:tcW w:w="66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117,000</w:t>
            </w:r>
          </w:p>
        </w:tc>
      </w:tr>
    </w:tbl>
    <w:p>
      <w:pPr>
        <w:spacing w:after="0" w:line="156" w:lineRule="exact"/>
        <w:rPr>
          <w:sz w:val="20"/>
          <w:szCs w:val="20"/>
          <w:color w:val="auto"/>
        </w:rPr>
      </w:pPr>
    </w:p>
    <w:p>
      <w:pPr>
        <w:ind w:right="500" w:firstLine="362"/>
        <w:spacing w:after="0" w:line="279" w:lineRule="auto"/>
        <w:rPr>
          <w:sz w:val="20"/>
          <w:szCs w:val="20"/>
          <w:color w:val="auto"/>
        </w:rPr>
      </w:pPr>
      <w:r>
        <w:rPr>
          <w:rFonts w:ascii="Arial" w:cs="Arial" w:eastAsia="Arial" w:hAnsi="Arial"/>
          <w:sz w:val="16"/>
          <w:szCs w:val="16"/>
          <w:color w:val="auto"/>
        </w:rPr>
        <w:t>Borrowings under the Credit Agreement bear an interest rate of LIBOR plus a credit spread and commitment fees charged on the unused amount under the Credit Agreement at various indebtedness-to-Credit EBITDA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4692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6"/>
          <w:szCs w:val="16"/>
          <w:color w:val="auto"/>
        </w:rPr>
        <w:t>Pricing Under The Credit Agreement (Basis Points)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Borders>
              <w:top w:val="single" w:sz="8" w:color="auto"/>
            </w:tcBorders>
            <w:vMerge w:val="restart"/>
          </w:tcPr>
          <w:p>
            <w:pPr>
              <w:ind w:left="380"/>
              <w:spacing w:after="0"/>
              <w:rPr>
                <w:sz w:val="20"/>
                <w:szCs w:val="20"/>
                <w:color w:val="auto"/>
              </w:rPr>
            </w:pPr>
            <w:r>
              <w:rPr>
                <w:rFonts w:ascii="Arial" w:cs="Arial" w:eastAsia="Arial" w:hAnsi="Arial"/>
                <w:sz w:val="16"/>
                <w:szCs w:val="16"/>
                <w:color w:val="auto"/>
              </w:rPr>
              <w:t>Indebtedness-to-Credit EBITDA Ratio</w:t>
            </w:r>
          </w:p>
        </w:tc>
        <w:tc>
          <w:tcPr>
            <w:tcW w:w="4240" w:type="dxa"/>
            <w:vAlign w:val="bottom"/>
            <w:tcBorders>
              <w:top w:val="single" w:sz="8" w:color="auto"/>
            </w:tcBorders>
          </w:tcPr>
          <w:p>
            <w:pPr>
              <w:jc w:val="right"/>
              <w:ind w:right="220"/>
              <w:spacing w:after="0" w:line="149" w:lineRule="exact"/>
              <w:rPr>
                <w:sz w:val="20"/>
                <w:szCs w:val="20"/>
                <w:color w:val="auto"/>
              </w:rPr>
            </w:pPr>
            <w:r>
              <w:rPr>
                <w:rFonts w:ascii="Arial" w:cs="Arial" w:eastAsia="Arial" w:hAnsi="Arial"/>
                <w:sz w:val="16"/>
                <w:szCs w:val="16"/>
                <w:color w:val="auto"/>
              </w:rPr>
              <w:t>Credit Spread</w:t>
            </w:r>
          </w:p>
        </w:tc>
        <w:tc>
          <w:tcPr>
            <w:tcW w:w="1240" w:type="dxa"/>
            <w:vAlign w:val="bottom"/>
            <w:tcBorders>
              <w:top w:val="single" w:sz="8" w:color="auto"/>
            </w:tcBorders>
          </w:tcPr>
          <w:p>
            <w:pPr>
              <w:jc w:val="right"/>
              <w:ind w:right="40"/>
              <w:spacing w:after="0" w:line="149" w:lineRule="exact"/>
              <w:rPr>
                <w:sz w:val="20"/>
                <w:szCs w:val="20"/>
                <w:color w:val="auto"/>
              </w:rPr>
            </w:pPr>
            <w:r>
              <w:rPr>
                <w:rFonts w:ascii="Arial" w:cs="Arial" w:eastAsia="Arial" w:hAnsi="Arial"/>
                <w:sz w:val="16"/>
                <w:szCs w:val="16"/>
                <w:color w:val="auto"/>
              </w:rPr>
              <w:t>Commitment</w:t>
            </w:r>
          </w:p>
        </w:tc>
        <w:tc>
          <w:tcPr>
            <w:tcW w:w="0" w:type="dxa"/>
            <w:vAlign w:val="bottom"/>
          </w:tcPr>
          <w:p>
            <w:pPr>
              <w:spacing w:after="0"/>
              <w:rPr>
                <w:sz w:val="1"/>
                <w:szCs w:val="1"/>
                <w:color w:val="auto"/>
              </w:rPr>
            </w:pPr>
          </w:p>
        </w:tc>
      </w:tr>
      <w:tr>
        <w:trPr>
          <w:trHeight w:val="205"/>
        </w:trPr>
        <w:tc>
          <w:tcPr>
            <w:tcW w:w="5780" w:type="dxa"/>
            <w:vAlign w:val="bottom"/>
            <w:tcBorders>
              <w:bottom w:val="single" w:sz="8" w:color="auto"/>
            </w:tcBorders>
            <w:vMerge w:val="continue"/>
          </w:tcPr>
          <w:p>
            <w:pPr>
              <w:spacing w:after="0"/>
              <w:rPr>
                <w:sz w:val="17"/>
                <w:szCs w:val="17"/>
                <w:color w:val="auto"/>
              </w:rPr>
            </w:pPr>
          </w:p>
        </w:tc>
        <w:tc>
          <w:tcPr>
            <w:tcW w:w="4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Over LIBOR</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Fee</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&gt; 3.5x but &lt;= 4.0x</w:t>
            </w:r>
          </w:p>
        </w:tc>
        <w:tc>
          <w:tcPr>
            <w:tcW w:w="42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5"/>
        </w:trPr>
        <w:tc>
          <w:tcPr>
            <w:tcW w:w="5780" w:type="dxa"/>
            <w:vAlign w:val="bottom"/>
          </w:tcPr>
          <w:p>
            <w:pPr>
              <w:ind w:left="380"/>
              <w:spacing w:after="0"/>
              <w:rPr>
                <w:sz w:val="20"/>
                <w:szCs w:val="20"/>
                <w:color w:val="auto"/>
              </w:rPr>
            </w:pPr>
            <w:r>
              <w:rPr>
                <w:rFonts w:ascii="Arial" w:cs="Arial" w:eastAsia="Arial" w:hAnsi="Arial"/>
                <w:sz w:val="16"/>
                <w:szCs w:val="16"/>
                <w:color w:val="auto"/>
              </w:rPr>
              <w:t>&gt; 3.0x but &lt;= 3.5x</w:t>
            </w:r>
          </w:p>
        </w:tc>
        <w:tc>
          <w:tcPr>
            <w:tcW w:w="4240" w:type="dxa"/>
            <w:vAlign w:val="bottom"/>
          </w:tcPr>
          <w:p>
            <w:pPr>
              <w:jc w:val="right"/>
              <w:ind w:right="180"/>
              <w:spacing w:after="0"/>
              <w:rPr>
                <w:sz w:val="20"/>
                <w:szCs w:val="20"/>
                <w:color w:val="auto"/>
              </w:rPr>
            </w:pPr>
            <w:r>
              <w:rPr>
                <w:rFonts w:ascii="Arial" w:cs="Arial" w:eastAsia="Arial" w:hAnsi="Arial"/>
                <w:sz w:val="16"/>
                <w:szCs w:val="16"/>
                <w:color w:val="auto"/>
              </w:rPr>
              <w:t>187.5</w:t>
            </w: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&gt; 2.0x but &lt;= 3.0x</w:t>
            </w:r>
          </w:p>
        </w:tc>
        <w:tc>
          <w:tcPr>
            <w:tcW w:w="42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175.0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5"/>
        </w:trPr>
        <w:tc>
          <w:tcPr>
            <w:tcW w:w="5780" w:type="dxa"/>
            <w:vAlign w:val="bottom"/>
          </w:tcPr>
          <w:p>
            <w:pPr>
              <w:ind w:left="380"/>
              <w:spacing w:after="0"/>
              <w:rPr>
                <w:sz w:val="20"/>
                <w:szCs w:val="20"/>
                <w:color w:val="auto"/>
              </w:rPr>
            </w:pPr>
            <w:r>
              <w:rPr>
                <w:rFonts w:ascii="Arial" w:cs="Arial" w:eastAsia="Arial" w:hAnsi="Arial"/>
                <w:sz w:val="16"/>
                <w:szCs w:val="16"/>
                <w:color w:val="auto"/>
              </w:rPr>
              <w:t>&gt; 1.0x but &lt;= 2.0x</w:t>
            </w:r>
          </w:p>
        </w:tc>
        <w:tc>
          <w:tcPr>
            <w:tcW w:w="4240" w:type="dxa"/>
            <w:vAlign w:val="bottom"/>
          </w:tcPr>
          <w:p>
            <w:pPr>
              <w:jc w:val="right"/>
              <w:ind w:right="180"/>
              <w:spacing w:after="0"/>
              <w:rPr>
                <w:sz w:val="20"/>
                <w:szCs w:val="20"/>
                <w:color w:val="auto"/>
              </w:rPr>
            </w:pPr>
            <w:r>
              <w:rPr>
                <w:rFonts w:ascii="Arial" w:cs="Arial" w:eastAsia="Arial" w:hAnsi="Arial"/>
                <w:sz w:val="16"/>
                <w:szCs w:val="16"/>
                <w:color w:val="auto"/>
              </w:rPr>
              <w:t>162.5</w:t>
            </w: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&lt;= 1.0x</w:t>
            </w:r>
          </w:p>
        </w:tc>
        <w:tc>
          <w:tcPr>
            <w:tcW w:w="42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150.0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firstLine="362"/>
        <w:spacing w:after="0" w:line="279" w:lineRule="auto"/>
        <w:rPr>
          <w:sz w:val="20"/>
          <w:szCs w:val="20"/>
          <w:color w:val="auto"/>
        </w:rPr>
      </w:pPr>
      <w:r>
        <w:rPr>
          <w:rFonts w:ascii="Arial" w:cs="Arial" w:eastAsia="Arial" w:hAnsi="Arial"/>
          <w:sz w:val="16"/>
          <w:szCs w:val="16"/>
          <w:color w:val="auto"/>
        </w:rPr>
        <w:t>At June 30, 2021, the interest rate on debt under the Credit Agreement existing at that date was priced at one-month LIBOR plus the applicable credit spread of 162.5 basis points.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most restrictive covenants in the Credit Agreement include:</w:t>
      </w:r>
    </w:p>
    <w:p>
      <w:pPr>
        <w:spacing w:after="0" w:line="93" w:lineRule="exact"/>
        <w:rPr>
          <w:sz w:val="20"/>
          <w:szCs w:val="20"/>
          <w:color w:val="auto"/>
        </w:rPr>
      </w:pPr>
    </w:p>
    <w:p>
      <w:pPr>
        <w:ind w:left="720" w:hanging="36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Maximum indebtedness-to-Credit EBITDA (“Leverage Ratio”) of 4.00x;</w:t>
      </w:r>
    </w:p>
    <w:p>
      <w:pPr>
        <w:spacing w:after="0" w:line="81" w:lineRule="exact"/>
        <w:rPr>
          <w:rFonts w:ascii="Arial" w:cs="Arial" w:eastAsia="Arial" w:hAnsi="Arial"/>
          <w:sz w:val="16"/>
          <w:szCs w:val="16"/>
          <w:color w:val="auto"/>
        </w:rPr>
      </w:pPr>
    </w:p>
    <w:p>
      <w:pPr>
        <w:ind w:left="720" w:hanging="36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Minimum Credit EBITDA-to-interest expense of 3.00x; and</w:t>
      </w:r>
    </w:p>
    <w:p>
      <w:pPr>
        <w:spacing w:after="0" w:line="93" w:lineRule="exact"/>
        <w:rPr>
          <w:rFonts w:ascii="Arial" w:cs="Arial" w:eastAsia="Arial" w:hAnsi="Arial"/>
          <w:sz w:val="16"/>
          <w:szCs w:val="16"/>
          <w:color w:val="auto"/>
        </w:rPr>
      </w:pPr>
    </w:p>
    <w:p>
      <w:pPr>
        <w:ind w:left="720" w:right="80" w:hanging="362"/>
        <w:spacing w:after="0" w:line="265" w:lineRule="auto"/>
        <w:tabs>
          <w:tab w:leader="none" w:pos="7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Maximum aggregate distributions to shareholders over the remaining term of the Credit Agreement of $75 million; provided, that if the Leverage Ratio of equal to or greater than 3.00x, a limitation on such payments for the succeeding quarter at the greater of (i) $4.75 million and (ii) 50% of consolidated net income for the most recent fiscal quarter.</w:t>
      </w:r>
    </w:p>
    <w:p>
      <w:pPr>
        <w:spacing w:after="0" w:line="54" w:lineRule="exact"/>
        <w:rPr>
          <w:sz w:val="20"/>
          <w:szCs w:val="20"/>
          <w:color w:val="auto"/>
        </w:rPr>
      </w:pPr>
    </w:p>
    <w:p>
      <w:pPr>
        <w:jc w:val="both"/>
        <w:ind w:right="580" w:firstLine="362"/>
        <w:spacing w:after="0" w:line="291" w:lineRule="auto"/>
        <w:rPr>
          <w:sz w:val="20"/>
          <w:szCs w:val="20"/>
          <w:color w:val="auto"/>
        </w:rPr>
      </w:pPr>
      <w:r>
        <w:rPr>
          <w:rFonts w:ascii="Arial" w:cs="Arial" w:eastAsia="Arial" w:hAnsi="Arial"/>
          <w:sz w:val="15"/>
          <w:szCs w:val="15"/>
          <w:color w:val="auto"/>
        </w:rPr>
        <w:t>The Credit Agreement is secured by substantially all of the Company’s and its domestic subsidiaries’ assets, including equity in certain material first-tier foreign subsidiaries. At June 30, 2021, based upon the most restrictive covenant within the Credit Agreement, available credit under the Credit Agreement was approximately $258 million. Total debt outstanding was $117 million and $134 million as of June 30, 2021 and December 31, 2020, respectively.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7" w:name="page38"/>
    <w:bookmarkEnd w:id="37"/>
    <w:p>
      <w:pPr>
        <w:ind w:right="100" w:firstLine="362"/>
        <w:spacing w:after="0" w:line="265" w:lineRule="auto"/>
        <w:rPr>
          <w:sz w:val="20"/>
          <w:szCs w:val="20"/>
          <w:color w:val="auto"/>
        </w:rPr>
      </w:pPr>
      <w:r>
        <w:rPr>
          <w:rFonts w:ascii="Arial" w:cs="Arial" w:eastAsia="Arial" w:hAnsi="Arial"/>
          <w:sz w:val="16"/>
          <w:szCs w:val="16"/>
          <w:color w:val="auto"/>
        </w:rPr>
        <w:t>Credit EBITDA is not intended to represent net income (loss) or cash flow from operations as defined by GAAP and should not be considered as an alternative to either net income (loss) or to cash flow. The computations of Credit EBITDA and the leverage ratio and interest coverage ratio as defined in the Credit Agreement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14692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10" w:lineRule="exact"/>
        <w:rPr>
          <w:sz w:val="20"/>
          <w:szCs w:val="20"/>
          <w:color w:val="auto"/>
        </w:rPr>
      </w:pPr>
    </w:p>
    <w:p>
      <w:pPr>
        <w:ind w:left="3380" w:right="80" w:hanging="2942"/>
        <w:spacing w:after="0" w:line="236" w:lineRule="auto"/>
        <w:rPr>
          <w:sz w:val="20"/>
          <w:szCs w:val="20"/>
          <w:color w:val="auto"/>
        </w:rPr>
      </w:pPr>
      <w:r>
        <w:rPr>
          <w:rFonts w:ascii="Arial" w:cs="Arial" w:eastAsia="Arial" w:hAnsi="Arial"/>
          <w:sz w:val="16"/>
          <w:szCs w:val="16"/>
          <w:color w:val="auto"/>
        </w:rPr>
        <w:t>Computations of Credit EBITDA and Leverage Ratio and Interest Coverage Ratio as Defined in the Credit Agreement Along with Related Most Restrictive Covenants as of and for the Twelve Months Ended June 30, 2021 (In Thousands)</w:t>
      </w:r>
    </w:p>
    <w:tbl>
      <w:tblPr>
        <w:tblLayout w:type="fixed"/>
        <w:tblInd w:w="0" w:type="dxa"/>
        <w:tblCellMar>
          <w:top w:w="0" w:type="dxa"/>
          <w:left w:w="0" w:type="dxa"/>
          <w:bottom w:w="0" w:type="dxa"/>
          <w:right w:w="0" w:type="dxa"/>
        </w:tblCellMar>
      </w:tblPr>
      <w:tr>
        <w:trPr>
          <w:trHeight w:val="197"/>
        </w:trPr>
        <w:tc>
          <w:tcPr>
            <w:tcW w:w="998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Computation of Credit EBITDA for the twelve months ended June 30, 2021:</w:t>
            </w:r>
          </w:p>
        </w:tc>
        <w:tc>
          <w:tcPr>
            <w:tcW w:w="4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income (loss)</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(34,051)</w:t>
            </w:r>
          </w:p>
        </w:tc>
        <w:tc>
          <w:tcPr>
            <w:tcW w:w="0" w:type="dxa"/>
            <w:vAlign w:val="bottom"/>
          </w:tcPr>
          <w:p>
            <w:pPr>
              <w:spacing w:after="0"/>
              <w:rPr>
                <w:sz w:val="1"/>
                <w:szCs w:val="1"/>
                <w:color w:val="auto"/>
              </w:rPr>
            </w:pPr>
          </w:p>
        </w:tc>
      </w:tr>
      <w:tr>
        <w:trPr>
          <w:trHeight w:val="205"/>
        </w:trPr>
        <w:tc>
          <w:tcPr>
            <w:tcW w:w="9980" w:type="dxa"/>
            <w:vAlign w:val="bottom"/>
          </w:tcPr>
          <w:p>
            <w:pPr>
              <w:ind w:left="660"/>
              <w:spacing w:after="0"/>
              <w:rPr>
                <w:sz w:val="20"/>
                <w:szCs w:val="20"/>
                <w:color w:val="auto"/>
              </w:rPr>
            </w:pPr>
            <w:r>
              <w:rPr>
                <w:rFonts w:ascii="Arial" w:cs="Arial" w:eastAsia="Arial" w:hAnsi="Arial"/>
                <w:sz w:val="16"/>
                <w:szCs w:val="16"/>
                <w:color w:val="auto"/>
              </w:rPr>
              <w:t>Plus:</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After-tax losses related to discontinued operations</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53,896</w:t>
            </w: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Total income tax expense for continuing operations</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Depreciation and amortization expense for continuing operations</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26,350</w:t>
            </w:r>
          </w:p>
        </w:tc>
        <w:tc>
          <w:tcPr>
            <w:tcW w:w="0" w:type="dxa"/>
            <w:vAlign w:val="bottom"/>
          </w:tcPr>
          <w:p>
            <w:pPr>
              <w:spacing w:after="0"/>
              <w:rPr>
                <w:sz w:val="1"/>
                <w:szCs w:val="1"/>
                <w:color w:val="auto"/>
              </w:rPr>
            </w:pPr>
          </w:p>
        </w:tc>
      </w:tr>
      <w:tr>
        <w:trPr>
          <w:trHeight w:val="157"/>
        </w:trPr>
        <w:tc>
          <w:tcPr>
            <w:tcW w:w="9980" w:type="dxa"/>
            <w:vAlign w:val="bottom"/>
            <w:shd w:val="clear" w:color="auto" w:fill="CCEEFF"/>
          </w:tcPr>
          <w:p>
            <w:pPr>
              <w:ind w:left="960"/>
              <w:spacing w:after="0" w:line="157" w:lineRule="exact"/>
              <w:rPr>
                <w:sz w:val="20"/>
                <w:szCs w:val="20"/>
                <w:color w:val="auto"/>
              </w:rPr>
            </w:pPr>
            <w:r>
              <w:rPr>
                <w:rFonts w:ascii="Arial" w:cs="Arial" w:eastAsia="Arial" w:hAnsi="Arial"/>
                <w:sz w:val="16"/>
                <w:szCs w:val="16"/>
                <w:color w:val="auto"/>
                <w:w w:val="92"/>
              </w:rPr>
              <w:t>All non-cash losses and expenses, plus cash losses and expenses not to exceed $10,000, for continuing operations that are classified as</w:t>
            </w:r>
          </w:p>
        </w:tc>
        <w:tc>
          <w:tcPr>
            <w:tcW w:w="4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13,055</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unusual, extraordinary or which are related to plant shutdowns, asset impairments and/or restructurings (cash-related of $9,990)</w:t>
            </w:r>
          </w:p>
        </w:tc>
        <w:tc>
          <w:tcPr>
            <w:tcW w:w="4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Charges related to stock option grants and awards accounted for under the fair value-based method</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Losses related to the application of the equity method of accounting</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Losses related to adjustments in the estimated fair value of assets accounted for under the fair value method of accounting</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35,182</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Minus:</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After-tax income related to discontinued operations</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income tax benefits for continuing operations</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57"/>
        </w:trPr>
        <w:tc>
          <w:tcPr>
            <w:tcW w:w="9980" w:type="dxa"/>
            <w:vAlign w:val="bottom"/>
            <w:shd w:val="clear" w:color="auto" w:fill="CCEEFF"/>
          </w:tcPr>
          <w:p>
            <w:pPr>
              <w:ind w:left="960"/>
              <w:spacing w:after="0" w:line="157" w:lineRule="exact"/>
              <w:rPr>
                <w:sz w:val="20"/>
                <w:szCs w:val="20"/>
                <w:color w:val="auto"/>
              </w:rPr>
            </w:pPr>
            <w:r>
              <w:rPr>
                <w:rFonts w:ascii="Arial" w:cs="Arial" w:eastAsia="Arial" w:hAnsi="Arial"/>
                <w:sz w:val="16"/>
                <w:szCs w:val="16"/>
                <w:color w:val="auto"/>
                <w:w w:val="92"/>
              </w:rPr>
              <w:t>All non-cash gains and income, plus cash gains and income in excess of $10,000, for continuing operations that are classified as unusual,</w:t>
            </w:r>
          </w:p>
        </w:tc>
        <w:tc>
          <w:tcPr>
            <w:tcW w:w="4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extraordinary or which are related to plant shutdowns, asset impairments and/or restructurings</w:t>
            </w:r>
          </w:p>
        </w:tc>
        <w:tc>
          <w:tcPr>
            <w:tcW w:w="4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Income related to changes in estimates for stock option grants and awards accounted for under the fair value-based method</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Income related to the application of the equity method of accounting</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Pr>
          <w:p>
            <w:pPr>
              <w:ind w:left="960"/>
              <w:spacing w:after="0"/>
              <w:rPr>
                <w:sz w:val="20"/>
                <w:szCs w:val="20"/>
                <w:color w:val="auto"/>
              </w:rPr>
            </w:pPr>
            <w:r>
              <w:rPr>
                <w:rFonts w:ascii="Arial" w:cs="Arial" w:eastAsia="Arial" w:hAnsi="Arial"/>
                <w:sz w:val="16"/>
                <w:szCs w:val="16"/>
                <w:color w:val="auto"/>
              </w:rPr>
              <w:t>Income related to adjustments in the estimated fair value of assets accounted for under the fair value method of accounting</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Plus cash dividends declared on investments in an amount not to exceed $10,000 for such period</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5"/>
        </w:trPr>
        <w:tc>
          <w:tcPr>
            <w:tcW w:w="9980" w:type="dxa"/>
            <w:vAlign w:val="bottom"/>
          </w:tcPr>
          <w:p>
            <w:pPr>
              <w:ind w:left="660"/>
              <w:spacing w:after="0"/>
              <w:rPr>
                <w:sz w:val="20"/>
                <w:szCs w:val="20"/>
                <w:color w:val="auto"/>
              </w:rPr>
            </w:pPr>
            <w:r>
              <w:rPr>
                <w:rFonts w:ascii="Arial" w:cs="Arial" w:eastAsia="Arial" w:hAnsi="Arial"/>
                <w:sz w:val="16"/>
                <w:szCs w:val="16"/>
                <w:color w:val="auto"/>
              </w:rPr>
              <w:t>Plus or minus, as applicable, pro forma EBITDA adjustments associated with acquisitions and asset dispositions</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95"/>
              </w:rPr>
              <w:t>Plus or minus, as applicable, pro forma EBITDA adjustments to pension expense associated with the early payment of pension obligations</w:t>
            </w:r>
          </w:p>
        </w:tc>
        <w:tc>
          <w:tcPr>
            <w:tcW w:w="4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9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Credit EBITDA as defined in Credit Agreement</w:t>
            </w: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102,922</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Computations of leverage and interest coverage ratios as defined in the Credit Agreement at June 30, 2021:</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660"/>
              <w:spacing w:after="0"/>
              <w:rPr>
                <w:sz w:val="20"/>
                <w:szCs w:val="20"/>
                <w:color w:val="auto"/>
              </w:rPr>
            </w:pPr>
            <w:r>
              <w:rPr>
                <w:rFonts w:ascii="Arial" w:cs="Arial" w:eastAsia="Arial" w:hAnsi="Arial"/>
                <w:sz w:val="16"/>
                <w:szCs w:val="16"/>
                <w:color w:val="auto"/>
              </w:rPr>
              <w:t>Leverage ratio (indebtedness-to-Credit EBITDA)</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1.14x</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Interest coverage ratio (Credit EBITDA-to-interest expense)</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32.20x</w:t>
            </w:r>
          </w:p>
        </w:tc>
        <w:tc>
          <w:tcPr>
            <w:tcW w:w="0" w:type="dxa"/>
            <w:vAlign w:val="bottom"/>
          </w:tcPr>
          <w:p>
            <w:pPr>
              <w:spacing w:after="0"/>
              <w:rPr>
                <w:sz w:val="1"/>
                <w:szCs w:val="1"/>
                <w:color w:val="auto"/>
              </w:rPr>
            </w:pPr>
          </w:p>
        </w:tc>
      </w:tr>
      <w:tr>
        <w:trPr>
          <w:trHeight w:val="205"/>
        </w:trPr>
        <w:tc>
          <w:tcPr>
            <w:tcW w:w="9980" w:type="dxa"/>
            <w:vAlign w:val="bottom"/>
          </w:tcPr>
          <w:p>
            <w:pPr>
              <w:ind w:left="380"/>
              <w:spacing w:after="0"/>
              <w:rPr>
                <w:sz w:val="20"/>
                <w:szCs w:val="20"/>
                <w:color w:val="auto"/>
              </w:rPr>
            </w:pPr>
            <w:r>
              <w:rPr>
                <w:rFonts w:ascii="Arial" w:cs="Arial" w:eastAsia="Arial" w:hAnsi="Arial"/>
                <w:sz w:val="16"/>
                <w:szCs w:val="16"/>
                <w:color w:val="auto"/>
              </w:rPr>
              <w:t>Most restrictive covenants as defined in the Credit Agreement:</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980" w:type="dxa"/>
            <w:vAlign w:val="bottom"/>
            <w:shd w:val="clear" w:color="auto" w:fill="CCEEFF"/>
          </w:tcPr>
          <w:p>
            <w:pPr>
              <w:ind w:left="660"/>
              <w:spacing w:after="0" w:line="157" w:lineRule="exact"/>
              <w:rPr>
                <w:sz w:val="20"/>
                <w:szCs w:val="20"/>
                <w:color w:val="auto"/>
              </w:rPr>
            </w:pPr>
            <w:r>
              <w:rPr>
                <w:rFonts w:ascii="Arial" w:cs="Arial" w:eastAsia="Arial" w:hAnsi="Arial"/>
                <w:sz w:val="16"/>
                <w:szCs w:val="16"/>
                <w:color w:val="auto"/>
                <w:w w:val="97"/>
              </w:rPr>
              <w:t>Available balance of maximum permitted aggregate amount of dividends that can be paid by Tredegar during the remaining term of the</w:t>
            </w:r>
          </w:p>
        </w:tc>
        <w:tc>
          <w:tcPr>
            <w:tcW w:w="4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62,910</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($75,000 minus $12,090 of dividends paid after December 1, 2020)</w:t>
            </w:r>
          </w:p>
        </w:tc>
        <w:tc>
          <w:tcPr>
            <w:tcW w:w="4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660"/>
              <w:spacing w:after="0"/>
              <w:rPr>
                <w:sz w:val="20"/>
                <w:szCs w:val="20"/>
                <w:color w:val="auto"/>
              </w:rPr>
            </w:pPr>
            <w:r>
              <w:rPr>
                <w:rFonts w:ascii="Arial" w:cs="Arial" w:eastAsia="Arial" w:hAnsi="Arial"/>
                <w:sz w:val="16"/>
                <w:szCs w:val="16"/>
                <w:color w:val="auto"/>
              </w:rPr>
              <w:t>Maximum leverage ratio permitted</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4.00x</w:t>
            </w:r>
          </w:p>
        </w:tc>
        <w:tc>
          <w:tcPr>
            <w:tcW w:w="0" w:type="dxa"/>
            <w:vAlign w:val="bottom"/>
          </w:tcPr>
          <w:p>
            <w:pPr>
              <w:spacing w:after="0"/>
              <w:rPr>
                <w:sz w:val="1"/>
                <w:szCs w:val="1"/>
                <w:color w:val="auto"/>
              </w:rPr>
            </w:pPr>
          </w:p>
        </w:tc>
      </w:tr>
      <w:tr>
        <w:trPr>
          <w:trHeight w:val="209"/>
        </w:trPr>
        <w:tc>
          <w:tcPr>
            <w:tcW w:w="9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Minimum interest coverage ratio permitted</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8" w:name="page39"/>
    <w:bookmarkEnd w:id="38"/>
    <w:p>
      <w:pPr>
        <w:ind w:firstLine="362"/>
        <w:spacing w:after="0" w:line="261" w:lineRule="auto"/>
        <w:rPr>
          <w:sz w:val="20"/>
          <w:szCs w:val="20"/>
          <w:color w:val="auto"/>
        </w:rPr>
      </w:pPr>
      <w:r>
        <w:rPr>
          <w:rFonts w:ascii="Arial" w:cs="Arial" w:eastAsia="Arial" w:hAnsi="Arial"/>
          <w:sz w:val="16"/>
          <w:szCs w:val="16"/>
          <w:color w:val="auto"/>
        </w:rPr>
        <w:t>Tredegar was in compliance with all of its debt covenants as of June 30, 2021.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At June 30, 2021, the Company had cash and cash equivalents of $18.3 million, including cash and cash equivalents held by locations outside the U.S. of $8.6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20"/>
          </w:cols>
          <w:pgMar w:left="320" w:top="911" w:right="459" w:bottom="1440" w:gutter="0" w:footer="0" w:header="0"/>
        </w:sectPr>
      </w:pPr>
    </w:p>
    <w:bookmarkStart w:id="39" w:name="page40"/>
    <w:bookmarkEnd w:id="39"/>
    <w:p>
      <w:pPr>
        <w:spacing w:after="0"/>
        <w:tabs>
          <w:tab w:leader="none" w:pos="6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85" w:lineRule="exact"/>
        <w:rPr>
          <w:sz w:val="20"/>
          <w:szCs w:val="20"/>
          <w:color w:val="auto"/>
        </w:rPr>
      </w:pPr>
    </w:p>
    <w:p>
      <w:pPr>
        <w:ind w:right="140" w:firstLine="362"/>
        <w:spacing w:after="0" w:line="265" w:lineRule="auto"/>
        <w:rPr>
          <w:sz w:val="20"/>
          <w:szCs w:val="20"/>
          <w:color w:val="auto"/>
        </w:rPr>
      </w:pPr>
      <w:r>
        <w:rPr>
          <w:rFonts w:ascii="Arial" w:cs="Arial" w:eastAsia="Arial" w:hAnsi="Arial"/>
          <w:sz w:val="16"/>
          <w:szCs w:val="16"/>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Arial" w:cs="Arial" w:eastAsia="Arial" w:hAnsi="Arial"/>
          <w:sz w:val="16"/>
          <w:szCs w:val="16"/>
          <w:b w:val="1"/>
          <w:bCs w:val="1"/>
          <w:i w:val="1"/>
          <w:iCs w:val="1"/>
          <w:color w:val="auto"/>
        </w:rPr>
        <w:t>Liquidity and Capital Resources</w:t>
      </w:r>
      <w:r>
        <w:rPr>
          <w:rFonts w:ascii="Arial" w:cs="Arial" w:eastAsia="Arial" w:hAnsi="Arial"/>
          <w:sz w:val="16"/>
          <w:szCs w:val="16"/>
          <w:color w:val="auto"/>
        </w:rPr>
        <w:t xml:space="preserve"> regarding interest rate exposures related to borrowings under the Credit Agreement.</w:t>
      </w:r>
    </w:p>
    <w:p>
      <w:pPr>
        <w:spacing w:after="0" w:line="54" w:lineRule="exact"/>
        <w:rPr>
          <w:sz w:val="20"/>
          <w:szCs w:val="20"/>
          <w:color w:val="auto"/>
        </w:rPr>
      </w:pPr>
    </w:p>
    <w:p>
      <w:pPr>
        <w:ind w:firstLine="362"/>
        <w:spacing w:after="0" w:line="283" w:lineRule="auto"/>
        <w:rPr>
          <w:sz w:val="20"/>
          <w:szCs w:val="20"/>
          <w:color w:val="auto"/>
        </w:rPr>
      </w:pPr>
      <w:r>
        <w:rPr>
          <w:rFonts w:ascii="Arial" w:cs="Arial" w:eastAsia="Arial" w:hAnsi="Arial"/>
          <w:sz w:val="15"/>
          <w:szCs w:val="15"/>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43" w:lineRule="exact"/>
        <w:rPr>
          <w:sz w:val="20"/>
          <w:szCs w:val="20"/>
          <w:color w:val="auto"/>
        </w:rPr>
      </w:pPr>
    </w:p>
    <w:p>
      <w:pPr>
        <w:ind w:right="160" w:firstLine="362"/>
        <w:spacing w:after="0" w:line="261" w:lineRule="auto"/>
        <w:rPr>
          <w:sz w:val="20"/>
          <w:szCs w:val="20"/>
          <w:color w:val="auto"/>
        </w:rPr>
      </w:pPr>
      <w:r>
        <w:rPr>
          <w:rFonts w:ascii="Arial" w:cs="Arial" w:eastAsia="Arial" w:hAnsi="Arial"/>
          <w:sz w:val="16"/>
          <w:szCs w:val="16"/>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sectPr>
      </w:pPr>
    </w:p>
    <w:bookmarkStart w:id="40" w:name="page41"/>
    <w:bookmarkEnd w:id="40"/>
    <w:p>
      <w:pPr>
        <w:ind w:left="340"/>
        <w:spacing w:after="0"/>
        <w:rPr>
          <w:sz w:val="20"/>
          <w:szCs w:val="20"/>
          <w:color w:val="auto"/>
        </w:rPr>
      </w:pPr>
      <w:r>
        <w:rPr>
          <w:rFonts w:ascii="Arial" w:cs="Arial" w:eastAsia="Arial" w:hAnsi="Arial"/>
          <w:sz w:val="16"/>
          <w:szCs w:val="16"/>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59690</wp:posOffset>
            </wp:positionV>
            <wp:extent cx="5155565" cy="2275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Source: Quarterly averages computed by the Company using daily Midwest average prices provided by Platts.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67310</wp:posOffset>
            </wp:positionV>
            <wp:extent cx="5155565" cy="22752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Source: Quarterly averages computed by Tredegar using monthly NYMEX settlement prices.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volatility of average quarterly prices of polyethylene resin in the U.S. (a primary raw material for PE Films) is shown in the chart below.</w:t>
      </w: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62230</wp:posOffset>
            </wp:positionV>
            <wp:extent cx="717232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0119"/>
          </w:cols>
          <w:pgMar w:left="340" w:top="899"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579120</wp:posOffset>
            </wp:positionV>
            <wp:extent cx="5155565" cy="2275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right="920"/>
        <w:spacing w:after="0" w:line="237" w:lineRule="auto"/>
        <w:rPr>
          <w:sz w:val="20"/>
          <w:szCs w:val="20"/>
          <w:color w:val="auto"/>
        </w:rPr>
      </w:pPr>
      <w:r>
        <w:rPr>
          <w:rFonts w:ascii="Arial" w:cs="Arial" w:eastAsia="Arial" w:hAnsi="Arial"/>
          <w:sz w:val="11"/>
          <w:szCs w:val="11"/>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174" w:lineRule="exact"/>
        <w:rPr>
          <w:sz w:val="20"/>
          <w:szCs w:val="20"/>
          <w:color w:val="auto"/>
        </w:rPr>
      </w:pPr>
    </w:p>
    <w:p>
      <w:pPr>
        <w:ind w:firstLine="362"/>
        <w:spacing w:after="0" w:line="257" w:lineRule="auto"/>
        <w:rPr>
          <w:sz w:val="20"/>
          <w:szCs w:val="20"/>
          <w:color w:val="auto"/>
        </w:rPr>
      </w:pPr>
      <w:r>
        <w:rPr>
          <w:rFonts w:ascii="Arial" w:cs="Arial" w:eastAsia="Arial" w:hAnsi="Arial"/>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48" w:lineRule="exact"/>
        <w:rPr>
          <w:sz w:val="20"/>
          <w:szCs w:val="20"/>
          <w:color w:val="auto"/>
        </w:rPr>
      </w:pPr>
    </w:p>
    <w:p>
      <w:pPr>
        <w:ind w:firstLine="362"/>
        <w:spacing w:after="0" w:line="291" w:lineRule="auto"/>
        <w:rPr>
          <w:sz w:val="20"/>
          <w:szCs w:val="20"/>
          <w:color w:val="auto"/>
        </w:rPr>
      </w:pPr>
      <w:r>
        <w:rPr>
          <w:rFonts w:ascii="Arial" w:cs="Arial" w:eastAsia="Arial" w:hAnsi="Arial"/>
          <w:sz w:val="15"/>
          <w:szCs w:val="15"/>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579120</wp:posOffset>
            </wp:positionV>
            <wp:extent cx="5155565" cy="2275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Source: Quarterly averages computed by Tredegar using monthly data from CMAI Global Index data.</w:t>
      </w:r>
    </w:p>
    <w:p>
      <w:pPr>
        <w:spacing w:after="0" w:line="188" w:lineRule="exact"/>
        <w:rPr>
          <w:sz w:val="20"/>
          <w:szCs w:val="20"/>
          <w:color w:val="auto"/>
        </w:rPr>
      </w:pPr>
    </w:p>
    <w:p>
      <w:pPr>
        <w:ind w:firstLine="362"/>
        <w:spacing w:after="0" w:line="279" w:lineRule="auto"/>
        <w:rPr>
          <w:sz w:val="20"/>
          <w:szCs w:val="20"/>
          <w:color w:val="auto"/>
        </w:rPr>
      </w:pPr>
      <w:r>
        <w:rPr>
          <w:rFonts w:ascii="Arial" w:cs="Arial" w:eastAsia="Arial" w:hAnsi="Arial"/>
          <w:sz w:val="16"/>
          <w:szCs w:val="16"/>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5155565" cy="2374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555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1"/>
          <w:szCs w:val="11"/>
          <w:color w:val="auto"/>
        </w:rPr>
        <w:t>Source: Quarterly averages computed by Tredegar using monthly data from CMAI Global Index data.</w:t>
      </w:r>
    </w:p>
    <w:p>
      <w:pPr>
        <w:spacing w:after="0" w:line="176" w:lineRule="exact"/>
        <w:rPr>
          <w:sz w:val="20"/>
          <w:szCs w:val="20"/>
          <w:color w:val="auto"/>
        </w:rPr>
      </w:pPr>
    </w:p>
    <w:p>
      <w:pPr>
        <w:ind w:right="180" w:firstLine="362"/>
        <w:spacing w:after="0" w:line="279" w:lineRule="auto"/>
        <w:rPr>
          <w:sz w:val="20"/>
          <w:szCs w:val="20"/>
          <w:color w:val="auto"/>
        </w:rPr>
      </w:pPr>
      <w:r>
        <w:rPr>
          <w:rFonts w:ascii="Arial" w:cs="Arial" w:eastAsia="Arial" w:hAnsi="Arial"/>
          <w:sz w:val="16"/>
          <w:szCs w:val="16"/>
          <w:color w:val="auto"/>
        </w:rPr>
        <w:t>The Company sells to customers in foreign markets through its foreign operations and through exports from U.S. plants. The percentage of sales for manufacturing operations related to foreign markets for the first six months of 2021 and 2020 are as</w:t>
      </w: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Tredegar Corporation</w:t>
      </w:r>
    </w:p>
    <w:p>
      <w:pPr>
        <w:jc w:val="center"/>
        <w:spacing w:after="0"/>
        <w:rPr>
          <w:sz w:val="20"/>
          <w:szCs w:val="20"/>
          <w:color w:val="auto"/>
        </w:rPr>
      </w:pPr>
      <w:r>
        <w:rPr>
          <w:rFonts w:ascii="Arial" w:cs="Arial" w:eastAsia="Arial" w:hAnsi="Arial"/>
          <w:sz w:val="16"/>
          <w:szCs w:val="16"/>
          <w:color w:val="auto"/>
        </w:rPr>
        <w:t>Percentage of Net Sales Related to Foreign 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Six Months Ended June 30,</w:t>
            </w:r>
          </w:p>
        </w:tc>
        <w:tc>
          <w:tcPr>
            <w:tcW w:w="1260" w:type="dxa"/>
            <w:vAlign w:val="bottom"/>
            <w:tcBorders>
              <w:top w:val="single" w:sz="8" w:color="auto"/>
            </w:tcBorders>
          </w:tcPr>
          <w:p>
            <w:pPr>
              <w:spacing w:after="0"/>
              <w:rPr>
                <w:sz w:val="17"/>
                <w:szCs w:val="17"/>
                <w:color w:val="auto"/>
              </w:rPr>
            </w:pPr>
          </w:p>
        </w:tc>
      </w:tr>
      <w:tr>
        <w:trPr>
          <w:trHeight w:val="205"/>
        </w:trPr>
        <w:tc>
          <w:tcPr>
            <w:tcW w:w="48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2021</w:t>
            </w:r>
          </w:p>
        </w:tc>
        <w:tc>
          <w:tcPr>
            <w:tcW w:w="13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2020</w:t>
            </w:r>
          </w:p>
        </w:tc>
        <w:tc>
          <w:tcPr>
            <w:tcW w:w="1260" w:type="dxa"/>
            <w:vAlign w:val="bottom"/>
            <w:tcBorders>
              <w:bottom w:val="single" w:sz="8" w:color="auto"/>
            </w:tcBorders>
          </w:tcPr>
          <w:p>
            <w:pPr>
              <w:spacing w:after="0"/>
              <w:rPr>
                <w:sz w:val="17"/>
                <w:szCs w:val="17"/>
                <w:color w:val="auto"/>
              </w:rPr>
            </w:pPr>
          </w:p>
        </w:tc>
      </w:tr>
      <w:tr>
        <w:trPr>
          <w:trHeight w:val="149"/>
        </w:trPr>
        <w:tc>
          <w:tcPr>
            <w:tcW w:w="4880" w:type="dxa"/>
            <w:vAlign w:val="bottom"/>
          </w:tcPr>
          <w:p>
            <w:pPr>
              <w:spacing w:after="0"/>
              <w:rPr>
                <w:sz w:val="12"/>
                <w:szCs w:val="12"/>
                <w:color w:val="auto"/>
              </w:rPr>
            </w:pPr>
          </w:p>
        </w:tc>
        <w:tc>
          <w:tcPr>
            <w:tcW w:w="1140" w:type="dxa"/>
            <w:vAlign w:val="bottom"/>
          </w:tcPr>
          <w:p>
            <w:pPr>
              <w:jc w:val="center"/>
              <w:ind w:left="320"/>
              <w:spacing w:after="0" w:line="149" w:lineRule="exact"/>
              <w:rPr>
                <w:sz w:val="20"/>
                <w:szCs w:val="20"/>
                <w:color w:val="auto"/>
              </w:rPr>
            </w:pPr>
            <w:r>
              <w:rPr>
                <w:rFonts w:ascii="Arial" w:cs="Arial" w:eastAsia="Arial" w:hAnsi="Arial"/>
                <w:sz w:val="16"/>
                <w:szCs w:val="16"/>
                <w:color w:val="auto"/>
                <w:w w:val="92"/>
              </w:rPr>
              <w:t>Exports</w:t>
            </w:r>
          </w:p>
        </w:tc>
        <w:tc>
          <w:tcPr>
            <w:tcW w:w="740" w:type="dxa"/>
            <w:vAlign w:val="bottom"/>
          </w:tcPr>
          <w:p>
            <w:pPr>
              <w:spacing w:after="0"/>
              <w:rPr>
                <w:sz w:val="12"/>
                <w:szCs w:val="12"/>
                <w:color w:val="auto"/>
              </w:rPr>
            </w:pPr>
          </w:p>
        </w:tc>
        <w:tc>
          <w:tcPr>
            <w:tcW w:w="138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6"/>
                <w:szCs w:val="16"/>
                <w:color w:val="auto"/>
              </w:rPr>
              <w:t>Foreign</w:t>
            </w:r>
          </w:p>
        </w:tc>
        <w:tc>
          <w:tcPr>
            <w:tcW w:w="1860" w:type="dxa"/>
            <w:vAlign w:val="bottom"/>
          </w:tcPr>
          <w:p>
            <w:pPr>
              <w:jc w:val="right"/>
              <w:ind w:right="780"/>
              <w:spacing w:after="0" w:line="149" w:lineRule="exact"/>
              <w:rPr>
                <w:sz w:val="20"/>
                <w:szCs w:val="20"/>
                <w:color w:val="auto"/>
              </w:rPr>
            </w:pPr>
            <w:r>
              <w:rPr>
                <w:rFonts w:ascii="Arial" w:cs="Arial" w:eastAsia="Arial" w:hAnsi="Arial"/>
                <w:sz w:val="16"/>
                <w:szCs w:val="16"/>
                <w:color w:val="auto"/>
              </w:rPr>
              <w:t>Exports</w:t>
            </w:r>
          </w:p>
        </w:tc>
        <w:tc>
          <w:tcPr>
            <w:tcW w:w="1260" w:type="dxa"/>
            <w:vAlign w:val="bottom"/>
          </w:tcPr>
          <w:p>
            <w:pPr>
              <w:ind w:left="240"/>
              <w:spacing w:after="0" w:line="149" w:lineRule="exact"/>
              <w:rPr>
                <w:sz w:val="20"/>
                <w:szCs w:val="20"/>
                <w:color w:val="auto"/>
              </w:rPr>
            </w:pPr>
            <w:r>
              <w:rPr>
                <w:rFonts w:ascii="Arial" w:cs="Arial" w:eastAsia="Arial" w:hAnsi="Arial"/>
                <w:sz w:val="16"/>
                <w:szCs w:val="16"/>
                <w:color w:val="auto"/>
              </w:rPr>
              <w:t>Foreign</w:t>
            </w:r>
          </w:p>
        </w:tc>
      </w:tr>
      <w:tr>
        <w:trPr>
          <w:trHeight w:val="205"/>
        </w:trPr>
        <w:tc>
          <w:tcPr>
            <w:tcW w:w="4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color w:val="auto"/>
                <w:w w:val="93"/>
              </w:rPr>
              <w:t>From U.S.</w:t>
            </w: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Operations</w:t>
            </w:r>
          </w:p>
        </w:tc>
        <w:tc>
          <w:tcPr>
            <w:tcW w:w="186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From U.S.</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Operations</w:t>
            </w:r>
          </w:p>
        </w:tc>
      </w:tr>
      <w:tr>
        <w:trPr>
          <w:trHeight w:val="197"/>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7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3 %</w:t>
            </w:r>
          </w:p>
        </w:tc>
        <w:tc>
          <w:tcPr>
            <w:tcW w:w="1380" w:type="dxa"/>
            <w:vAlign w:val="bottom"/>
            <w:tcBorders>
              <w:right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2 %</w:t>
            </w:r>
          </w:p>
        </w:tc>
        <w:tc>
          <w:tcPr>
            <w:tcW w:w="126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7"/>
              </w:rPr>
              <w:t>— %</w:t>
            </w:r>
          </w:p>
        </w:tc>
      </w:tr>
      <w:tr>
        <w:trPr>
          <w:trHeight w:val="205"/>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Europe</w:t>
            </w:r>
          </w:p>
        </w:tc>
        <w:tc>
          <w:tcPr>
            <w:tcW w:w="740" w:type="dxa"/>
            <w:vAlign w:val="bottom"/>
          </w:tcPr>
          <w:p>
            <w:pPr>
              <w:jc w:val="right"/>
              <w:ind w:right="480"/>
              <w:spacing w:after="0"/>
              <w:rPr>
                <w:sz w:val="20"/>
                <w:szCs w:val="20"/>
                <w:color w:val="auto"/>
              </w:rPr>
            </w:pPr>
            <w:r>
              <w:rPr>
                <w:rFonts w:ascii="Arial" w:cs="Arial" w:eastAsia="Arial" w:hAnsi="Arial"/>
                <w:sz w:val="16"/>
                <w:szCs w:val="16"/>
                <w:color w:val="auto"/>
              </w:rPr>
              <w:t>1</w:t>
            </w:r>
          </w:p>
        </w:tc>
        <w:tc>
          <w:tcPr>
            <w:tcW w:w="1380" w:type="dxa"/>
            <w:vAlign w:val="bottom"/>
            <w:tcBorders>
              <w:right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80"/>
              <w:spacing w:after="0"/>
              <w:rPr>
                <w:sz w:val="20"/>
                <w:szCs w:val="20"/>
                <w:color w:val="auto"/>
              </w:rPr>
            </w:pPr>
            <w:r>
              <w:rPr>
                <w:rFonts w:ascii="Arial" w:cs="Arial" w:eastAsia="Arial" w:hAnsi="Arial"/>
                <w:sz w:val="16"/>
                <w:szCs w:val="16"/>
                <w:color w:val="auto"/>
              </w:rPr>
              <w:t>1</w:t>
            </w:r>
          </w:p>
        </w:tc>
        <w:tc>
          <w:tcPr>
            <w:tcW w:w="126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05"/>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74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1</w:t>
            </w:r>
          </w:p>
        </w:tc>
        <w:tc>
          <w:tcPr>
            <w:tcW w:w="1380" w:type="dxa"/>
            <w:vAlign w:val="bottom"/>
            <w:tcBorders>
              <w:right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13</w:t>
            </w:r>
          </w:p>
        </w:tc>
        <w:tc>
          <w:tcPr>
            <w:tcW w:w="186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12</w:t>
            </w:r>
          </w:p>
        </w:tc>
      </w:tr>
      <w:tr>
        <w:trPr>
          <w:trHeight w:val="205"/>
        </w:trPr>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Asia</w:t>
            </w:r>
          </w:p>
        </w:tc>
        <w:tc>
          <w:tcPr>
            <w:tcW w:w="7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8</w:t>
            </w:r>
          </w:p>
        </w:tc>
        <w:tc>
          <w:tcPr>
            <w:tcW w:w="138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12</w:t>
            </w:r>
          </w:p>
        </w:tc>
        <w:tc>
          <w:tcPr>
            <w:tcW w:w="12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r>
      <w:tr>
        <w:trPr>
          <w:trHeight w:val="201"/>
        </w:trPr>
        <w:tc>
          <w:tcPr>
            <w:tcW w:w="6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93"/>
              </w:rPr>
              <w:t>13 %</w:t>
            </w:r>
          </w:p>
        </w:tc>
        <w:tc>
          <w:tcPr>
            <w:tcW w:w="1380" w:type="dxa"/>
            <w:vAlign w:val="bottom"/>
            <w:tcBorders>
              <w:bottom w:val="single" w:sz="8" w:color="auto"/>
              <w:right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13 %</w:t>
            </w:r>
          </w:p>
        </w:tc>
        <w:tc>
          <w:tcPr>
            <w:tcW w:w="1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15 %</w:t>
            </w:r>
          </w:p>
        </w:tc>
        <w:tc>
          <w:tcPr>
            <w:tcW w:w="12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3"/>
              </w:rPr>
              <w:t>12 %</w:t>
            </w:r>
          </w:p>
        </w:tc>
      </w:tr>
      <w:tr>
        <w:trPr>
          <w:trHeight w:val="205"/>
        </w:trPr>
        <w:tc>
          <w:tcPr>
            <w:tcW w:w="6020" w:type="dxa"/>
            <w:vAlign w:val="bottom"/>
            <w:gridSpan w:val="2"/>
          </w:tcPr>
          <w:p>
            <w:pPr>
              <w:ind w:left="20"/>
              <w:spacing w:after="0"/>
              <w:rPr>
                <w:sz w:val="20"/>
                <w:szCs w:val="20"/>
                <w:color w:val="auto"/>
              </w:rPr>
            </w:pPr>
            <w:r>
              <w:rPr>
                <w:rFonts w:ascii="Arial" w:cs="Arial" w:eastAsia="Arial" w:hAnsi="Arial"/>
                <w:sz w:val="16"/>
                <w:szCs w:val="16"/>
                <w:color w:val="auto"/>
                <w:w w:val="96"/>
              </w:rPr>
              <w:t>* The percentages for foreign markets are relative to Tredegar’s consolidated net sales.</w:t>
            </w: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44" w:lineRule="exact"/>
        <w:rPr>
          <w:sz w:val="20"/>
          <w:szCs w:val="20"/>
          <w:color w:val="auto"/>
        </w:rPr>
      </w:pPr>
    </w:p>
    <w:p>
      <w:pPr>
        <w:ind w:right="320" w:firstLine="362"/>
        <w:spacing w:after="0" w:line="261" w:lineRule="auto"/>
        <w:rPr>
          <w:sz w:val="20"/>
          <w:szCs w:val="20"/>
          <w:color w:val="auto"/>
        </w:rPr>
      </w:pPr>
      <w:r>
        <w:rPr>
          <w:rFonts w:ascii="Arial" w:cs="Arial" w:eastAsia="Arial" w:hAnsi="Arial"/>
          <w:sz w:val="16"/>
          <w:szCs w:val="16"/>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56" w:lineRule="exact"/>
        <w:rPr>
          <w:sz w:val="20"/>
          <w:szCs w:val="20"/>
          <w:color w:val="auto"/>
        </w:rPr>
      </w:pPr>
    </w:p>
    <w:p>
      <w:pPr>
        <w:ind w:right="40" w:firstLine="362"/>
        <w:spacing w:after="0" w:line="256" w:lineRule="auto"/>
        <w:rPr>
          <w:sz w:val="20"/>
          <w:szCs w:val="20"/>
          <w:color w:val="auto"/>
        </w:rPr>
      </w:pPr>
      <w:r>
        <w:rPr>
          <w:rFonts w:ascii="Arial" w:cs="Arial" w:eastAsia="Arial" w:hAnsi="Arial"/>
          <w:sz w:val="16"/>
          <w:szCs w:val="16"/>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50" w:lineRule="exact"/>
        <w:rPr>
          <w:sz w:val="20"/>
          <w:szCs w:val="20"/>
          <w:color w:val="auto"/>
        </w:rPr>
      </w:pPr>
    </w:p>
    <w:p>
      <w:pPr>
        <w:ind w:right="80" w:firstLine="362"/>
        <w:spacing w:after="0" w:line="320" w:lineRule="auto"/>
        <w:rPr>
          <w:sz w:val="20"/>
          <w:szCs w:val="20"/>
          <w:color w:val="auto"/>
        </w:rPr>
      </w:pPr>
      <w:r>
        <w:rPr>
          <w:rFonts w:ascii="Arial" w:cs="Arial" w:eastAsia="Arial" w:hAnsi="Arial"/>
          <w:sz w:val="14"/>
          <w:szCs w:val="14"/>
          <w:color w:val="auto"/>
        </w:rPr>
        <w:t>The Company estimates annual net costs of R$119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20" w:lineRule="exact"/>
        <w:rPr>
          <w:sz w:val="20"/>
          <w:szCs w:val="20"/>
          <w:color w:val="auto"/>
        </w:rPr>
      </w:pPr>
    </w:p>
    <w:p>
      <w:pPr>
        <w:ind w:right="440" w:firstLine="362"/>
        <w:spacing w:after="0" w:line="314" w:lineRule="auto"/>
        <w:rPr>
          <w:sz w:val="20"/>
          <w:szCs w:val="20"/>
          <w:color w:val="auto"/>
        </w:rPr>
      </w:pPr>
      <w:r>
        <w:rPr>
          <w:rFonts w:ascii="Arial" w:cs="Arial" w:eastAsia="Arial" w:hAnsi="Arial"/>
          <w:sz w:val="15"/>
          <w:szCs w:val="15"/>
          <w:color w:val="auto"/>
        </w:rPr>
        <w:t>Tredegar estimates that the change in the value of foreign currencies relative to the U.S. Dollar for PE Films had an unfavorable impact on EBITDA from ongoing operations in PE Films of $0.2 million in both the second quarter and the first six months of 2021 compared with the same periods in the prior year.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44" w:name="page45"/>
    <w:bookmarkEnd w:id="44"/>
    <w:p>
      <w:pPr>
        <w:ind w:left="360"/>
        <w:spacing w:after="0"/>
        <w:rPr>
          <w:sz w:val="20"/>
          <w:szCs w:val="20"/>
          <w:color w:val="auto"/>
        </w:rPr>
      </w:pPr>
      <w:r>
        <w:rPr>
          <w:rFonts w:ascii="Arial" w:cs="Arial" w:eastAsia="Arial" w:hAnsi="Arial"/>
          <w:sz w:val="16"/>
          <w:szCs w:val="16"/>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5155565" cy="2275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1"/>
          <w:szCs w:val="11"/>
          <w:color w:val="auto"/>
        </w:rPr>
        <w:t>Source: Quarterly averages computed by Tredegar using daily closing data provided by Bloomberg.</w:t>
      </w:r>
    </w:p>
    <w:p>
      <w:pPr>
        <w:spacing w:after="0" w:line="200" w:lineRule="exact"/>
        <w:rPr>
          <w:sz w:val="20"/>
          <w:szCs w:val="20"/>
          <w:color w:val="auto"/>
        </w:rPr>
      </w:pPr>
    </w:p>
    <w:p>
      <w:pPr>
        <w:spacing w:after="0" w:line="274"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97" w:lineRule="exact"/>
        <w:rPr>
          <w:sz w:val="20"/>
          <w:szCs w:val="20"/>
          <w:color w:val="auto"/>
        </w:rPr>
      </w:pPr>
    </w:p>
    <w:p>
      <w:pPr>
        <w:ind w:right="260" w:firstLine="362"/>
        <w:spacing w:after="0" w:line="265" w:lineRule="auto"/>
        <w:rPr>
          <w:sz w:val="20"/>
          <w:szCs w:val="20"/>
          <w:color w:val="auto"/>
        </w:rPr>
      </w:pPr>
      <w:r>
        <w:rPr>
          <w:rFonts w:ascii="Arial" w:cs="Arial" w:eastAsia="Arial" w:hAnsi="Arial"/>
          <w:sz w:val="16"/>
          <w:szCs w:val="16"/>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w:t>
      </w:r>
    </w:p>
    <w:p>
      <w:pPr>
        <w:spacing w:after="0" w:line="42"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i w:val="1"/>
          <w:iCs w:val="1"/>
          <w:u w:val="single" w:color="auto"/>
          <w:color w:val="auto"/>
        </w:rPr>
        <w:t>Evaluation of Disclosure Controls and Procedures</w:t>
      </w:r>
    </w:p>
    <w:p>
      <w:pPr>
        <w:spacing w:after="0" w:line="93" w:lineRule="exact"/>
        <w:rPr>
          <w:sz w:val="20"/>
          <w:szCs w:val="20"/>
          <w:color w:val="auto"/>
        </w:rPr>
      </w:pPr>
    </w:p>
    <w:p>
      <w:pPr>
        <w:ind w:right="40" w:firstLine="362"/>
        <w:spacing w:after="0" w:line="261" w:lineRule="auto"/>
        <w:rPr>
          <w:sz w:val="20"/>
          <w:szCs w:val="20"/>
          <w:color w:val="auto"/>
        </w:rPr>
      </w:pPr>
      <w:r>
        <w:rPr>
          <w:rFonts w:ascii="Arial" w:cs="Arial" w:eastAsia="Arial" w:hAnsi="Arial"/>
          <w:sz w:val="16"/>
          <w:szCs w:val="16"/>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disclosure controls and procedures (as defined under Rule 13a-15(e) and 15d-15(e) under the Exchange Act) as of June 30, 2021.</w:t>
      </w:r>
    </w:p>
    <w:p>
      <w:pPr>
        <w:spacing w:after="0" w:line="56" w:lineRule="exact"/>
        <w:rPr>
          <w:sz w:val="20"/>
          <w:szCs w:val="20"/>
          <w:color w:val="auto"/>
        </w:rPr>
      </w:pPr>
    </w:p>
    <w:p>
      <w:pPr>
        <w:ind w:firstLine="362"/>
        <w:spacing w:after="0" w:line="258" w:lineRule="auto"/>
        <w:rPr>
          <w:sz w:val="20"/>
          <w:szCs w:val="20"/>
          <w:color w:val="auto"/>
        </w:rPr>
      </w:pPr>
      <w:r>
        <w:rPr>
          <w:rFonts w:ascii="Arial" w:cs="Arial" w:eastAsia="Arial" w:hAnsi="Arial"/>
          <w:sz w:val="16"/>
          <w:szCs w:val="16"/>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June 30, 2021,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49" w:lineRule="exact"/>
        <w:rPr>
          <w:sz w:val="20"/>
          <w:szCs w:val="20"/>
          <w:color w:val="auto"/>
        </w:rPr>
      </w:pPr>
    </w:p>
    <w:p>
      <w:pPr>
        <w:ind w:firstLine="362"/>
        <w:spacing w:after="0" w:line="283" w:lineRule="auto"/>
        <w:rPr>
          <w:sz w:val="20"/>
          <w:szCs w:val="20"/>
          <w:color w:val="auto"/>
        </w:rPr>
      </w:pPr>
      <w:r>
        <w:rPr>
          <w:rFonts w:ascii="Arial" w:cs="Arial" w:eastAsia="Arial" w:hAnsi="Arial"/>
          <w:sz w:val="15"/>
          <w:szCs w:val="15"/>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published financial statements for external purposes in accordance with GAAP and includes policies and procedures that:</w:t>
      </w:r>
    </w:p>
    <w:p>
      <w:pPr>
        <w:spacing w:after="0" w:line="43" w:lineRule="exact"/>
        <w:rPr>
          <w:sz w:val="20"/>
          <w:szCs w:val="20"/>
          <w:color w:val="auto"/>
        </w:rPr>
      </w:pPr>
    </w:p>
    <w:p>
      <w:pPr>
        <w:ind w:left="580" w:hanging="29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93" w:lineRule="exact"/>
        <w:rPr>
          <w:rFonts w:ascii="Arial" w:cs="Arial" w:eastAsia="Arial" w:hAnsi="Arial"/>
          <w:sz w:val="16"/>
          <w:szCs w:val="16"/>
          <w:color w:val="auto"/>
        </w:rPr>
      </w:pPr>
    </w:p>
    <w:p>
      <w:pPr>
        <w:ind w:left="580" w:right="580" w:hanging="294"/>
        <w:spacing w:after="0" w:line="314" w:lineRule="auto"/>
        <w:tabs>
          <w:tab w:leader="none" w:pos="576"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7" w:lineRule="exact"/>
        <w:rPr>
          <w:rFonts w:ascii="Arial" w:cs="Arial" w:eastAsia="Arial" w:hAnsi="Arial"/>
          <w:sz w:val="15"/>
          <w:szCs w:val="15"/>
          <w:color w:val="auto"/>
        </w:rPr>
      </w:pPr>
    </w:p>
    <w:p>
      <w:pPr>
        <w:ind w:left="580" w:right="400" w:hanging="294"/>
        <w:spacing w:after="0" w:line="27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5" w:name="page46"/>
    <w:bookmarkEnd w:id="45"/>
    <w:p>
      <w:pPr>
        <w:ind w:firstLine="362"/>
        <w:spacing w:after="0" w:line="291" w:lineRule="auto"/>
        <w:rPr>
          <w:sz w:val="20"/>
          <w:szCs w:val="20"/>
          <w:color w:val="auto"/>
        </w:rPr>
      </w:pPr>
      <w:r>
        <w:rPr>
          <w:rFonts w:ascii="Arial" w:cs="Arial" w:eastAsia="Arial" w:hAnsi="Arial"/>
          <w:sz w:val="15"/>
          <w:szCs w:val="15"/>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3" w:lineRule="exact"/>
        <w:rPr>
          <w:sz w:val="20"/>
          <w:szCs w:val="20"/>
          <w:color w:val="auto"/>
        </w:rPr>
      </w:pPr>
    </w:p>
    <w:p>
      <w:pPr>
        <w:ind w:right="300" w:firstLine="362"/>
        <w:spacing w:after="0" w:line="283" w:lineRule="auto"/>
        <w:rPr>
          <w:sz w:val="20"/>
          <w:szCs w:val="20"/>
          <w:color w:val="auto"/>
        </w:rPr>
      </w:pPr>
      <w:r>
        <w:rPr>
          <w:rFonts w:ascii="Arial" w:cs="Arial" w:eastAsia="Arial" w:hAnsi="Arial"/>
          <w:sz w:val="15"/>
          <w:szCs w:val="15"/>
          <w:color w:val="auto"/>
        </w:rPr>
        <w:t xml:space="preserve">Management conducted an evaluation of the effectiveness of the Company’s internal control over financial reporting as of December 31, 2020 using the criteria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5"/>
          <w:szCs w:val="15"/>
          <w:color w:val="auto"/>
        </w:rPr>
        <w:t>issued by the Committee of Sponsoring Organizations of the Treadway Commission (the “2013 COSO Framework”).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this evaluation, management concluded, as disclosed in the 2020 Form 10-K, that the Company’s internal control over financial reporting was not effective as of December 31, 2020, because of the material weaknesses in internal control over financial reporting discussed below.</w:t>
      </w:r>
    </w:p>
    <w:p>
      <w:pPr>
        <w:spacing w:after="0" w:line="43" w:lineRule="exact"/>
        <w:rPr>
          <w:sz w:val="20"/>
          <w:szCs w:val="20"/>
          <w:color w:val="auto"/>
        </w:rPr>
      </w:pPr>
    </w:p>
    <w:p>
      <w:pPr>
        <w:ind w:left="580" w:right="140" w:hanging="294"/>
        <w:spacing w:after="0" w:line="279"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Control Environment</w:t>
      </w:r>
      <w:r>
        <w:rPr>
          <w:rFonts w:ascii="Arial" w:cs="Arial" w:eastAsia="Arial" w:hAnsi="Arial"/>
          <w:sz w:val="16"/>
          <w:szCs w:val="16"/>
          <w:color w:val="auto"/>
        </w:rPr>
        <w:t>: The Company did not have a sufficient number of trained resources with assigned responsibility and accountability for the design, operation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documentation of internal control over financial reporting in accordance with the 2013 COSO Framework.</w:t>
      </w:r>
    </w:p>
    <w:p>
      <w:pPr>
        <w:spacing w:after="0" w:line="30" w:lineRule="exact"/>
        <w:rPr>
          <w:rFonts w:ascii="Arial" w:cs="Arial" w:eastAsia="Arial" w:hAnsi="Arial"/>
          <w:sz w:val="16"/>
          <w:szCs w:val="16"/>
          <w:color w:val="auto"/>
        </w:rPr>
      </w:pPr>
    </w:p>
    <w:p>
      <w:pPr>
        <w:ind w:left="580" w:hanging="294"/>
        <w:spacing w:after="0" w:line="265"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Risk Assessment</w:t>
      </w:r>
      <w:r>
        <w:rPr>
          <w:rFonts w:ascii="Arial" w:cs="Arial" w:eastAsia="Arial" w:hAnsi="Arial"/>
          <w:sz w:val="16"/>
          <w:szCs w:val="16"/>
          <w:color w:val="auto"/>
        </w:rPr>
        <w:t>: The Company did not have an effective risk assessment process that defined clear financial reporting objectives and evaluated risks,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fraud risks, and risks resulting from changes in the external environment and business operations, at a sufficient level of detail to identify all relevant risks of material misstatement across the entity.</w:t>
      </w:r>
    </w:p>
    <w:p>
      <w:pPr>
        <w:spacing w:after="0" w:line="54" w:lineRule="exact"/>
        <w:rPr>
          <w:rFonts w:ascii="Arial" w:cs="Arial" w:eastAsia="Arial" w:hAnsi="Arial"/>
          <w:sz w:val="16"/>
          <w:szCs w:val="16"/>
          <w:color w:val="auto"/>
        </w:rPr>
      </w:pPr>
    </w:p>
    <w:p>
      <w:pPr>
        <w:ind w:left="580" w:right="100" w:hanging="294"/>
        <w:spacing w:after="0" w:line="265"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Information and Communication</w:t>
      </w:r>
      <w:r>
        <w:rPr>
          <w:rFonts w:ascii="Arial" w:cs="Arial" w:eastAsia="Arial" w:hAnsi="Arial"/>
          <w:sz w:val="16"/>
          <w:szCs w:val="16"/>
          <w:color w:val="auto"/>
        </w:rPr>
        <w:t>: The Company did not have an effective information and communication process that identified and assessed the source 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controls necessary to ensure the reliability of information used in financial reporting and that communicates relevant information about roles and responsibilities for internal control over financial reporting.</w:t>
      </w:r>
    </w:p>
    <w:p>
      <w:pPr>
        <w:spacing w:after="0" w:line="54" w:lineRule="exact"/>
        <w:rPr>
          <w:rFonts w:ascii="Arial" w:cs="Arial" w:eastAsia="Arial" w:hAnsi="Arial"/>
          <w:sz w:val="16"/>
          <w:szCs w:val="16"/>
          <w:color w:val="auto"/>
        </w:rPr>
      </w:pPr>
    </w:p>
    <w:p>
      <w:pPr>
        <w:ind w:left="580" w:right="280" w:hanging="294"/>
        <w:spacing w:after="0" w:line="279"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Monitoring Activities</w:t>
      </w:r>
      <w:r>
        <w:rPr>
          <w:rFonts w:ascii="Arial" w:cs="Arial" w:eastAsia="Arial" w:hAnsi="Arial"/>
          <w:sz w:val="16"/>
          <w:szCs w:val="16"/>
          <w:color w:val="auto"/>
        </w:rPr>
        <w:t>: The Company did not have effective monitoring activities to assess the operation of internal control over financial reporting,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appropriateness of control design and level of documentation maintained to support control effectiveness.</w:t>
      </w:r>
    </w:p>
    <w:p>
      <w:pPr>
        <w:spacing w:after="0" w:line="30" w:lineRule="exact"/>
        <w:rPr>
          <w:rFonts w:ascii="Arial" w:cs="Arial" w:eastAsia="Arial" w:hAnsi="Arial"/>
          <w:sz w:val="16"/>
          <w:szCs w:val="16"/>
          <w:color w:val="auto"/>
        </w:rPr>
      </w:pPr>
    </w:p>
    <w:p>
      <w:pPr>
        <w:ind w:left="580" w:right="240" w:hanging="294"/>
        <w:spacing w:after="0" w:line="314" w:lineRule="auto"/>
        <w:tabs>
          <w:tab w:leader="none" w:pos="576"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Control Activities</w:t>
      </w:r>
      <w:r>
        <w:rPr>
          <w:rFonts w:ascii="Arial" w:cs="Arial" w:eastAsia="Arial" w:hAnsi="Arial"/>
          <w:sz w:val="15"/>
          <w:szCs w:val="15"/>
          <w:color w:val="auto"/>
        </w:rPr>
        <w:t>: As a consequence of the material weaknesses described above, internal control deficiencies related to the design and operation of process-level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controls and general information technology controls were determined to be pervasive throughout the Company’s financial reporting processes.</w:t>
      </w:r>
    </w:p>
    <w:p>
      <w:pPr>
        <w:spacing w:after="0" w:line="19" w:lineRule="exact"/>
        <w:rPr>
          <w:sz w:val="20"/>
          <w:szCs w:val="20"/>
          <w:color w:val="auto"/>
        </w:rPr>
      </w:pPr>
    </w:p>
    <w:p>
      <w:pPr>
        <w:jc w:val="both"/>
        <w:ind w:right="40" w:firstLine="362"/>
        <w:spacing w:after="0" w:line="261" w:lineRule="auto"/>
        <w:rPr>
          <w:sz w:val="20"/>
          <w:szCs w:val="20"/>
          <w:color w:val="auto"/>
        </w:rPr>
      </w:pPr>
      <w:r>
        <w:rPr>
          <w:rFonts w:ascii="Arial" w:cs="Arial" w:eastAsia="Arial" w:hAnsi="Arial"/>
          <w:sz w:val="16"/>
          <w:szCs w:val="16"/>
          <w:color w:val="auto"/>
        </w:rPr>
        <w:t>While these material weaknesses did not result in material misstatements of the Company’s financial statements as of and for the year ended December 31, 2020,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2020.</w:t>
      </w:r>
    </w:p>
    <w:p>
      <w:pPr>
        <w:spacing w:after="0" w:line="56" w:lineRule="exact"/>
        <w:rPr>
          <w:sz w:val="20"/>
          <w:szCs w:val="20"/>
          <w:color w:val="auto"/>
        </w:rPr>
      </w:pPr>
    </w:p>
    <w:p>
      <w:pPr>
        <w:ind w:right="80" w:firstLine="362"/>
        <w:spacing w:after="0" w:line="314" w:lineRule="auto"/>
        <w:rPr>
          <w:sz w:val="20"/>
          <w:szCs w:val="20"/>
          <w:color w:val="auto"/>
        </w:rPr>
      </w:pPr>
      <w:r>
        <w:rPr>
          <w:rFonts w:ascii="Arial" w:cs="Arial" w:eastAsia="Arial" w:hAnsi="Arial"/>
          <w:sz w:val="15"/>
          <w:szCs w:val="15"/>
          <w:color w:val="auto"/>
        </w:rPr>
        <w:t>The Company’s independent registered public accounting firm, KPMG LLP, which audited the 2020 consolidated financial statements included in the 2020 Form 10-K, expressed an adverse opinion on the operating effectiveness of the Company's internal control over financial reporting as of December 31, 2020.</w:t>
      </w:r>
    </w:p>
    <w:p>
      <w:pPr>
        <w:spacing w:after="0" w:line="7"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i w:val="1"/>
          <w:iCs w:val="1"/>
          <w:u w:val="single" w:color="auto"/>
          <w:color w:val="auto"/>
        </w:rPr>
        <w:t>Remediation Plan and Efforts to Address the Previously Identified Material Weaknesses</w:t>
      </w:r>
    </w:p>
    <w:p>
      <w:pPr>
        <w:spacing w:after="0" w:line="93" w:lineRule="exact"/>
        <w:rPr>
          <w:sz w:val="20"/>
          <w:szCs w:val="20"/>
          <w:color w:val="auto"/>
        </w:rPr>
      </w:pPr>
    </w:p>
    <w:p>
      <w:pPr>
        <w:ind w:right="160" w:firstLine="362"/>
        <w:spacing w:after="0" w:line="257" w:lineRule="auto"/>
        <w:rPr>
          <w:sz w:val="20"/>
          <w:szCs w:val="20"/>
          <w:color w:val="auto"/>
        </w:rPr>
      </w:pPr>
      <w:r>
        <w:rPr>
          <w:rFonts w:ascii="Arial" w:cs="Arial" w:eastAsia="Arial" w:hAnsi="Arial"/>
          <w:sz w:val="16"/>
          <w:szCs w:val="16"/>
          <w:color w:val="auto"/>
        </w:rPr>
        <w:t>The Company’s remediation efforts are ongoing, and it will continue its initiatives to implement and document policies and procedures, and strengthen the Company’s internal control environment. Remediation of the identified material weaknesses and strengthening the Company’s internal control environment has required a substantial effort since 2018, and those efforts have extended into 2021. The material weaknesses cannot be considered remediated until the applicable controls have operated for a sufficient period of time and management has concluded, through testing, that these controls are operating effectively. The Company expects such testing to begin in the second half of 2021 and continue through the filing of the 2021 Annual Report on Form 10-K; however, the Company continues to monitor the impact of the COVID-19 pandemic on its remediation plan.</w:t>
      </w:r>
    </w:p>
    <w:p>
      <w:pPr>
        <w:spacing w:after="0" w:line="60" w:lineRule="exact"/>
        <w:rPr>
          <w:sz w:val="20"/>
          <w:szCs w:val="20"/>
          <w:color w:val="auto"/>
        </w:rPr>
      </w:pPr>
    </w:p>
    <w:p>
      <w:pPr>
        <w:ind w:firstLine="362"/>
        <w:spacing w:after="0" w:line="261" w:lineRule="auto"/>
        <w:rPr>
          <w:sz w:val="20"/>
          <w:szCs w:val="20"/>
          <w:color w:val="auto"/>
        </w:rPr>
      </w:pPr>
      <w:r>
        <w:rPr>
          <w:rFonts w:ascii="Arial" w:cs="Arial" w:eastAsia="Arial" w:hAnsi="Arial"/>
          <w:sz w:val="16"/>
          <w:szCs w:val="16"/>
          <w:color w:val="auto"/>
        </w:rPr>
        <w:t>To remediate the material weaknesses described above, the Company, with the oversight of the Audit Committee of the Board of Directors, has been pursuing the six remediation steps as originally identified in the Company’s 2018 Annual Report on Form 10-K. Substantial progress has been made since the inception of the remediation plan that was designed with the assistance of managements outside consultant, an internationally recognized accounting firm, and monitored by the Audit Committee. To date, the Company has accomplished or made progress towards the following remediation steps:</w:t>
      </w:r>
    </w:p>
    <w:p>
      <w:pPr>
        <w:spacing w:after="0" w:line="44" w:lineRule="exact"/>
        <w:rPr>
          <w:sz w:val="20"/>
          <w:szCs w:val="20"/>
          <w:color w:val="auto"/>
        </w:rPr>
      </w:pPr>
    </w:p>
    <w:p>
      <w:pPr>
        <w:ind w:left="560" w:hanging="274"/>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Identified material processes and significant locations for the purpose of identifying risks of material misstatement to the Company’s financial statements.</w:t>
      </w:r>
    </w:p>
    <w:p>
      <w:pPr>
        <w:spacing w:after="0" w:line="200" w:lineRule="exact"/>
        <w:rPr>
          <w:rFonts w:ascii="Arial" w:cs="Arial" w:eastAsia="Arial" w:hAnsi="Arial"/>
          <w:sz w:val="15"/>
          <w:szCs w:val="15"/>
          <w:color w:val="auto"/>
        </w:rPr>
      </w:pPr>
    </w:p>
    <w:p>
      <w:pPr>
        <w:spacing w:after="0" w:line="315"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p>
      <w:pPr>
        <w:ind w:left="580" w:hanging="29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Documented significant elements of a comprehensive risk assessment and internal control gap analysis and commenced the validation thereof with key stakeholders.</w:t>
      </w:r>
    </w:p>
    <w:p>
      <w:pPr>
        <w:spacing w:after="0" w:line="104" w:lineRule="exact"/>
        <w:rPr>
          <w:rFonts w:ascii="Arial" w:cs="Arial" w:eastAsia="Arial" w:hAnsi="Arial"/>
          <w:sz w:val="14"/>
          <w:szCs w:val="14"/>
          <w:color w:val="auto"/>
        </w:rPr>
      </w:pPr>
    </w:p>
    <w:p>
      <w:pPr>
        <w:ind w:left="560" w:hanging="274"/>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Conducted interviews with relevant parties to ensure an understanding of the activities involved in the recording of transactions within material processes.</w:t>
      </w:r>
    </w:p>
    <w:p>
      <w:pPr>
        <w:spacing w:after="0" w:line="104" w:lineRule="exact"/>
        <w:rPr>
          <w:rFonts w:ascii="Arial" w:cs="Arial" w:eastAsia="Arial" w:hAnsi="Arial"/>
          <w:sz w:val="15"/>
          <w:szCs w:val="15"/>
          <w:color w:val="auto"/>
        </w:rPr>
      </w:pPr>
    </w:p>
    <w:p>
      <w:pPr>
        <w:ind w:left="580" w:right="260" w:hanging="294"/>
        <w:spacing w:after="0" w:line="26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Completed a comprehensive review and update, as necessary, of the documentation of relevant processes, policies and procedures, and design of relevant controls with respect to the Company’s internal control over financial reporting. With assistance from management’s outside consultant, the Company is in the process of making updates to processes, policies and procedures so that sufficient documentation will be available to evidence control implementation and operating effectiveness.</w:t>
      </w:r>
    </w:p>
    <w:p>
      <w:pPr>
        <w:spacing w:after="0" w:line="56" w:lineRule="exact"/>
        <w:rPr>
          <w:rFonts w:ascii="Arial" w:cs="Arial" w:eastAsia="Arial" w:hAnsi="Arial"/>
          <w:sz w:val="16"/>
          <w:szCs w:val="16"/>
          <w:color w:val="auto"/>
        </w:rPr>
      </w:pPr>
    </w:p>
    <w:p>
      <w:pPr>
        <w:ind w:left="580" w:right="280" w:hanging="294"/>
        <w:spacing w:after="0" w:line="314" w:lineRule="auto"/>
        <w:tabs>
          <w:tab w:leader="none" w:pos="571" w:val="left"/>
        </w:tabs>
        <w:numPr>
          <w:ilvl w:val="0"/>
          <w:numId w:val="22"/>
        </w:numPr>
        <w:rPr>
          <w:rFonts w:ascii="Arial" w:cs="Arial" w:eastAsia="Arial" w:hAnsi="Arial"/>
          <w:sz w:val="15"/>
          <w:szCs w:val="15"/>
          <w:color w:val="auto"/>
        </w:rPr>
      </w:pPr>
      <w:r>
        <w:rPr>
          <w:rFonts w:ascii="Arial" w:cs="Arial" w:eastAsia="Arial" w:hAnsi="Arial"/>
          <w:sz w:val="15"/>
          <w:szCs w:val="15"/>
          <w:color w:val="auto"/>
        </w:rPr>
        <w:t>Evaluated the Company’s monitoring activities to ensure the components of internal control under the 2013 COSO Framework would be present, functioning and able to be appropriately evidenced. Pursuant to this evaluation process, the Company is in the process of implementing certain enhanced controls.</w:t>
      </w:r>
    </w:p>
    <w:p>
      <w:pPr>
        <w:spacing w:after="0" w:line="7" w:lineRule="exact"/>
        <w:rPr>
          <w:rFonts w:ascii="Arial" w:cs="Arial" w:eastAsia="Arial" w:hAnsi="Arial"/>
          <w:sz w:val="15"/>
          <w:szCs w:val="15"/>
          <w:color w:val="auto"/>
        </w:rPr>
      </w:pPr>
    </w:p>
    <w:p>
      <w:pPr>
        <w:ind w:left="580" w:right="140" w:hanging="294"/>
        <w:spacing w:after="0" w:line="265" w:lineRule="auto"/>
        <w:tabs>
          <w:tab w:leader="none" w:pos="5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the assistance of management’s outside consultant, trained the Company’s current individual control owners with respect to control design and documentation requirements; however, the Company continues to recruit, hire, train and retain additional skilled and experienced management personnel to fill additional roles across the organization.</w:t>
      </w:r>
    </w:p>
    <w:p>
      <w:pPr>
        <w:spacing w:after="0" w:line="54" w:lineRule="exact"/>
        <w:rPr>
          <w:sz w:val="20"/>
          <w:szCs w:val="20"/>
          <w:color w:val="auto"/>
        </w:rPr>
      </w:pPr>
    </w:p>
    <w:p>
      <w:pPr>
        <w:ind w:right="40" w:firstLine="362"/>
        <w:spacing w:after="0" w:line="279" w:lineRule="auto"/>
        <w:rPr>
          <w:sz w:val="20"/>
          <w:szCs w:val="20"/>
          <w:color w:val="auto"/>
        </w:rPr>
      </w:pPr>
      <w:r>
        <w:rPr>
          <w:rFonts w:ascii="Arial" w:cs="Arial" w:eastAsia="Arial" w:hAnsi="Arial"/>
          <w:sz w:val="15"/>
          <w:szCs w:val="15"/>
          <w:color w:val="auto"/>
        </w:rPr>
        <w:t>The Company continues to work with its outside consultant to assist in completing the remediation plan. The Company believes that its remediation plan will be sufficient to remediate the identified material weaknesses and strengthen its internal control over financial reporting. As the Company continues to evaluate, and works to improve, its internal control over financial reporting, management may determine that additional measures to address control deficiencies or modifications to the remediation plan are necessary. The Company cannot assure you, however, when it will remediate such weaknesses, nor can it be certain whether additional actions will be required or the costs of any such actions. Moreover, the Company cannot assure you that additional material weaknesses will not arise in the future.</w:t>
      </w:r>
    </w:p>
    <w:p>
      <w:pPr>
        <w:spacing w:after="0" w:line="47"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i w:val="1"/>
          <w:iCs w:val="1"/>
          <w:u w:val="single" w:color="auto"/>
          <w:color w:val="auto"/>
        </w:rPr>
        <w:t>Changes in Internal Control Over Financial Reporting</w:t>
      </w:r>
    </w:p>
    <w:p>
      <w:pPr>
        <w:spacing w:after="0" w:line="81" w:lineRule="exact"/>
        <w:rPr>
          <w:sz w:val="20"/>
          <w:szCs w:val="20"/>
          <w:color w:val="auto"/>
        </w:rPr>
      </w:pPr>
    </w:p>
    <w:p>
      <w:pPr>
        <w:ind w:firstLine="362"/>
        <w:spacing w:after="0" w:line="279" w:lineRule="auto"/>
        <w:rPr>
          <w:sz w:val="20"/>
          <w:szCs w:val="20"/>
          <w:color w:val="auto"/>
        </w:rPr>
      </w:pPr>
      <w:r>
        <w:rPr>
          <w:rFonts w:ascii="Arial" w:cs="Arial" w:eastAsia="Arial" w:hAnsi="Arial"/>
          <w:sz w:val="15"/>
          <w:szCs w:val="15"/>
          <w:color w:val="auto"/>
        </w:rPr>
        <w:t>The Company is in the process of implementing certain changes in its internal controls to remediate the material weaknesses described above. The implementation of the material aspects of this plan began in the second quarter of 2019. During the quarter ended June 30, 2021, the Company, with the assistance of its outside consultant, has made progress in its remediation plan by substantially completing the design of controls, while continuing to update processes, policies, and procedures. Except as noted above with respect to the implementation of the remediation plan, there has been no change in the Company’s internal control over financial reporting during the quarter ended June 30, 2021, that has materially affected, or is reasonably likely to materially affect, its internal control over financial reporting.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9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85" w:lineRule="exact"/>
        <w:rPr>
          <w:sz w:val="20"/>
          <w:szCs w:val="20"/>
          <w:color w:val="auto"/>
        </w:rPr>
      </w:pPr>
    </w:p>
    <w:p>
      <w:pPr>
        <w:ind w:right="160" w:firstLine="362"/>
        <w:spacing w:after="0" w:line="347" w:lineRule="auto"/>
        <w:rPr>
          <w:sz w:val="20"/>
          <w:szCs w:val="20"/>
          <w:color w:val="auto"/>
        </w:rPr>
      </w:pPr>
      <w:r>
        <w:rPr>
          <w:rFonts w:ascii="Arial" w:cs="Arial" w:eastAsia="Arial" w:hAnsi="Arial"/>
          <w:sz w:val="14"/>
          <w:szCs w:val="14"/>
          <w:color w:val="auto"/>
        </w:rPr>
        <w:t>As disclosed in “Item 1A. Risk Factors” in the 2020 Form 10-K, there are a number of risks and uncertainties that can have a material effect on the operating results of our businesses and our financial condition. There are no additional material updates or changes to our risk factors previously disclosed in the 2020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660" w:type="dxa"/>
            <w:vAlign w:val="bottom"/>
            <w:gridSpan w:val="12"/>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24"/>
        </w:trPr>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9"/>
        </w:trPr>
        <w:tc>
          <w:tcPr>
            <w:tcW w:w="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10.1</w:t>
            </w:r>
          </w:p>
        </w:tc>
        <w:tc>
          <w:tcPr>
            <w:tcW w:w="620" w:type="dxa"/>
            <w:vAlign w:val="bottom"/>
            <w:shd w:val="clear" w:color="auto" w:fill="CCEEFF"/>
          </w:tcPr>
          <w:p>
            <w:pPr>
              <w:spacing w:after="0"/>
              <w:rPr>
                <w:sz w:val="14"/>
                <w:szCs w:val="14"/>
                <w:color w:val="auto"/>
              </w:rPr>
            </w:pPr>
          </w:p>
        </w:tc>
        <w:tc>
          <w:tcPr>
            <w:tcW w:w="10040" w:type="dxa"/>
            <w:vAlign w:val="bottom"/>
            <w:gridSpan w:val="11"/>
            <w:shd w:val="clear" w:color="auto" w:fill="CCEEFF"/>
          </w:tcPr>
          <w:p>
            <w:pPr>
              <w:spacing w:after="0" w:line="169" w:lineRule="exact"/>
              <w:rPr>
                <w:rFonts w:ascii="Arial" w:cs="Arial" w:eastAsia="Arial" w:hAnsi="Arial"/>
                <w:sz w:val="16"/>
                <w:szCs w:val="16"/>
                <w:color w:val="0000FF"/>
                <w:w w:val="92"/>
              </w:rPr>
            </w:pPr>
            <w:hyperlink r:id="rId79">
              <w:r>
                <w:rPr>
                  <w:rFonts w:ascii="Arial" w:cs="Arial" w:eastAsia="Arial" w:hAnsi="Arial"/>
                  <w:sz w:val="16"/>
                  <w:szCs w:val="16"/>
                  <w:color w:val="0000FF"/>
                  <w:w w:val="92"/>
                </w:rPr>
                <w:t>Tredegar Corporation 2018 Equity Incentive Plan, as amended and restated (filed as Annex A to Tredegar's Definitive Proxy Statement on Schedule 14A</w:t>
              </w:r>
            </w:hyperlink>
          </w:p>
        </w:tc>
      </w:tr>
      <w:tr>
        <w:trPr>
          <w:trHeight w:val="137"/>
        </w:trPr>
        <w:tc>
          <w:tcPr>
            <w:tcW w:w="5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9840" w:type="dxa"/>
            <w:vAlign w:val="bottom"/>
            <w:tcBorders>
              <w:top w:val="single" w:sz="8" w:color="0000FF"/>
            </w:tcBorders>
            <w:gridSpan w:val="8"/>
            <w:shd w:val="clear" w:color="auto" w:fill="CCEEFF"/>
          </w:tcPr>
          <w:p>
            <w:pPr>
              <w:spacing w:after="0" w:line="137" w:lineRule="exact"/>
              <w:rPr>
                <w:rFonts w:ascii="Arial" w:cs="Arial" w:eastAsia="Arial" w:hAnsi="Arial"/>
                <w:sz w:val="15"/>
                <w:szCs w:val="15"/>
                <w:color w:val="0000FF"/>
              </w:rPr>
            </w:pPr>
            <w:hyperlink r:id="rId79">
              <w:r>
                <w:rPr>
                  <w:rFonts w:ascii="Arial" w:cs="Arial" w:eastAsia="Arial" w:hAnsi="Arial"/>
                  <w:sz w:val="15"/>
                  <w:szCs w:val="15"/>
                  <w:color w:val="0000FF"/>
                </w:rPr>
                <w:t>(File no. 1-10258) filed with the Commission on March 25, 2021).</w:t>
              </w:r>
            </w:hyperlink>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36"/>
        </w:trPr>
        <w:tc>
          <w:tcPr>
            <w:tcW w:w="5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12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69"/>
        </w:trPr>
        <w:tc>
          <w:tcPr>
            <w:tcW w:w="56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620" w:type="dxa"/>
            <w:vAlign w:val="bottom"/>
          </w:tcPr>
          <w:p>
            <w:pPr>
              <w:spacing w:after="0"/>
              <w:rPr>
                <w:sz w:val="14"/>
                <w:szCs w:val="14"/>
                <w:color w:val="auto"/>
              </w:rPr>
            </w:pPr>
          </w:p>
        </w:tc>
        <w:tc>
          <w:tcPr>
            <w:tcW w:w="10040" w:type="dxa"/>
            <w:vAlign w:val="bottom"/>
            <w:gridSpan w:val="11"/>
          </w:tcPr>
          <w:p>
            <w:pPr>
              <w:spacing w:after="0" w:line="169" w:lineRule="exact"/>
              <w:rPr>
                <w:rFonts w:ascii="Arial" w:cs="Arial" w:eastAsia="Arial" w:hAnsi="Arial"/>
                <w:sz w:val="16"/>
                <w:szCs w:val="16"/>
                <w:color w:val="0000FF"/>
                <w:w w:val="97"/>
              </w:rPr>
            </w:pPr>
            <w:hyperlink w:anchor="page49">
              <w:r>
                <w:rPr>
                  <w:rFonts w:ascii="Arial" w:cs="Arial" w:eastAsia="Arial" w:hAnsi="Arial"/>
                  <w:sz w:val="16"/>
                  <w:szCs w:val="16"/>
                  <w:color w:val="0000FF"/>
                  <w:w w:val="97"/>
                </w:rPr>
                <w:t>Certification of President and Chief Executive Officer of Tredegar Corporation, pursuant to Rules 13a-14(a) and 15d-14(a) promulgated under the</w:t>
              </w:r>
            </w:hyperlink>
          </w:p>
        </w:tc>
      </w:tr>
      <w:tr>
        <w:trPr>
          <w:trHeight w:val="145"/>
        </w:trPr>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780" w:type="dxa"/>
            <w:vAlign w:val="bottom"/>
            <w:tcBorders>
              <w:top w:val="single" w:sz="8" w:color="0000FF"/>
              <w:bottom w:val="single" w:sz="8" w:color="0000FF"/>
            </w:tcBorders>
            <w:gridSpan w:val="4"/>
          </w:tcPr>
          <w:p>
            <w:pPr>
              <w:spacing w:after="0" w:line="137" w:lineRule="exact"/>
              <w:rPr>
                <w:rFonts w:ascii="Arial" w:cs="Arial" w:eastAsia="Arial" w:hAnsi="Arial"/>
                <w:sz w:val="15"/>
                <w:szCs w:val="15"/>
                <w:color w:val="0000FF"/>
                <w:w w:val="96"/>
              </w:rPr>
            </w:pPr>
            <w:hyperlink w:anchor="page49">
              <w:r>
                <w:rPr>
                  <w:rFonts w:ascii="Arial" w:cs="Arial" w:eastAsia="Arial" w:hAnsi="Arial"/>
                  <w:sz w:val="15"/>
                  <w:szCs w:val="15"/>
                  <w:color w:val="0000FF"/>
                  <w:w w:val="96"/>
                </w:rPr>
                <w:t>Securities Exchange Act of 1934, as adopted pursuant to Section 302 of the Sarbanes-Oxley Act of 2002.</w:t>
              </w:r>
            </w:hyperlink>
          </w:p>
        </w:tc>
        <w:tc>
          <w:tcPr>
            <w:tcW w:w="2620" w:type="dxa"/>
            <w:vAlign w:val="bottom"/>
            <w:tcBorders>
              <w:top w:val="single" w:sz="8" w:color="0000FF"/>
            </w:tcBorders>
            <w:gridSpan w:val="2"/>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5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31.2</w:t>
            </w:r>
          </w:p>
        </w:tc>
        <w:tc>
          <w:tcPr>
            <w:tcW w:w="620" w:type="dxa"/>
            <w:vAlign w:val="bottom"/>
            <w:shd w:val="clear" w:color="auto" w:fill="CCEEFF"/>
          </w:tcPr>
          <w:p>
            <w:pPr>
              <w:spacing w:after="0"/>
              <w:rPr>
                <w:sz w:val="15"/>
                <w:szCs w:val="15"/>
                <w:color w:val="auto"/>
              </w:rPr>
            </w:pPr>
          </w:p>
        </w:tc>
        <w:tc>
          <w:tcPr>
            <w:tcW w:w="10040" w:type="dxa"/>
            <w:vAlign w:val="bottom"/>
            <w:gridSpan w:val="11"/>
            <w:shd w:val="clear" w:color="auto" w:fill="CCEEFF"/>
          </w:tcPr>
          <w:p>
            <w:pPr>
              <w:spacing w:after="0" w:line="177" w:lineRule="exact"/>
              <w:rPr>
                <w:rFonts w:ascii="Arial" w:cs="Arial" w:eastAsia="Arial" w:hAnsi="Arial"/>
                <w:sz w:val="16"/>
                <w:szCs w:val="16"/>
                <w:color w:val="0000FF"/>
                <w:w w:val="94"/>
              </w:rPr>
            </w:pPr>
            <w:hyperlink w:anchor="page50">
              <w:r>
                <w:rPr>
                  <w:rFonts w:ascii="Arial" w:cs="Arial" w:eastAsia="Arial" w:hAnsi="Arial"/>
                  <w:sz w:val="16"/>
                  <w:szCs w:val="16"/>
                  <w:color w:val="0000FF"/>
                  <w:w w:val="94"/>
                </w:rPr>
                <w:t>Certification of Executive Vice President and Chief Financial Officer of Tredegar Corporation, pursuant to Rules 13a-14(a) and 15d-14(a) promulgated</w:t>
              </w:r>
            </w:hyperlink>
          </w:p>
        </w:tc>
      </w:tr>
      <w:tr>
        <w:trPr>
          <w:trHeight w:val="153"/>
        </w:trPr>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7420" w:type="dxa"/>
            <w:vAlign w:val="bottom"/>
            <w:tcBorders>
              <w:top w:val="single" w:sz="8" w:color="0000FF"/>
              <w:bottom w:val="single" w:sz="8" w:color="0000FF"/>
            </w:tcBorders>
            <w:gridSpan w:val="5"/>
            <w:shd w:val="clear" w:color="auto" w:fill="CCEEFF"/>
          </w:tcPr>
          <w:p>
            <w:pPr>
              <w:spacing w:after="0" w:line="137" w:lineRule="exact"/>
              <w:rPr>
                <w:rFonts w:ascii="Arial" w:cs="Arial" w:eastAsia="Arial" w:hAnsi="Arial"/>
                <w:sz w:val="15"/>
                <w:szCs w:val="15"/>
                <w:color w:val="0000FF"/>
                <w:w w:val="96"/>
              </w:rPr>
            </w:pPr>
            <w:hyperlink w:anchor="page50">
              <w:r>
                <w:rPr>
                  <w:rFonts w:ascii="Arial" w:cs="Arial" w:eastAsia="Arial" w:hAnsi="Arial"/>
                  <w:sz w:val="15"/>
                  <w:szCs w:val="15"/>
                  <w:color w:val="0000FF"/>
                  <w:w w:val="96"/>
                </w:rPr>
                <w:t>under the Securities Exchange Act of 1934, as adopted pursuant to Section 302 of the Sarbanes-Oxley Act of 2002.</w:t>
              </w:r>
            </w:hyperlink>
          </w:p>
        </w:tc>
        <w:tc>
          <w:tcPr>
            <w:tcW w:w="232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5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620" w:type="dxa"/>
            <w:vAlign w:val="bottom"/>
          </w:tcPr>
          <w:p>
            <w:pPr>
              <w:spacing w:after="0"/>
              <w:rPr>
                <w:sz w:val="14"/>
                <w:szCs w:val="14"/>
                <w:color w:val="auto"/>
              </w:rPr>
            </w:pPr>
          </w:p>
        </w:tc>
        <w:tc>
          <w:tcPr>
            <w:tcW w:w="10040" w:type="dxa"/>
            <w:vAlign w:val="bottom"/>
            <w:gridSpan w:val="11"/>
          </w:tcPr>
          <w:p>
            <w:pPr>
              <w:spacing w:after="0" w:line="169" w:lineRule="exact"/>
              <w:rPr>
                <w:rFonts w:ascii="Arial" w:cs="Arial" w:eastAsia="Arial" w:hAnsi="Arial"/>
                <w:sz w:val="16"/>
                <w:szCs w:val="16"/>
                <w:color w:val="0000FF"/>
                <w:w w:val="92"/>
              </w:rPr>
            </w:pPr>
            <w:hyperlink w:anchor="page51">
              <w:r>
                <w:rPr>
                  <w:rFonts w:ascii="Arial" w:cs="Arial" w:eastAsia="Arial" w:hAnsi="Arial"/>
                  <w:sz w:val="16"/>
                  <w:szCs w:val="16"/>
                  <w:color w:val="0000FF"/>
                  <w:w w:val="92"/>
                </w:rPr>
                <w:t>Certification of President and Chief Executive Officer of Tredegar Corporation, pursuant to 18 U.S.C. Section 1350, as adopted pursuant to Section 906 of</w:t>
              </w:r>
            </w:hyperlink>
          </w:p>
        </w:tc>
      </w:tr>
      <w:tr>
        <w:trPr>
          <w:trHeight w:val="145"/>
        </w:trPr>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Borders>
              <w:top w:val="single" w:sz="8" w:color="0000FF"/>
              <w:bottom w:val="single" w:sz="8" w:color="0000FF"/>
            </w:tcBorders>
          </w:tcPr>
          <w:p>
            <w:pPr>
              <w:spacing w:after="0" w:line="137" w:lineRule="exact"/>
              <w:rPr>
                <w:rFonts w:ascii="Arial" w:cs="Arial" w:eastAsia="Arial" w:hAnsi="Arial"/>
                <w:sz w:val="15"/>
                <w:szCs w:val="15"/>
                <w:color w:val="0000FF"/>
                <w:w w:val="96"/>
              </w:rPr>
            </w:pPr>
            <w:hyperlink w:anchor="page51">
              <w:r>
                <w:rPr>
                  <w:rFonts w:ascii="Arial" w:cs="Arial" w:eastAsia="Arial" w:hAnsi="Arial"/>
                  <w:sz w:val="15"/>
                  <w:szCs w:val="15"/>
                  <w:color w:val="0000FF"/>
                  <w:w w:val="96"/>
                </w:rPr>
                <w:t>the Sarbanes-Oxley Act of 2002.</w:t>
              </w:r>
            </w:hyperlink>
          </w:p>
        </w:tc>
        <w:tc>
          <w:tcPr>
            <w:tcW w:w="7840" w:type="dxa"/>
            <w:vAlign w:val="bottom"/>
            <w:tcBorders>
              <w:top w:val="single" w:sz="8" w:color="0000FF"/>
            </w:tcBorders>
            <w:gridSpan w:val="9"/>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5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32.2</w:t>
            </w:r>
          </w:p>
        </w:tc>
        <w:tc>
          <w:tcPr>
            <w:tcW w:w="620" w:type="dxa"/>
            <w:vAlign w:val="bottom"/>
            <w:shd w:val="clear" w:color="auto" w:fill="CCEEFF"/>
          </w:tcPr>
          <w:p>
            <w:pPr>
              <w:spacing w:after="0"/>
              <w:rPr>
                <w:sz w:val="15"/>
                <w:szCs w:val="15"/>
                <w:color w:val="auto"/>
              </w:rPr>
            </w:pPr>
          </w:p>
        </w:tc>
        <w:tc>
          <w:tcPr>
            <w:tcW w:w="10040" w:type="dxa"/>
            <w:vAlign w:val="bottom"/>
            <w:gridSpan w:val="11"/>
            <w:shd w:val="clear" w:color="auto" w:fill="CCEEFF"/>
          </w:tcPr>
          <w:p>
            <w:pPr>
              <w:spacing w:after="0" w:line="177" w:lineRule="exact"/>
              <w:rPr>
                <w:rFonts w:ascii="Arial" w:cs="Arial" w:eastAsia="Arial" w:hAnsi="Arial"/>
                <w:sz w:val="16"/>
                <w:szCs w:val="16"/>
                <w:color w:val="0000FF"/>
                <w:w w:val="92"/>
              </w:rPr>
            </w:pPr>
            <w:hyperlink w:anchor="page52">
              <w:r>
                <w:rPr>
                  <w:rFonts w:ascii="Arial" w:cs="Arial" w:eastAsia="Arial" w:hAnsi="Arial"/>
                  <w:sz w:val="16"/>
                  <w:szCs w:val="16"/>
                  <w:color w:val="0000FF"/>
                  <w:w w:val="92"/>
                </w:rPr>
                <w:t>Certification of Executive Vice President and Chief Financial Officer of Tredegar Corporation, pursuant to 18 U.S.C. Section 1350, as adopted pursuant to</w:t>
              </w:r>
            </w:hyperlink>
          </w:p>
        </w:tc>
      </w:tr>
      <w:tr>
        <w:trPr>
          <w:trHeight w:val="153"/>
        </w:trPr>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100" w:type="dxa"/>
            <w:vAlign w:val="bottom"/>
            <w:tcBorders>
              <w:top w:val="single" w:sz="8" w:color="0000FF"/>
              <w:bottom w:val="single" w:sz="8" w:color="0000FF"/>
            </w:tcBorders>
            <w:gridSpan w:val="2"/>
            <w:shd w:val="clear" w:color="auto" w:fill="CCEEFF"/>
          </w:tcPr>
          <w:p>
            <w:pPr>
              <w:spacing w:after="0" w:line="137" w:lineRule="exact"/>
              <w:rPr>
                <w:rFonts w:ascii="Arial" w:cs="Arial" w:eastAsia="Arial" w:hAnsi="Arial"/>
                <w:sz w:val="15"/>
                <w:szCs w:val="15"/>
                <w:color w:val="0000FF"/>
                <w:w w:val="97"/>
              </w:rPr>
            </w:pPr>
            <w:hyperlink w:anchor="page52">
              <w:r>
                <w:rPr>
                  <w:rFonts w:ascii="Arial" w:cs="Arial" w:eastAsia="Arial" w:hAnsi="Arial"/>
                  <w:sz w:val="15"/>
                  <w:szCs w:val="15"/>
                  <w:color w:val="0000FF"/>
                  <w:w w:val="97"/>
                </w:rPr>
                <w:t>Section 906 of the Sarbanes-Oxley Act of 2002.</w:t>
              </w:r>
            </w:hyperlink>
          </w:p>
        </w:tc>
        <w:tc>
          <w:tcPr>
            <w:tcW w:w="684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205"/>
        </w:trPr>
        <w:tc>
          <w:tcPr>
            <w:tcW w:w="560" w:type="dxa"/>
            <w:vAlign w:val="bottom"/>
          </w:tcPr>
          <w:p>
            <w:pPr>
              <w:ind w:left="20"/>
              <w:spacing w:after="0"/>
              <w:rPr>
                <w:sz w:val="20"/>
                <w:szCs w:val="20"/>
                <w:color w:val="auto"/>
              </w:rPr>
            </w:pPr>
            <w:r>
              <w:rPr>
                <w:rFonts w:ascii="Arial" w:cs="Arial" w:eastAsia="Arial" w:hAnsi="Arial"/>
                <w:sz w:val="16"/>
                <w:szCs w:val="16"/>
                <w:color w:val="auto"/>
              </w:rPr>
              <w:t>101</w:t>
            </w:r>
          </w:p>
        </w:tc>
        <w:tc>
          <w:tcPr>
            <w:tcW w:w="620" w:type="dxa"/>
            <w:vAlign w:val="bottom"/>
          </w:tcPr>
          <w:p>
            <w:pPr>
              <w:spacing w:after="0"/>
              <w:rPr>
                <w:sz w:val="17"/>
                <w:szCs w:val="17"/>
                <w:color w:val="auto"/>
              </w:rPr>
            </w:pPr>
          </w:p>
        </w:tc>
        <w:tc>
          <w:tcPr>
            <w:tcW w:w="10040" w:type="dxa"/>
            <w:vAlign w:val="bottom"/>
            <w:gridSpan w:val="11"/>
          </w:tcPr>
          <w:p>
            <w:pPr>
              <w:spacing w:after="0"/>
              <w:rPr>
                <w:sz w:val="20"/>
                <w:szCs w:val="20"/>
                <w:color w:val="auto"/>
              </w:rPr>
            </w:pPr>
            <w:r>
              <w:rPr>
                <w:rFonts w:ascii="Arial" w:cs="Arial" w:eastAsia="Arial" w:hAnsi="Arial"/>
                <w:sz w:val="16"/>
                <w:szCs w:val="16"/>
                <w:color w:val="auto"/>
              </w:rPr>
              <w:t>XBRL Instance Document and Related Items.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24065" cy="130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24065" cy="130175"/>
                    </a:xfrm>
                    <a:prstGeom prst="rect">
                      <a:avLst/>
                    </a:prstGeom>
                    <a:noFill/>
                  </pic:spPr>
                </pic:pic>
              </a:graphicData>
            </a:graphic>
          </wp:anchor>
        </w:drawing>
      </w:r>
    </w:p>
    <w:p>
      <w:pPr>
        <w:ind w:left="1180" w:hanging="1167"/>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SIGNATURES</w:t>
      </w:r>
    </w:p>
    <w:p>
      <w:pPr>
        <w:spacing w:after="0" w:line="85" w:lineRule="exact"/>
        <w:rPr>
          <w:sz w:val="20"/>
          <w:szCs w:val="20"/>
          <w:color w:val="auto"/>
        </w:rPr>
      </w:pPr>
    </w:p>
    <w:p>
      <w:pPr>
        <w:ind w:right="160" w:firstLine="39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Tredegar Corporation</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(Registrant)</w:t>
            </w:r>
          </w:p>
        </w:tc>
      </w:tr>
      <w:tr>
        <w:trPr>
          <w:trHeight w:val="446"/>
        </w:trPr>
        <w:tc>
          <w:tcPr>
            <w:tcW w:w="440" w:type="dxa"/>
            <w:vAlign w:val="bottom"/>
          </w:tcPr>
          <w:p>
            <w:pPr>
              <w:spacing w:after="0"/>
              <w:rPr>
                <w:sz w:val="20"/>
                <w:szCs w:val="20"/>
                <w:color w:val="auto"/>
              </w:rPr>
            </w:pPr>
            <w:r>
              <w:rPr>
                <w:rFonts w:ascii="Arial" w:cs="Arial" w:eastAsia="Arial" w:hAnsi="Arial"/>
                <w:sz w:val="16"/>
                <w:szCs w:val="16"/>
                <w:color w:val="auto"/>
              </w:rPr>
              <w:t>Date:</w:t>
            </w:r>
          </w:p>
        </w:tc>
        <w:tc>
          <w:tcPr>
            <w:tcW w:w="5340" w:type="dxa"/>
            <w:vAlign w:val="bottom"/>
            <w:gridSpan w:val="2"/>
          </w:tcPr>
          <w:p>
            <w:pPr>
              <w:ind w:left="420"/>
              <w:spacing w:after="0"/>
              <w:rPr>
                <w:sz w:val="20"/>
                <w:szCs w:val="20"/>
                <w:color w:val="auto"/>
              </w:rPr>
            </w:pPr>
            <w:r>
              <w:rPr>
                <w:rFonts w:ascii="Arial" w:cs="Arial" w:eastAsia="Arial" w:hAnsi="Arial"/>
                <w:sz w:val="16"/>
                <w:szCs w:val="16"/>
                <w:color w:val="auto"/>
              </w:rPr>
              <w:t>August 6, 2021</w:t>
            </w:r>
          </w:p>
        </w:tc>
        <w:tc>
          <w:tcPr>
            <w:tcW w:w="5060" w:type="dxa"/>
            <w:vAlign w:val="bottom"/>
          </w:tcPr>
          <w:p>
            <w:pPr>
              <w:ind w:left="420"/>
              <w:spacing w:after="0"/>
              <w:rPr>
                <w:sz w:val="20"/>
                <w:szCs w:val="20"/>
                <w:color w:val="auto"/>
              </w:rPr>
            </w:pPr>
            <w:r>
              <w:rPr>
                <w:rFonts w:ascii="Arial" w:cs="Arial" w:eastAsia="Arial" w:hAnsi="Arial"/>
                <w:sz w:val="16"/>
                <w:szCs w:val="16"/>
                <w:color w:val="auto"/>
              </w:rPr>
              <w:t>/s/ John M. Steitz</w:t>
            </w:r>
          </w:p>
        </w:tc>
      </w:tr>
      <w:tr>
        <w:trPr>
          <w:trHeight w:val="197"/>
        </w:trPr>
        <w:tc>
          <w:tcPr>
            <w:tcW w:w="440" w:type="dxa"/>
            <w:vAlign w:val="bottom"/>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John M. Steitz</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President and Chief Executive Officer</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(Principal Executive Officer)</w:t>
            </w:r>
          </w:p>
        </w:tc>
      </w:tr>
      <w:tr>
        <w:trPr>
          <w:trHeight w:val="446"/>
        </w:trPr>
        <w:tc>
          <w:tcPr>
            <w:tcW w:w="440" w:type="dxa"/>
            <w:vAlign w:val="bottom"/>
          </w:tcPr>
          <w:p>
            <w:pPr>
              <w:spacing w:after="0"/>
              <w:rPr>
                <w:sz w:val="20"/>
                <w:szCs w:val="20"/>
                <w:color w:val="auto"/>
              </w:rPr>
            </w:pPr>
            <w:r>
              <w:rPr>
                <w:rFonts w:ascii="Arial" w:cs="Arial" w:eastAsia="Arial" w:hAnsi="Arial"/>
                <w:sz w:val="16"/>
                <w:szCs w:val="16"/>
                <w:color w:val="auto"/>
              </w:rPr>
              <w:t>Date:</w:t>
            </w:r>
          </w:p>
        </w:tc>
        <w:tc>
          <w:tcPr>
            <w:tcW w:w="5340" w:type="dxa"/>
            <w:vAlign w:val="bottom"/>
            <w:gridSpan w:val="2"/>
          </w:tcPr>
          <w:p>
            <w:pPr>
              <w:ind w:left="420"/>
              <w:spacing w:after="0"/>
              <w:rPr>
                <w:sz w:val="20"/>
                <w:szCs w:val="20"/>
                <w:color w:val="auto"/>
              </w:rPr>
            </w:pPr>
            <w:r>
              <w:rPr>
                <w:rFonts w:ascii="Arial" w:cs="Arial" w:eastAsia="Arial" w:hAnsi="Arial"/>
                <w:sz w:val="16"/>
                <w:szCs w:val="16"/>
                <w:color w:val="auto"/>
              </w:rPr>
              <w:t>August 6, 2021</w:t>
            </w:r>
          </w:p>
        </w:tc>
        <w:tc>
          <w:tcPr>
            <w:tcW w:w="5060" w:type="dxa"/>
            <w:vAlign w:val="bottom"/>
          </w:tcPr>
          <w:p>
            <w:pPr>
              <w:ind w:left="420"/>
              <w:spacing w:after="0"/>
              <w:rPr>
                <w:sz w:val="20"/>
                <w:szCs w:val="20"/>
                <w:color w:val="auto"/>
              </w:rPr>
            </w:pPr>
            <w:r>
              <w:rPr>
                <w:rFonts w:ascii="Arial" w:cs="Arial" w:eastAsia="Arial" w:hAnsi="Arial"/>
                <w:sz w:val="16"/>
                <w:szCs w:val="16"/>
                <w:color w:val="auto"/>
              </w:rPr>
              <w:t>/s/ D. Andrew Edwards</w:t>
            </w:r>
          </w:p>
        </w:tc>
      </w:tr>
      <w:tr>
        <w:trPr>
          <w:trHeight w:val="197"/>
        </w:trPr>
        <w:tc>
          <w:tcPr>
            <w:tcW w:w="440" w:type="dxa"/>
            <w:vAlign w:val="bottom"/>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D. Andrew Edwards</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(Principal Financial Officer)</w:t>
            </w:r>
          </w:p>
        </w:tc>
      </w:tr>
      <w:tr>
        <w:trPr>
          <w:trHeight w:val="446"/>
        </w:trPr>
        <w:tc>
          <w:tcPr>
            <w:tcW w:w="440" w:type="dxa"/>
            <w:vAlign w:val="bottom"/>
          </w:tcPr>
          <w:p>
            <w:pPr>
              <w:spacing w:after="0"/>
              <w:rPr>
                <w:sz w:val="20"/>
                <w:szCs w:val="20"/>
                <w:color w:val="auto"/>
              </w:rPr>
            </w:pPr>
            <w:r>
              <w:rPr>
                <w:rFonts w:ascii="Arial" w:cs="Arial" w:eastAsia="Arial" w:hAnsi="Arial"/>
                <w:sz w:val="16"/>
                <w:szCs w:val="16"/>
                <w:color w:val="auto"/>
              </w:rPr>
              <w:t>Date:</w:t>
            </w:r>
          </w:p>
        </w:tc>
        <w:tc>
          <w:tcPr>
            <w:tcW w:w="5340" w:type="dxa"/>
            <w:vAlign w:val="bottom"/>
            <w:gridSpan w:val="2"/>
          </w:tcPr>
          <w:p>
            <w:pPr>
              <w:ind w:left="420"/>
              <w:spacing w:after="0"/>
              <w:rPr>
                <w:sz w:val="20"/>
                <w:szCs w:val="20"/>
                <w:color w:val="auto"/>
              </w:rPr>
            </w:pPr>
            <w:r>
              <w:rPr>
                <w:rFonts w:ascii="Arial" w:cs="Arial" w:eastAsia="Arial" w:hAnsi="Arial"/>
                <w:sz w:val="16"/>
                <w:szCs w:val="16"/>
                <w:color w:val="auto"/>
              </w:rPr>
              <w:t>August 6, 2021</w:t>
            </w:r>
          </w:p>
        </w:tc>
        <w:tc>
          <w:tcPr>
            <w:tcW w:w="5060" w:type="dxa"/>
            <w:vAlign w:val="bottom"/>
          </w:tcPr>
          <w:p>
            <w:pPr>
              <w:ind w:left="420"/>
              <w:spacing w:after="0"/>
              <w:rPr>
                <w:sz w:val="20"/>
                <w:szCs w:val="20"/>
                <w:color w:val="auto"/>
              </w:rPr>
            </w:pPr>
            <w:r>
              <w:rPr>
                <w:rFonts w:ascii="Arial" w:cs="Arial" w:eastAsia="Arial" w:hAnsi="Arial"/>
                <w:sz w:val="16"/>
                <w:szCs w:val="16"/>
                <w:color w:val="auto"/>
              </w:rPr>
              <w:t>/s/ Frasier W. Brickhouse, II</w:t>
            </w:r>
          </w:p>
        </w:tc>
      </w:tr>
      <w:tr>
        <w:trPr>
          <w:trHeight w:val="197"/>
        </w:trPr>
        <w:tc>
          <w:tcPr>
            <w:tcW w:w="440" w:type="dxa"/>
            <w:vAlign w:val="bottom"/>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Frasier W. Brickhouse, II</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Corporate Treasurer and Controller</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(Principal Accounting Officer)</w:t>
            </w:r>
          </w:p>
        </w:tc>
      </w:tr>
    </w:tbl>
    <w:p>
      <w:pPr>
        <w:sectPr>
          <w:pgSz w:w="11900" w:h="16838" w:orient="portrait"/>
          <w:cols w:equalWidth="0" w:num="1">
            <w:col w:w="11260"/>
          </w:cols>
          <w:pgMar w:left="320" w:top="895"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31.1</w:t>
      </w:r>
    </w:p>
    <w:p>
      <w:pPr>
        <w:spacing w:after="0" w:line="9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Section 302 Certification</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I, John M. Steitz, certify that:</w:t>
      </w:r>
    </w:p>
    <w:p>
      <w:pPr>
        <w:spacing w:after="0" w:line="106" w:lineRule="exact"/>
        <w:rPr>
          <w:sz w:val="20"/>
          <w:szCs w:val="20"/>
          <w:color w:val="auto"/>
        </w:rPr>
      </w:pPr>
    </w:p>
    <w:p>
      <w:pPr>
        <w:ind w:left="563" w:hanging="563"/>
        <w:spacing w:after="0"/>
        <w:tabs>
          <w:tab w:leader="none" w:pos="5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2021, of Tredegar Corporation;</w:t>
      </w:r>
    </w:p>
    <w:p>
      <w:pPr>
        <w:spacing w:after="0" w:line="105" w:lineRule="exact"/>
        <w:rPr>
          <w:rFonts w:ascii="Arial" w:cs="Arial" w:eastAsia="Arial" w:hAnsi="Arial"/>
          <w:sz w:val="16"/>
          <w:szCs w:val="16"/>
          <w:color w:val="auto"/>
        </w:rPr>
      </w:pPr>
    </w:p>
    <w:p>
      <w:pPr>
        <w:ind w:left="583" w:right="20" w:hanging="583"/>
        <w:spacing w:after="0" w:line="314" w:lineRule="auto"/>
        <w:tabs>
          <w:tab w:leader="none" w:pos="578"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5"/>
          <w:szCs w:val="15"/>
          <w:color w:val="auto"/>
        </w:rPr>
      </w:pPr>
    </w:p>
    <w:p>
      <w:pPr>
        <w:ind w:left="583" w:right="20" w:hanging="583"/>
        <w:spacing w:after="0" w:line="279" w:lineRule="auto"/>
        <w:tabs>
          <w:tab w:leader="none" w:pos="5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6"/>
          <w:szCs w:val="16"/>
          <w:color w:val="auto"/>
        </w:rPr>
      </w:pPr>
    </w:p>
    <w:p>
      <w:pPr>
        <w:ind w:left="563" w:hanging="563"/>
        <w:spacing w:after="0"/>
        <w:tabs>
          <w:tab w:leader="none" w:pos="563"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4" w:lineRule="exact"/>
        <w:rPr>
          <w:rFonts w:ascii="Arial" w:cs="Arial" w:eastAsia="Arial" w:hAnsi="Arial"/>
          <w:sz w:val="14"/>
          <w:szCs w:val="14"/>
          <w:color w:val="auto"/>
        </w:rPr>
      </w:pPr>
    </w:p>
    <w:p>
      <w:pPr>
        <w:ind w:left="583"/>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4" w:lineRule="exact"/>
        <w:rPr>
          <w:rFonts w:ascii="Arial" w:cs="Arial" w:eastAsia="Arial" w:hAnsi="Arial"/>
          <w:sz w:val="14"/>
          <w:szCs w:val="14"/>
          <w:color w:val="auto"/>
        </w:rPr>
      </w:pPr>
    </w:p>
    <w:p>
      <w:pPr>
        <w:ind w:left="1163" w:right="20" w:hanging="584"/>
        <w:spacing w:after="0" w:line="265"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6"/>
          <w:szCs w:val="16"/>
          <w:color w:val="auto"/>
        </w:rPr>
      </w:pPr>
    </w:p>
    <w:p>
      <w:pPr>
        <w:ind w:left="1163" w:right="160" w:hanging="584"/>
        <w:spacing w:after="0" w:line="265" w:lineRule="auto"/>
        <w:tabs>
          <w:tab w:leader="none" w:pos="115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6"/>
          <w:szCs w:val="16"/>
          <w:color w:val="auto"/>
        </w:rPr>
      </w:pPr>
    </w:p>
    <w:p>
      <w:pPr>
        <w:ind w:left="1163" w:right="160" w:hanging="584"/>
        <w:spacing w:after="0" w:line="279"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6"/>
          <w:szCs w:val="16"/>
          <w:color w:val="auto"/>
        </w:rPr>
      </w:pPr>
    </w:p>
    <w:p>
      <w:pPr>
        <w:ind w:left="1163" w:right="100" w:hanging="584"/>
        <w:spacing w:after="0" w:line="265" w:lineRule="auto"/>
        <w:tabs>
          <w:tab w:leader="none" w:pos="115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6"/>
          <w:szCs w:val="16"/>
          <w:color w:val="auto"/>
        </w:rPr>
      </w:pPr>
    </w:p>
    <w:p>
      <w:pPr>
        <w:ind w:left="583" w:right="480" w:hanging="583"/>
        <w:spacing w:after="0" w:line="279" w:lineRule="auto"/>
        <w:tabs>
          <w:tab w:leader="none" w:pos="5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6"/>
          <w:szCs w:val="16"/>
          <w:color w:val="auto"/>
        </w:rPr>
      </w:pPr>
    </w:p>
    <w:p>
      <w:pPr>
        <w:ind w:left="1163" w:right="320" w:hanging="584"/>
        <w:spacing w:after="0" w:line="279"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6"/>
          <w:szCs w:val="16"/>
          <w:color w:val="auto"/>
        </w:rPr>
      </w:pPr>
    </w:p>
    <w:p>
      <w:pPr>
        <w:ind w:left="1163" w:right="540" w:hanging="584"/>
        <w:spacing w:after="0" w:line="279" w:lineRule="auto"/>
        <w:tabs>
          <w:tab w:leader="none" w:pos="1158"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August 6, 2021</w:t>
      </w:r>
    </w:p>
    <w:p>
      <w:pPr>
        <w:spacing w:after="0" w:line="45"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13970</wp:posOffset>
            </wp:positionV>
            <wp:extent cx="25584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13"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John M. Steitz</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3"/>
          </w:cols>
          <w:pgMar w:left="317" w:top="811"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31.2</w:t>
      </w:r>
    </w:p>
    <w:p>
      <w:pPr>
        <w:spacing w:after="0" w:line="9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Section 302 Certification</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I, D. Andrew Edwards, certify that:</w:t>
      </w:r>
    </w:p>
    <w:p>
      <w:pPr>
        <w:spacing w:after="0" w:line="106" w:lineRule="exact"/>
        <w:rPr>
          <w:sz w:val="20"/>
          <w:szCs w:val="20"/>
          <w:color w:val="auto"/>
        </w:rPr>
      </w:pPr>
    </w:p>
    <w:p>
      <w:pPr>
        <w:ind w:left="563" w:hanging="563"/>
        <w:spacing w:after="0"/>
        <w:tabs>
          <w:tab w:leader="none" w:pos="56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2021, of Tredegar Corporation;</w:t>
      </w:r>
    </w:p>
    <w:p>
      <w:pPr>
        <w:spacing w:after="0" w:line="105" w:lineRule="exact"/>
        <w:rPr>
          <w:rFonts w:ascii="Arial" w:cs="Arial" w:eastAsia="Arial" w:hAnsi="Arial"/>
          <w:sz w:val="16"/>
          <w:szCs w:val="16"/>
          <w:color w:val="auto"/>
        </w:rPr>
      </w:pPr>
    </w:p>
    <w:p>
      <w:pPr>
        <w:ind w:left="583" w:right="20" w:hanging="583"/>
        <w:spacing w:after="0" w:line="314" w:lineRule="auto"/>
        <w:tabs>
          <w:tab w:leader="none" w:pos="578"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5"/>
          <w:szCs w:val="15"/>
          <w:color w:val="auto"/>
        </w:rPr>
      </w:pPr>
    </w:p>
    <w:p>
      <w:pPr>
        <w:ind w:left="583" w:right="20" w:hanging="583"/>
        <w:spacing w:after="0" w:line="279" w:lineRule="auto"/>
        <w:tabs>
          <w:tab w:leader="none" w:pos="5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6"/>
          <w:szCs w:val="16"/>
          <w:color w:val="auto"/>
        </w:rPr>
      </w:pPr>
    </w:p>
    <w:p>
      <w:pPr>
        <w:ind w:left="563" w:hanging="563"/>
        <w:spacing w:after="0"/>
        <w:tabs>
          <w:tab w:leader="none" w:pos="563"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4" w:lineRule="exact"/>
        <w:rPr>
          <w:rFonts w:ascii="Arial" w:cs="Arial" w:eastAsia="Arial" w:hAnsi="Arial"/>
          <w:sz w:val="14"/>
          <w:szCs w:val="14"/>
          <w:color w:val="auto"/>
        </w:rPr>
      </w:pPr>
    </w:p>
    <w:p>
      <w:pPr>
        <w:ind w:left="583"/>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4" w:lineRule="exact"/>
        <w:rPr>
          <w:rFonts w:ascii="Arial" w:cs="Arial" w:eastAsia="Arial" w:hAnsi="Arial"/>
          <w:sz w:val="14"/>
          <w:szCs w:val="14"/>
          <w:color w:val="auto"/>
        </w:rPr>
      </w:pPr>
    </w:p>
    <w:p>
      <w:pPr>
        <w:ind w:left="1163" w:right="20" w:hanging="584"/>
        <w:spacing w:after="0" w:line="265" w:lineRule="auto"/>
        <w:tabs>
          <w:tab w:leader="none" w:pos="11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6"/>
          <w:szCs w:val="16"/>
          <w:color w:val="auto"/>
        </w:rPr>
      </w:pPr>
    </w:p>
    <w:p>
      <w:pPr>
        <w:ind w:left="1163" w:right="160" w:hanging="584"/>
        <w:spacing w:after="0" w:line="265" w:lineRule="auto"/>
        <w:tabs>
          <w:tab w:leader="none" w:pos="115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6"/>
          <w:szCs w:val="16"/>
          <w:color w:val="auto"/>
        </w:rPr>
      </w:pPr>
    </w:p>
    <w:p>
      <w:pPr>
        <w:ind w:left="1163" w:right="160" w:hanging="584"/>
        <w:spacing w:after="0" w:line="279" w:lineRule="auto"/>
        <w:tabs>
          <w:tab w:leader="none" w:pos="11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6"/>
          <w:szCs w:val="16"/>
          <w:color w:val="auto"/>
        </w:rPr>
      </w:pPr>
    </w:p>
    <w:p>
      <w:pPr>
        <w:ind w:left="1163" w:right="100" w:hanging="584"/>
        <w:spacing w:after="0" w:line="265" w:lineRule="auto"/>
        <w:tabs>
          <w:tab w:leader="none" w:pos="115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6"/>
          <w:szCs w:val="16"/>
          <w:color w:val="auto"/>
        </w:rPr>
      </w:pPr>
    </w:p>
    <w:p>
      <w:pPr>
        <w:ind w:left="583" w:right="480" w:hanging="583"/>
        <w:spacing w:after="0" w:line="279" w:lineRule="auto"/>
        <w:tabs>
          <w:tab w:leader="none" w:pos="5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6"/>
          <w:szCs w:val="16"/>
          <w:color w:val="auto"/>
        </w:rPr>
      </w:pPr>
    </w:p>
    <w:p>
      <w:pPr>
        <w:ind w:left="1163" w:right="320" w:hanging="584"/>
        <w:spacing w:after="0" w:line="279" w:lineRule="auto"/>
        <w:tabs>
          <w:tab w:leader="none" w:pos="11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6"/>
          <w:szCs w:val="16"/>
          <w:color w:val="auto"/>
        </w:rPr>
      </w:pPr>
    </w:p>
    <w:p>
      <w:pPr>
        <w:ind w:left="1163" w:right="540" w:hanging="584"/>
        <w:spacing w:after="0" w:line="279" w:lineRule="auto"/>
        <w:tabs>
          <w:tab w:leader="none" w:pos="115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August 6, 2021</w:t>
      </w:r>
    </w:p>
    <w:p>
      <w:pPr>
        <w:spacing w:after="0" w:line="45"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13970</wp:posOffset>
            </wp:positionV>
            <wp:extent cx="255841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13"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D. Andrew Edwards</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Executive Vice President and Chief Financial Officer</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3"/>
          </w:cols>
          <w:pgMar w:left="317" w:top="811"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2" w:lineRule="exact"/>
        <w:rPr>
          <w:sz w:val="20"/>
          <w:szCs w:val="20"/>
          <w:color w:val="auto"/>
        </w:rPr>
      </w:pPr>
    </w:p>
    <w:p>
      <w:pPr>
        <w:ind w:right="60" w:firstLine="579"/>
        <w:spacing w:after="0" w:line="265" w:lineRule="auto"/>
        <w:rPr>
          <w:sz w:val="20"/>
          <w:szCs w:val="20"/>
          <w:color w:val="auto"/>
        </w:rPr>
      </w:pPr>
      <w:r>
        <w:rPr>
          <w:rFonts w:ascii="Arial" w:cs="Arial" w:eastAsia="Arial" w:hAnsi="Arial"/>
          <w:sz w:val="16"/>
          <w:szCs w:val="16"/>
          <w:color w:val="auto"/>
        </w:rPr>
        <w:t>In connection with the Quarterly Report on Form 10-Q of Tredegar Corporation (the “Company”) for the quarter ended June 30, 2021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800" w:hanging="224"/>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53" w:lineRule="exact"/>
        <w:rPr>
          <w:rFonts w:ascii="Arial" w:cs="Arial" w:eastAsia="Arial" w:hAnsi="Arial"/>
          <w:sz w:val="16"/>
          <w:szCs w:val="16"/>
          <w:color w:val="auto"/>
        </w:rPr>
      </w:pPr>
    </w:p>
    <w:p>
      <w:pPr>
        <w:ind w:left="800" w:hanging="224"/>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45" w:lineRule="exact"/>
        <w:rPr>
          <w:rFonts w:ascii="Arial" w:cs="Arial" w:eastAsia="Arial" w:hAnsi="Arial"/>
          <w:sz w:val="16"/>
          <w:szCs w:val="16"/>
          <w:color w:val="auto"/>
        </w:rPr>
      </w:pPr>
    </w:p>
    <w:p>
      <w:pPr>
        <w:ind w:left="600" w:right="9540"/>
        <w:spacing w:after="0" w:line="314" w:lineRule="auto"/>
        <w:rPr>
          <w:rFonts w:ascii="Arial" w:cs="Arial" w:eastAsia="Arial" w:hAnsi="Arial"/>
          <w:sz w:val="16"/>
          <w:szCs w:val="16"/>
          <w:color w:val="auto"/>
        </w:rPr>
      </w:pPr>
      <w:r>
        <w:rPr>
          <w:rFonts w:ascii="Arial" w:cs="Arial" w:eastAsia="Arial" w:hAnsi="Arial"/>
          <w:sz w:val="14"/>
          <w:szCs w:val="14"/>
          <w:color w:val="auto"/>
        </w:rPr>
        <w:t>/s/ John M. Steitz John M. Steitz</w:t>
      </w:r>
    </w:p>
    <w:p>
      <w:pPr>
        <w:spacing w:after="0" w:line="1" w:lineRule="exact"/>
        <w:rPr>
          <w:rFonts w:ascii="Arial" w:cs="Arial" w:eastAsia="Arial" w:hAnsi="Arial"/>
          <w:sz w:val="16"/>
          <w:szCs w:val="16"/>
          <w:color w:val="auto"/>
        </w:rPr>
      </w:pPr>
    </w:p>
    <w:p>
      <w:pPr>
        <w:ind w:left="600" w:right="8220"/>
        <w:spacing w:after="0" w:line="285" w:lineRule="auto"/>
        <w:rPr>
          <w:rFonts w:ascii="Arial" w:cs="Arial" w:eastAsia="Arial" w:hAnsi="Arial"/>
          <w:sz w:val="16"/>
          <w:szCs w:val="16"/>
          <w:color w:val="auto"/>
        </w:rPr>
      </w:pPr>
      <w:r>
        <w:rPr>
          <w:rFonts w:ascii="Arial" w:cs="Arial" w:eastAsia="Arial" w:hAnsi="Arial"/>
          <w:sz w:val="15"/>
          <w:szCs w:val="15"/>
          <w:color w:val="auto"/>
        </w:rPr>
        <w:t>President and Chief Executive Officer (Principal Executive Officer)</w:t>
      </w:r>
    </w:p>
    <w:p>
      <w:pPr>
        <w:ind w:left="600"/>
        <w:spacing w:after="0"/>
        <w:rPr>
          <w:rFonts w:ascii="Arial" w:cs="Arial" w:eastAsia="Arial" w:hAnsi="Arial"/>
          <w:sz w:val="16"/>
          <w:szCs w:val="16"/>
          <w:color w:val="auto"/>
        </w:rPr>
      </w:pPr>
      <w:r>
        <w:rPr>
          <w:rFonts w:ascii="Arial" w:cs="Arial" w:eastAsia="Arial" w:hAnsi="Arial"/>
          <w:sz w:val="16"/>
          <w:szCs w:val="16"/>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-514350</wp:posOffset>
            </wp:positionV>
            <wp:extent cx="276542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765425" cy="762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2"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In connection with the Quarterly Report on Form 10-Q of Tredegar Corporation (the “Company”) for the quarter ended June 30, 2021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800" w:hanging="224"/>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53" w:lineRule="exact"/>
        <w:rPr>
          <w:rFonts w:ascii="Arial" w:cs="Arial" w:eastAsia="Arial" w:hAnsi="Arial"/>
          <w:sz w:val="16"/>
          <w:szCs w:val="16"/>
          <w:color w:val="auto"/>
        </w:rPr>
      </w:pPr>
    </w:p>
    <w:p>
      <w:pPr>
        <w:ind w:left="800" w:hanging="224"/>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45" w:lineRule="exact"/>
        <w:rPr>
          <w:rFonts w:ascii="Arial" w:cs="Arial" w:eastAsia="Arial" w:hAnsi="Arial"/>
          <w:sz w:val="16"/>
          <w:szCs w:val="16"/>
          <w:color w:val="auto"/>
        </w:rPr>
      </w:pPr>
    </w:p>
    <w:p>
      <w:pPr>
        <w:ind w:left="600" w:right="9160"/>
        <w:spacing w:after="0" w:line="314" w:lineRule="auto"/>
        <w:rPr>
          <w:rFonts w:ascii="Arial" w:cs="Arial" w:eastAsia="Arial" w:hAnsi="Arial"/>
          <w:sz w:val="16"/>
          <w:szCs w:val="16"/>
          <w:color w:val="auto"/>
        </w:rPr>
      </w:pPr>
      <w:r>
        <w:rPr>
          <w:rFonts w:ascii="Arial" w:cs="Arial" w:eastAsia="Arial" w:hAnsi="Arial"/>
          <w:sz w:val="14"/>
          <w:szCs w:val="14"/>
          <w:color w:val="auto"/>
        </w:rPr>
        <w:t>/s/ D. Andrew Edwards D. Andrew Edwards</w:t>
      </w:r>
    </w:p>
    <w:p>
      <w:pPr>
        <w:spacing w:after="0" w:line="1" w:lineRule="exact"/>
        <w:rPr>
          <w:rFonts w:ascii="Arial" w:cs="Arial" w:eastAsia="Arial" w:hAnsi="Arial"/>
          <w:sz w:val="16"/>
          <w:szCs w:val="16"/>
          <w:color w:val="auto"/>
        </w:rPr>
      </w:pPr>
    </w:p>
    <w:p>
      <w:pPr>
        <w:ind w:left="600" w:right="7240"/>
        <w:spacing w:after="0" w:line="267" w:lineRule="auto"/>
        <w:rPr>
          <w:rFonts w:ascii="Arial" w:cs="Arial" w:eastAsia="Arial" w:hAnsi="Arial"/>
          <w:sz w:val="16"/>
          <w:szCs w:val="16"/>
          <w:color w:val="auto"/>
        </w:rPr>
      </w:pPr>
      <w:r>
        <w:rPr>
          <w:rFonts w:ascii="Arial" w:cs="Arial" w:eastAsia="Arial" w:hAnsi="Arial"/>
          <w:sz w:val="16"/>
          <w:szCs w:val="16"/>
          <w:color w:val="auto"/>
        </w:rPr>
        <w:t>Executive Vice President and Chief Financial Officer (Principal Financial Officer)</w:t>
      </w:r>
    </w:p>
    <w:p>
      <w:pPr>
        <w:ind w:left="600"/>
        <w:spacing w:after="0"/>
        <w:rPr>
          <w:rFonts w:ascii="Arial" w:cs="Arial" w:eastAsia="Arial" w:hAnsi="Arial"/>
          <w:sz w:val="16"/>
          <w:szCs w:val="16"/>
          <w:color w:val="auto"/>
        </w:rPr>
      </w:pPr>
      <w:r>
        <w:rPr>
          <w:rFonts w:ascii="Arial" w:cs="Arial" w:eastAsia="Arial" w:hAnsi="Arial"/>
          <w:sz w:val="16"/>
          <w:szCs w:val="16"/>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-514350</wp:posOffset>
            </wp:positionV>
            <wp:extent cx="276542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765425" cy="7620"/>
                    </a:xfrm>
                    <a:prstGeom prst="rect">
                      <a:avLst/>
                    </a:prstGeom>
                    <a:noFill/>
                  </pic:spPr>
                </pic:pic>
              </a:graphicData>
            </a:graphic>
          </wp:anchor>
        </w:drawing>
      </w:r>
    </w:p>
    <w:sectPr>
      <w:pgSz w:w="11900" w:h="16838" w:orient="portrait"/>
      <w:cols w:equalWidth="0" w:num="1">
        <w:col w:w="11260"/>
      </w:cols>
      <w:pgMar w:left="320" w:top="8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lvl w:ilvl="1">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2"/>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79" Type="http://schemas.openxmlformats.org/officeDocument/2006/relationships/hyperlink" Target="https://www.sec.gov/Archives/edgar/data/850429/000114036121010026/brhc1002206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2021-08-06T07:42:43Z</dcterms:created>
  <dcterms:modified xsi:type="dcterms:W3CDTF">2021-08-06T07:42:43Z</dcterms:modified>
</cp:coreProperties>
</file>