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11-K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ANNUAL REPORTS OF EMPLOYEE STOCK PURCHASE, SAVINGS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SIMILAR PLANS PURSUANT TO SECTION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6"/>
        <w:gridCol w:w="2876"/>
        <w:gridCol w:w="407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ANNUAL REPORT PURSUANT TO SECTION 15(d) OF THE SECURITIES EXCHANGE ACT OF 1934</w:t>
            </w:r>
          </w:p>
        </w:tc>
      </w:tr>
    </w:tbl>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For the fiscal year ended December 31, 2025</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TRANSITION REPORT PURSUANT TO SECTION 15(d) OF THE SECURITIES EXCHANGE ACT OF 1934</w:t>
            </w:r>
          </w:p>
        </w:tc>
      </w:tr>
    </w:tbl>
    <w:p>
      <w:pPr>
        <w:pStyle w:val="TextBody"/>
        <w:bidi w:val="0"/>
        <w:spacing w:lineRule="auto" w:line="288" w:before="120" w:after="283"/>
        <w:ind w:left="0" w:right="0" w:firstLine="630"/>
        <w:jc w:val="left"/>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Commission file number 1-10258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A.Full title of the plan and address of the plan, if different from that of the issuer named below:</w:t>
      </w:r>
    </w:p>
    <w:tbl>
      <w:tblPr>
        <w:tblW w:w="5249" w:type="dxa"/>
        <w:jc w:val="left"/>
        <w:tblInd w:w="0" w:type="dxa"/>
        <w:tblLayout w:type="fixed"/>
        <w:tblCellMar>
          <w:top w:w="28" w:type="dxa"/>
          <w:left w:w="28" w:type="dxa"/>
          <w:bottom w:w="28" w:type="dxa"/>
          <w:right w:w="28" w:type="dxa"/>
        </w:tblCellMar>
      </w:tblPr>
      <w:tblGrid>
        <w:gridCol w:w="1682"/>
        <w:gridCol w:w="1478"/>
        <w:gridCol w:w="2089"/>
      </w:tblGrid>
      <w:tr>
        <w:trPr/>
        <w:tc>
          <w:tcPr>
            <w:tcW w:w="168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Tredegar Corporation</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Retirement Savings Plan</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Name of issuer of the securities held pursuant to the plan and the address of its principal executive office:</w:t>
      </w:r>
    </w:p>
    <w:p>
      <w:pPr>
        <w:pStyle w:val="TextBody"/>
        <w:bidi w:val="0"/>
        <w:spacing w:before="0" w:after="0"/>
        <w:ind w:left="0" w:right="0" w:hanging="36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Tredegar Corporation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1100 Boulders Parkway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Richmond, Virginia 23225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REQUIRED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Appendix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The Plan. </w:t>
      </w:r>
      <w:r>
        <w:rPr>
          <w:rFonts w:ascii="Times New Roman;serif" w:hAnsi="Times New Roman;serif"/>
          <w:b w:val="false"/>
          <w:color w:val="000000"/>
          <w:sz w:val="20"/>
        </w:rPr>
        <w:t>Pursuant to the requirements of the Securities Exchange Act of 1934, the trustees (or other persons who</w:t>
      </w:r>
      <w:r>
        <w:rPr>
          <w:color w:val="000000"/>
        </w:rPr>
        <w:t xml:space="preserve"> </w:t>
      </w:r>
      <w:r>
        <w:rPr>
          <w:rFonts w:ascii="Times New Roman;serif" w:hAnsi="Times New Roman;serif"/>
          <w:b w:val="false"/>
          <w:color w:val="000000"/>
          <w:sz w:val="20"/>
        </w:rPr>
        <w:t>administer the employee benefit plan) have duly caused this annual report to be signed on its behalf by the undersigned hereunto duly authorized.</w:t>
      </w:r>
    </w:p>
    <w:p>
      <w:pPr>
        <w:pStyle w:val="TextBody"/>
        <w:bidi w:val="0"/>
        <w:spacing w:before="0" w:after="0"/>
        <w:ind w:left="0" w:right="0" w:firstLine="720"/>
        <w:jc w:val="both"/>
        <w:rPr/>
      </w:pPr>
      <w:r>
        <w:rPr/>
      </w:r>
    </w:p>
    <w:tbl>
      <w:tblPr>
        <w:tblW w:w="884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457"/>
        <w:gridCol w:w="457"/>
        <w:gridCol w:w="457"/>
        <w:gridCol w:w="1654"/>
        <w:gridCol w:w="1654"/>
        <w:gridCol w:w="23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RETIREMENT SAVINGS PLAN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12, 2026</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General Counsel and Corporate Secretary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Administrative Committee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Appendix 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Tredegar Corporation Retirement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Savings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31" w:type="dxa"/>
        <w:jc w:val="center"/>
        <w:tblInd w:w="0" w:type="dxa"/>
        <w:tblLayout w:type="fixed"/>
        <w:tblCellMar>
          <w:top w:w="28" w:type="dxa"/>
          <w:left w:w="28" w:type="dxa"/>
          <w:bottom w:w="28" w:type="dxa"/>
          <w:right w:w="28" w:type="dxa"/>
        </w:tblCellMar>
      </w:tblPr>
      <w:tblGrid>
        <w:gridCol w:w="1170"/>
        <w:gridCol w:w="1025"/>
        <w:gridCol w:w="1025"/>
        <w:gridCol w:w="1670"/>
        <w:gridCol w:w="1670"/>
        <w:gridCol w:w="1700"/>
        <w:gridCol w:w="167"/>
        <w:gridCol w:w="167"/>
        <w:gridCol w:w="237"/>
      </w:tblGrid>
      <w:tr>
        <w:trPr/>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4e0a28f9e74d40adb9eddbc2b7ac9a_19">
              <w:r>
                <w:rPr>
                  <w:rStyle w:val="InternetLink"/>
                  <w:rFonts w:ascii="Times New Roman;serif" w:hAnsi="Times New Roman;serif"/>
                  <w:b w:val="false"/>
                  <w:color w:val="0000FF"/>
                  <w:sz w:val="20"/>
                  <w:u w:val="single"/>
                </w:rPr>
                <w:t>REPORT OF 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4e0a28f9e74d40adb9eddbc2b7ac9a_19">
              <w:r>
                <w:rPr>
                  <w:rStyle w:val="InternetLink"/>
                  <w:rFonts w:ascii="Times New Roman;serif" w:hAnsi="Times New Roman;serif"/>
                  <w:b w:val="false"/>
                  <w:color w:val="0000FF"/>
                  <w:sz w:val="20"/>
                  <w:u w:val="single"/>
                </w:rPr>
                <w:t>1</w:t>
              </w:r>
            </w:hyperlink>
          </w:p>
        </w:tc>
      </w:tr>
      <w:tr>
        <w:trPr/>
        <w:tc>
          <w:tcPr>
            <w:tcW w:w="82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4e0a28f9e74d40adb9eddbc2b7ac9a_22">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4e0a28f9e74d40adb9eddbc2b7ac9a_25">
              <w:r>
                <w:rPr>
                  <w:rStyle w:val="InternetLink"/>
                  <w:rFonts w:ascii="Times New Roman;serif" w:hAnsi="Times New Roman;serif"/>
                  <w:b w:val="false"/>
                  <w:color w:val="0000FF"/>
                  <w:sz w:val="20"/>
                  <w:u w:val="single"/>
                </w:rPr>
                <w:t>Statements of Net Assets Available for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4e0a28f9e74d40adb9eddbc2b7ac9a_25">
              <w:r>
                <w:rPr>
                  <w:rStyle w:val="InternetLink"/>
                  <w:rFonts w:ascii="Times New Roman;serif" w:hAnsi="Times New Roman;serif"/>
                  <w:b w:val="false"/>
                  <w:color w:val="0000FF"/>
                  <w:sz w:val="20"/>
                  <w:u w:val="single"/>
                </w:rPr>
                <w:t>2</w:t>
              </w:r>
            </w:hyperlink>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4e0a28f9e74d40adb9eddbc2b7ac9a_28">
              <w:r>
                <w:rPr>
                  <w:rStyle w:val="InternetLink"/>
                  <w:rFonts w:ascii="Times New Roman;serif" w:hAnsi="Times New Roman;serif"/>
                  <w:b w:val="false"/>
                  <w:color w:val="0000FF"/>
                  <w:sz w:val="20"/>
                  <w:u w:val="single"/>
                </w:rPr>
                <w:t>Statements of Changes in Net Assets Available for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4e0a28f9e74d40adb9eddbc2b7ac9a_28">
              <w:r>
                <w:rPr>
                  <w:rStyle w:val="InternetLink"/>
                  <w:rFonts w:ascii="Times New Roman;serif" w:hAnsi="Times New Roman;serif"/>
                  <w:b w:val="false"/>
                  <w:color w:val="0000FF"/>
                  <w:sz w:val="20"/>
                  <w:u w:val="single"/>
                </w:rPr>
                <w:t>3</w:t>
              </w:r>
            </w:hyperlink>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4e0a28f9e74d40adb9eddbc2b7ac9a_31">
              <w:r>
                <w:rPr>
                  <w:rStyle w:val="InternetLink"/>
                  <w:rFonts w:ascii="Times New Roman;serif" w:hAnsi="Times New Roman;serif"/>
                  <w:b w:val="false"/>
                  <w:color w:val="0000FF"/>
                  <w:sz w:val="20"/>
                  <w:u w:val="single"/>
                </w:rPr>
                <w:t>Notes to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4e0a28f9e74d40adb9eddbc2b7ac9a_31">
              <w:r>
                <w:rPr>
                  <w:rStyle w:val="InternetLink"/>
                  <w:rFonts w:ascii="Times New Roman;serif" w:hAnsi="Times New Roman;serif"/>
                  <w:b w:val="false"/>
                  <w:color w:val="000080"/>
                  <w:sz w:val="20"/>
                  <w:u w:val="single"/>
                </w:rPr>
                <w:t>4</w:t>
              </w:r>
            </w:hyperlink>
            <w:hyperlink w:anchor="i5b4e0a28f9e74d40adb9eddbc2b7ac9a_31">
              <w:r>
                <w:rPr>
                  <w:rStyle w:val="InternetLink"/>
                  <w:rFonts w:ascii="Times New Roman;serif" w:hAnsi="Times New Roman;serif"/>
                  <w:b w:val="false"/>
                  <w:color w:val="000080"/>
                  <w:sz w:val="20"/>
                  <w:u w:val="single"/>
                </w:rPr>
                <w:t>-</w:t>
              </w:r>
            </w:hyperlink>
            <w:hyperlink w:anchor="i5b4e0a28f9e74d40adb9eddbc2b7ac9a_31">
              <w:r>
                <w:rPr>
                  <w:rStyle w:val="InternetLink"/>
                  <w:rFonts w:ascii="Times New Roman;serif" w:hAnsi="Times New Roman;serif"/>
                  <w:b w:val="false"/>
                  <w:color w:val="000080"/>
                  <w:sz w:val="20"/>
                  <w:u w:val="single"/>
                </w:rPr>
                <w:t>9</w:t>
              </w:r>
            </w:hyperlink>
          </w:p>
        </w:tc>
      </w:tr>
      <w:tr>
        <w:trPr/>
        <w:tc>
          <w:tcPr>
            <w:tcW w:w="82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4e0a28f9e74d40adb9eddbc2b7ac9a_64">
              <w:r>
                <w:rPr>
                  <w:rStyle w:val="InternetLink"/>
                  <w:rFonts w:ascii="Times New Roman;serif" w:hAnsi="Times New Roman;serif"/>
                  <w:b w:val="false"/>
                  <w:color w:val="0000FF"/>
                  <w:sz w:val="20"/>
                  <w:u w:val="single"/>
                </w:rPr>
                <w:t>SUPPLEMENTARY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4e0a28f9e74d40adb9eddbc2b7ac9a_67">
              <w:r>
                <w:rPr>
                  <w:rStyle w:val="InternetLink"/>
                  <w:rFonts w:ascii="Times New Roman;serif" w:hAnsi="Times New Roman;serif"/>
                  <w:b w:val="false"/>
                  <w:color w:val="0000FF"/>
                  <w:sz w:val="20"/>
                  <w:u w:val="single"/>
                </w:rPr>
                <w:t>Schedule H, Line 4i-Schedule of Assets (Held at End of Year)</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4e0a28f9e74d40adb9eddbc2b7ac9a_67">
              <w:r>
                <w:rPr>
                  <w:rStyle w:val="InternetLink"/>
                  <w:rFonts w:ascii="Times New Roman;serif" w:hAnsi="Times New Roman;serif"/>
                  <w:b w:val="false"/>
                  <w:color w:val="0000FF"/>
                  <w:sz w:val="20"/>
                  <w:u w:val="single"/>
                </w:rPr>
                <w:t>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Employee Benefits Administrative Committee, Plan Administrator, and Plan Participants of the Tredegar Corporation Retirement Savings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the Tredegar Corporation Retirement Savings Plan (the Plan) as of December 31, 2025 and 2024, the related statements of changes in net assets available for benefits for the years then ended, and the related notes to the financial statements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information in the accompanying schedule of Schedule H, Line 4i -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PBMares,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Plan’s auditor since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Bern, North Carolina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Statements of Net Assets Available for Benefits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tbl>
      <w:tblPr>
        <w:tblW w:w="6815" w:type="dxa"/>
        <w:jc w:val="left"/>
        <w:tblInd w:w="0" w:type="dxa"/>
        <w:tblLayout w:type="fixed"/>
        <w:tblCellMar>
          <w:top w:w="28" w:type="dxa"/>
          <w:left w:w="28" w:type="dxa"/>
          <w:bottom w:w="28" w:type="dxa"/>
          <w:right w:w="28" w:type="dxa"/>
        </w:tblCellMar>
      </w:tblPr>
      <w:tblGrid>
        <w:gridCol w:w="1121"/>
        <w:gridCol w:w="987"/>
        <w:gridCol w:w="996"/>
        <w:gridCol w:w="109"/>
        <w:gridCol w:w="109"/>
        <w:gridCol w:w="109"/>
        <w:gridCol w:w="211"/>
        <w:gridCol w:w="1186"/>
        <w:gridCol w:w="109"/>
        <w:gridCol w:w="109"/>
        <w:gridCol w:w="109"/>
        <w:gridCol w:w="109"/>
        <w:gridCol w:w="211"/>
        <w:gridCol w:w="118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120,806,330 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Tredegar Corporation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Self-directed brokerage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155,157,331 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133,919,803 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158,958,581 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137,444,523 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Statements of Changes in Net Assets Available for Benefits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December 31, 2025 and 2024</w:t>
      </w:r>
    </w:p>
    <w:tbl>
      <w:tblPr>
        <w:tblW w:w="8121" w:type="dxa"/>
        <w:jc w:val="left"/>
        <w:tblInd w:w="0" w:type="dxa"/>
        <w:tblLayout w:type="fixed"/>
        <w:tblCellMar>
          <w:top w:w="28" w:type="dxa"/>
          <w:left w:w="28" w:type="dxa"/>
          <w:bottom w:w="28" w:type="dxa"/>
          <w:right w:w="28" w:type="dxa"/>
        </w:tblCellMar>
      </w:tblPr>
      <w:tblGrid>
        <w:gridCol w:w="1597"/>
        <w:gridCol w:w="1402"/>
        <w:gridCol w:w="1411"/>
        <w:gridCol w:w="109"/>
        <w:gridCol w:w="109"/>
        <w:gridCol w:w="109"/>
        <w:gridCol w:w="211"/>
        <w:gridCol w:w="1186"/>
        <w:gridCol w:w="109"/>
        <w:gridCol w:w="109"/>
        <w:gridCol w:w="109"/>
        <w:gridCol w:w="109"/>
        <w:gridCol w:w="211"/>
        <w:gridCol w:w="1186"/>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net assets attributed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appreciation in fair value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 gain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16,995,294 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additions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34,924,681 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28,168,756 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net assets attributed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 to participating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13,410,623 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before transfers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21,514,058 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8,669,934 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out to another plan (see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after transfer 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136,606,618 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158,958,581 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137,444,523 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5595" w:type="dxa"/>
        <w:jc w:val="center"/>
        <w:tblInd w:w="0" w:type="dxa"/>
        <w:tblLayout w:type="fixed"/>
        <w:tblCellMar>
          <w:top w:w="28" w:type="dxa"/>
          <w:left w:w="28" w:type="dxa"/>
          <w:bottom w:w="28" w:type="dxa"/>
          <w:right w:w="28" w:type="dxa"/>
        </w:tblCellMar>
      </w:tblPr>
      <w:tblGrid>
        <w:gridCol w:w="1791"/>
        <w:gridCol w:w="1574"/>
        <w:gridCol w:w="2230"/>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r>
      <w:tr>
        <w:trPr/>
        <w:tc>
          <w:tcPr>
            <w:tcW w:w="5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DESCRIPTION OF PLAN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Tredegar Corporation and subsidiaries (collectively “Tredegar” or “the Company” or “Plan Sponsor”), which is primarily engaged in the manufacturing of aluminum extrusions, polyethylene films and polyester films, is a Virginia corporation. The Tredegar Corporation Retirement Savings Plan (“Plan”) was adopted by the Board of Directors of Tredegar (“the Board”) on June 14, 1989 and the Plan was effective as of July 1, 1989.</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Plan is subject to Titles I, II and III and is exempt from Title IV of the Employee Retirement Income Security Act of 1974 (“ERISA”). Title IV of ERISA provides for federally sponsored insurance for plans that terminate with unfunded benefits. No such insurance is provided to participants in this Plan; however, because the benefits that participants are entitled to receive are always equal to the value of their account balances, the Plan is always fully funded. The value of a participant's account may change from time to time. Each participant assumes the risk of fluctuations in the value of his or her account.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Plan is a defined contribution plan. Information regarding plan benefits and vesting is provided in the Plan and related documents, which are available at Tredegar’s main office at 1100 Boulders Parkway, Richmond, Virginia. Effective January 1, 2019, the Plan was amended to make the Plan a safe harbor 401(k) plan and eliminate after-tax contributions.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Plan is administered by the Company. Plan assets are held by Fidelity Management Trust Company (“Fidelity”), the trustee of the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Accounting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Plan are prepared on the accrual basis of accounting.</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Use of Estimates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in the United States of America ("U.S. GAAP") requires management to make estimates and assumptions that affect the reported amounts of assets and liabilities and changes therein, and disclosure of contingent assets and liabilities. Actual results may differ from those estimates.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Investment Valuation and Income Recognition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252525"/>
          <w:sz w:val="20"/>
        </w:rPr>
      </w:pPr>
      <w:r>
        <w:rPr>
          <w:rFonts w:ascii="Times New Roman;serif" w:hAnsi="Times New Roman;serif"/>
          <w:b w:val="false"/>
          <w:color w:val="252525"/>
          <w:sz w:val="20"/>
        </w:rPr>
        <w:t xml:space="preserve">Investments are reported at fair value. Fair value is the price that would be received to sell an asset or paid to transfer a liability in an orderly transaction between market participants at the measurement date. See Note 4 for discussion of fair value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252525"/>
          <w:sz w:val="20"/>
        </w:rPr>
      </w:pPr>
      <w:r>
        <w:rPr>
          <w:rFonts w:ascii="Times New Roman;serif" w:hAnsi="Times New Roman;serif"/>
          <w:b w:val="false"/>
          <w:color w:val="252525"/>
          <w:sz w:val="20"/>
        </w:rPr>
        <w:t>Purchases and sales of securities are recorded on a trade-date basis. Interest income is recorded on the accrual basis. Dividends are recorded on the ex-dividend date. Net appreciation (depreciation) includes the Plan's realized and unrealized gains and losses on investments bought and sold as well as held during the year.</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Notes Receivable from Participants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Notes receivable from participants are measured at their unpaid principal balance plus any accrued but unpaid interest. Interest income is recorded on the accrual basis. </w:t>
      </w:r>
      <w:r>
        <w:rPr>
          <w:rFonts w:ascii="Times New Roman;serif" w:hAnsi="Times New Roman;serif"/>
          <w:b w:val="false"/>
          <w:color w:val="252525"/>
          <w:sz w:val="20"/>
        </w:rPr>
        <w:t xml:space="preserve">No allowance for credit losses has been recorded as of December 31, 2025 or 2024. If a participant ceases to make loan repayments and the plan administrator deems the participant loan to be in default, the </w:t>
      </w:r>
      <w:r>
        <w:rPr>
          <w:rFonts w:ascii="Times New Roman;serif" w:hAnsi="Times New Roman;serif"/>
          <w:b w:val="false"/>
          <w:color w:val="000000"/>
          <w:sz w:val="20"/>
        </w:rPr>
        <w:t>participant loan balance is reduced and a benefit payment is recorded.</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i/>
          <w:color w:val="000000"/>
          <w:sz w:val="20"/>
        </w:rPr>
      </w:pPr>
      <w:r>
        <w:rPr>
          <w:rFonts w:ascii="Times New Roman;serif" w:hAnsi="Times New Roman;serif"/>
          <w:b/>
          <w:i/>
          <w:color w:val="000000"/>
          <w:sz w:val="20"/>
        </w:rPr>
        <w:t>Contributions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Contributions to the Plan from participants and, when applicable, from the Company are recorded in the period that payroll deductions are made from Plan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5595" w:type="dxa"/>
        <w:jc w:val="center"/>
        <w:tblInd w:w="0" w:type="dxa"/>
        <w:tblLayout w:type="fixed"/>
        <w:tblCellMar>
          <w:top w:w="28" w:type="dxa"/>
          <w:left w:w="28" w:type="dxa"/>
          <w:bottom w:w="28" w:type="dxa"/>
          <w:right w:w="28" w:type="dxa"/>
        </w:tblCellMar>
      </w:tblPr>
      <w:tblGrid>
        <w:gridCol w:w="1791"/>
        <w:gridCol w:w="1574"/>
        <w:gridCol w:w="2230"/>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r>
      <w:tr>
        <w:trPr/>
        <w:tc>
          <w:tcPr>
            <w:tcW w:w="5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i/>
          <w:color w:val="000000"/>
          <w:sz w:val="20"/>
        </w:rPr>
        <w:t>Payment of Benefits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Benefits are recorded when paid.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Administrative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Plan is responsible for all trustee and investment management fees. Participants are charged a pro-rated per-participant fee of $63.00. To cover additional expenses, participants are also charged 0.03% of annual plan-related expenses. Tredegar also pays for other administrative expenses up to an annual limit of $75,000. Any expenses in excess of this limit are paid by the Plan. In 2025 and 2024, administrative expenses were reduced by trustee credits, participant paid fees, and forfeited accounts totaling $63,911 and $103,726 respectively.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Plan has evaluated all events through June 12, 2026, the date the financial statements were issued, and has determined that there were no subsequent events that require disclosure pursuant to the Financial Accounting Standards Board (“FASB”) Accounting Standards Codification (“ASC”).</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CONTRIBUTIONS AND INVESTMENT OPTIONS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participant may contribute a percentage of his or her eligible base pay (as defined) ranging from a minimum of 1% to a maximum of 75%. The 2025 and 2024 Tredegar matching contribution was $1.00 for every $1.00 a participant contributed up to 5% each payroll period.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participants covered under certain collective bargaining agreements, employees are automatically enrolled in the Plan with a pre-tax contribution equal to 3% of base pay invested in the age appropriate target date fund and automatically increased in the succeeding plan year until the contribution level is equal to 5% of base pay. Employees have the choice to waive automatic enrollment as well as automatic increase and contribute more or less in their choice of investment funds.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Participants direct the investment of their contributions into various investment options offered by the Plan. As of December 31, 2025, the Plan offered twenty-six (26) mutual funds, one (1) common collective trust, one (1) money market fund and a self-directed brokerage account as investment options to participants. Investments also include the Tredegar Company Stock, in which new investments are prohibited.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employer matching contributions are allocated according to the participant's investment direction. If no selection is made, 100% is allocated to the applicable target date fund; the Plan's default funds, based on the participant's age and an estimated retirement age of 65. The Plan Sponsor may also make an additional discretionary match, to be determined by the Board. There were no such discretionary contributions for the years ended December 31, 2025 and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FASB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Level 1</w:t>
      </w:r>
      <w:r>
        <w:rPr>
          <w:color w:val="000000"/>
        </w:rPr>
        <w:t xml:space="preserve"> </w:t>
      </w:r>
      <w:r>
        <w:rPr>
          <w:rFonts w:ascii="Times New Roman;serif" w:hAnsi="Times New Roman;serif"/>
          <w:b w:val="false"/>
          <w:color w:val="000000"/>
          <w:sz w:val="20"/>
        </w:rPr>
        <w:t>Inputs to the valuation methodology are unadjusted quoted prices for identical assets or liabilities in active markets that the Plan has the ability to access.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Level 2</w:t>
      </w:r>
      <w:r>
        <w:rPr>
          <w:color w:val="000000"/>
        </w:rPr>
        <w:t xml:space="preserve"> </w:t>
      </w:r>
      <w:r>
        <w:rPr>
          <w:rFonts w:ascii="Times New Roman;serif" w:hAnsi="Times New Roman;serif"/>
          <w:b w:val="false"/>
          <w:color w:val="000000"/>
          <w:sz w:val="20"/>
        </w:rPr>
        <w:t>Inputs to the valuation methodology include:</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0"/>
        </w:rPr>
        <w:t>quoted prices for similar assets or liabilities in active markets;</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0"/>
        </w:rPr>
        <w:t>quoted prices for identical or similar assets or liabilities in inactive markets;</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0"/>
        </w:rPr>
        <w:t xml:space="preserve">inputs other than quoted prices that are observable for the asset or liability;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inputs that are derived principally from or corroborated by observable market data by correlation or other means.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595" w:type="dxa"/>
        <w:jc w:val="center"/>
        <w:tblInd w:w="0" w:type="dxa"/>
        <w:tblLayout w:type="fixed"/>
        <w:tblCellMar>
          <w:top w:w="28" w:type="dxa"/>
          <w:left w:w="28" w:type="dxa"/>
          <w:bottom w:w="28" w:type="dxa"/>
          <w:right w:w="28" w:type="dxa"/>
        </w:tblCellMar>
      </w:tblPr>
      <w:tblGrid>
        <w:gridCol w:w="1791"/>
        <w:gridCol w:w="1574"/>
        <w:gridCol w:w="2230"/>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r>
      <w:tr>
        <w:trPr/>
        <w:tc>
          <w:tcPr>
            <w:tcW w:w="5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tc>
      </w:tr>
    </w:tbl>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asset or liability has a specified (contractual) term, the Level 2 input must be observable for substantially the full term of the asset or liability.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Level 3</w:t>
      </w:r>
      <w:r>
        <w:rPr>
          <w:color w:val="000000"/>
        </w:rPr>
        <w:t xml:space="preserve"> </w:t>
      </w:r>
      <w:r>
        <w:rPr>
          <w:rFonts w:ascii="Times New Roman;serif" w:hAnsi="Times New Roman;serif"/>
          <w:b w:val="false"/>
          <w:color w:val="000000"/>
          <w:sz w:val="20"/>
        </w:rPr>
        <w:t>Inputs to the valuation methodology are unobservable and significant to the fair value measurement.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is a description of the valuation methodologies used for assets measured at fair value. There have been no changes in the methodologies used at December 31, 2025 and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Money market fund: </w:t>
      </w:r>
      <w:r>
        <w:rPr>
          <w:rFonts w:ascii="Times New Roman;serif" w:hAnsi="Times New Roman;serif"/>
          <w:b w:val="false"/>
          <w:color w:val="000000"/>
          <w:sz w:val="20"/>
        </w:rPr>
        <w:t>Valued at market price, which is equivalent to $1 per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Mutual funds</w:t>
      </w:r>
      <w:r>
        <w:rPr>
          <w:rFonts w:ascii="Times New Roman;serif" w:hAnsi="Times New Roman;serif"/>
          <w:b w:val="false"/>
          <w:color w:val="000000"/>
          <w:sz w:val="20"/>
        </w:rPr>
        <w:t>: Valued at the daily closing price as reported by the fund. Mutual funds held by the Plan are open-end mutual funds that are registered with the Securities and Exchange Commission (“SEC”). These funds are required to publish their daily net asset value (“NAV”) and to transact at that price. The mutual funds held by the Plan are deemed to be actively traded.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Common stock</w:t>
      </w:r>
      <w:r>
        <w:rPr>
          <w:rFonts w:ascii="Times New Roman;serif" w:hAnsi="Times New Roman;serif"/>
          <w:b w:val="false"/>
          <w:color w:val="000000"/>
          <w:sz w:val="20"/>
        </w:rPr>
        <w:t xml:space="preserve">: Valued at closing price reported on the active market on which the individual securities are traded.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Self-directed brokerage account: </w:t>
      </w:r>
      <w:r>
        <w:rPr>
          <w:rFonts w:ascii="Times New Roman;serif" w:hAnsi="Times New Roman;serif"/>
          <w:b w:val="false"/>
          <w:color w:val="000000"/>
          <w:sz w:val="20"/>
        </w:rPr>
        <w:t>Valued at the closing price reported on the active market on which the individual securities are traded.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Common/collective trust: </w:t>
      </w:r>
      <w:r>
        <w:rPr>
          <w:rFonts w:ascii="Times New Roman;serif" w:hAnsi="Times New Roman;serif"/>
          <w:b w:val="false"/>
          <w:color w:val="000000"/>
          <w:sz w:val="20"/>
        </w:rPr>
        <w:t>A fund that is composed primarily of fully benefit-responsive investment contracts that is valued at the NAV of units of a bank collective trust. The NAV, as provided by the trustee, is used as a practical expedient to estimate fair value. The NAV is based on the fair value of the underlying investments held by the funds less its liabilities. This practical expedient is not used when it is determined to be probable that the fund will sell the investment for an amount different than the reported NAV.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financial assets measured at fair value on a recurring basis, segregated by the level of the valuation inputs within the fair value hierarchy utilized to measure fair value, as of December 31, 2025 and 2024, respectively:</w:t>
      </w:r>
    </w:p>
    <w:tbl>
      <w:tblPr>
        <w:tblW w:w="8764" w:type="dxa"/>
        <w:jc w:val="left"/>
        <w:tblInd w:w="0" w:type="dxa"/>
        <w:tblLayout w:type="fixed"/>
        <w:tblCellMar>
          <w:top w:w="28" w:type="dxa"/>
          <w:left w:w="28" w:type="dxa"/>
          <w:bottom w:w="28" w:type="dxa"/>
          <w:right w:w="28" w:type="dxa"/>
        </w:tblCellMar>
      </w:tblPr>
      <w:tblGrid>
        <w:gridCol w:w="1154"/>
        <w:gridCol w:w="1019"/>
        <w:gridCol w:w="1022"/>
        <w:gridCol w:w="347"/>
        <w:gridCol w:w="1953"/>
        <w:gridCol w:w="179"/>
        <w:gridCol w:w="179"/>
        <w:gridCol w:w="179"/>
        <w:gridCol w:w="179"/>
        <w:gridCol w:w="347"/>
        <w:gridCol w:w="1953"/>
        <w:gridCol w:w="253"/>
      </w:tblGrid>
      <w:tr>
        <w:trPr/>
        <w:tc>
          <w:tcPr>
            <w:tcW w:w="115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87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at December 31, 2025</w:t>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1,667,814 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1,667,814 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142,541,848 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142,541,848 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4,125,772 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Self-directed brokerage account</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4,901,114 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4,901,114 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in the fair value hierarchy</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153,236,548 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153,236,548 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measured at NAV</w:t>
            </w:r>
          </w:p>
        </w:tc>
        <w:tc>
          <w:tcPr>
            <w:tcW w:w="24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1,920,783 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2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155,157,331 </w:t>
            </w:r>
          </w:p>
        </w:tc>
        <w:tc>
          <w:tcPr>
            <w:tcW w:w="2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5595" w:type="dxa"/>
        <w:jc w:val="center"/>
        <w:tblInd w:w="0" w:type="dxa"/>
        <w:tblLayout w:type="fixed"/>
        <w:tblCellMar>
          <w:top w:w="28" w:type="dxa"/>
          <w:left w:w="28" w:type="dxa"/>
          <w:bottom w:w="28" w:type="dxa"/>
          <w:right w:w="28" w:type="dxa"/>
        </w:tblCellMar>
      </w:tblPr>
      <w:tblGrid>
        <w:gridCol w:w="1791"/>
        <w:gridCol w:w="1574"/>
        <w:gridCol w:w="2230"/>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r>
      <w:tr>
        <w:trPr/>
        <w:tc>
          <w:tcPr>
            <w:tcW w:w="5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tc>
      </w:tr>
    </w:tbl>
    <w:p>
      <w:pPr>
        <w:pStyle w:val="TextBody"/>
        <w:bidi w:val="0"/>
        <w:spacing w:before="0" w:after="0"/>
        <w:jc w:val="center"/>
        <w:rPr/>
      </w:pPr>
      <w:r>
        <w:rPr/>
      </w:r>
    </w:p>
    <w:p>
      <w:pPr>
        <w:pStyle w:val="TextBody"/>
        <w:bidi w:val="0"/>
        <w:spacing w:before="0" w:after="0"/>
        <w:jc w:val="both"/>
        <w:rPr/>
      </w:pPr>
      <w:r>
        <w:rPr/>
      </w:r>
    </w:p>
    <w:tbl>
      <w:tblPr>
        <w:tblW w:w="8764" w:type="dxa"/>
        <w:jc w:val="left"/>
        <w:tblInd w:w="0" w:type="dxa"/>
        <w:tblLayout w:type="fixed"/>
        <w:tblCellMar>
          <w:top w:w="28" w:type="dxa"/>
          <w:left w:w="28" w:type="dxa"/>
          <w:bottom w:w="28" w:type="dxa"/>
          <w:right w:w="28" w:type="dxa"/>
        </w:tblCellMar>
      </w:tblPr>
      <w:tblGrid>
        <w:gridCol w:w="1154"/>
        <w:gridCol w:w="1019"/>
        <w:gridCol w:w="1022"/>
        <w:gridCol w:w="347"/>
        <w:gridCol w:w="1953"/>
        <w:gridCol w:w="179"/>
        <w:gridCol w:w="179"/>
        <w:gridCol w:w="179"/>
        <w:gridCol w:w="179"/>
        <w:gridCol w:w="347"/>
        <w:gridCol w:w="1953"/>
        <w:gridCol w:w="253"/>
      </w:tblGrid>
      <w:tr>
        <w:trPr/>
        <w:tc>
          <w:tcPr>
            <w:tcW w:w="115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87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at December 31, 2024</w:t>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1,916,826 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120,806,330 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120,806,330 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4,915,044 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4,915,044 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Self-directed brokerage account</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4,105,258 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4,105,258 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in the fair value hierarchy</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131,743,458 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131,743,458 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measured at NAV</w:t>
            </w:r>
          </w:p>
        </w:tc>
        <w:tc>
          <w:tcPr>
            <w:tcW w:w="24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2,176,345 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2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133,919,803 </w:t>
            </w:r>
          </w:p>
        </w:tc>
        <w:tc>
          <w:tcPr>
            <w:tcW w:w="2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did not hold any Level 2 or Level 3 investments as of December 31, 2025 and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of Investments in Entities that Use NAV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investments measured at fair value based on NAV per share at December 31, 2025 and 2024, respectively.</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47"/>
        <w:gridCol w:w="687"/>
        <w:gridCol w:w="691"/>
        <w:gridCol w:w="275"/>
        <w:gridCol w:w="1275"/>
        <w:gridCol w:w="142"/>
        <w:gridCol w:w="708"/>
        <w:gridCol w:w="708"/>
        <w:gridCol w:w="709"/>
        <w:gridCol w:w="658"/>
        <w:gridCol w:w="658"/>
        <w:gridCol w:w="659"/>
        <w:gridCol w:w="638"/>
        <w:gridCol w:w="638"/>
        <w:gridCol w:w="912"/>
      </w:tblGrid>
      <w:tr>
        <w:trPr/>
        <w:tc>
          <w:tcPr>
            <w:tcW w:w="84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6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1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 Commitments</w:t>
            </w:r>
          </w:p>
        </w:tc>
        <w:tc>
          <w:tcPr>
            <w:tcW w:w="19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Frequency</w:t>
            </w:r>
          </w:p>
        </w:tc>
        <w:tc>
          <w:tcPr>
            <w:tcW w:w="21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Notice Period</w:t>
            </w:r>
          </w:p>
        </w:tc>
      </w:tr>
      <w:tr>
        <w:trPr/>
        <w:tc>
          <w:tcPr>
            <w:tcW w:w="222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Collective Trust - Galliard </w:t>
            </w:r>
          </w:p>
          <w:p>
            <w:pPr>
              <w:pStyle w:val="TableContents"/>
              <w:bidi w:val="0"/>
              <w:spacing w:lineRule="auto" w:line="240" w:before="0" w:after="0"/>
              <w:jc w:val="left"/>
              <w:rPr/>
            </w:pPr>
            <w:r>
              <w:rPr>
                <w:rFonts w:ascii="Times New Roman;serif" w:hAnsi="Times New Roman;serif"/>
                <w:b w:val="false"/>
                <w:color w:val="000000"/>
                <w:sz w:val="20"/>
              </w:rPr>
              <w:t>Retirement Income Fund 45</w:t>
            </w:r>
            <w:r>
              <w:rPr>
                <w:rFonts w:ascii="Times New Roman;serif" w:hAnsi="Times New Roman;serif"/>
                <w:b w:val="false"/>
                <w:color w:val="000000"/>
                <w:sz w:val="13"/>
              </w:rPr>
              <w:t>(1)</w:t>
            </w:r>
          </w:p>
        </w:tc>
        <w:tc>
          <w:tcPr>
            <w:tcW w:w="275"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1,920,783 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97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 or monthly</w:t>
            </w:r>
          </w:p>
        </w:tc>
        <w:tc>
          <w:tcPr>
            <w:tcW w:w="2188"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None or 5 days</w:t>
            </w:r>
          </w:p>
        </w:tc>
      </w:tr>
      <w:tr>
        <w:trPr/>
        <w:tc>
          <w:tcPr>
            <w:tcW w:w="22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6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1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 Commitments</w:t>
            </w:r>
          </w:p>
        </w:tc>
        <w:tc>
          <w:tcPr>
            <w:tcW w:w="19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Frequency</w:t>
            </w:r>
          </w:p>
        </w:tc>
        <w:tc>
          <w:tcPr>
            <w:tcW w:w="21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Notice Period</w:t>
            </w:r>
          </w:p>
        </w:tc>
      </w:tr>
      <w:tr>
        <w:trPr/>
        <w:tc>
          <w:tcPr>
            <w:tcW w:w="222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Collective Trust - Galliard </w:t>
            </w:r>
          </w:p>
          <w:p>
            <w:pPr>
              <w:pStyle w:val="TableContents"/>
              <w:bidi w:val="0"/>
              <w:spacing w:lineRule="auto" w:line="240" w:before="0" w:after="0"/>
              <w:jc w:val="left"/>
              <w:rPr/>
            </w:pPr>
            <w:r>
              <w:rPr>
                <w:rFonts w:ascii="Times New Roman;serif" w:hAnsi="Times New Roman;serif"/>
                <w:b w:val="false"/>
                <w:color w:val="000000"/>
                <w:sz w:val="20"/>
              </w:rPr>
              <w:t>Retirement Income Fund 45</w:t>
            </w:r>
            <w:r>
              <w:rPr>
                <w:rFonts w:ascii="Times New Roman;serif" w:hAnsi="Times New Roman;serif"/>
                <w:b w:val="false"/>
                <w:color w:val="000000"/>
                <w:sz w:val="13"/>
              </w:rPr>
              <w:t>(1)</w:t>
            </w:r>
          </w:p>
        </w:tc>
        <w:tc>
          <w:tcPr>
            <w:tcW w:w="275"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2,176,345 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97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 or monthly</w:t>
            </w:r>
          </w:p>
        </w:tc>
        <w:tc>
          <w:tcPr>
            <w:tcW w:w="2188"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None or 5 days</w:t>
            </w:r>
          </w:p>
        </w:tc>
      </w:tr>
      <w:tr>
        <w:trPr/>
        <w:tc>
          <w:tcPr>
            <w:tcW w:w="22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Galliard Retirement Income Fund is an open-end fund incorporated in the United States that will be invested in the Galliard Managed Income Fund. This fund seeks to provide safety of principal, adequate liquidity and competitive yield with low return volatility.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FORFEITURES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31, 2025 and 2024, forfeited accounts available to reduce future administrative expenses totaled $2,087 and $221, respectively.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RELATED PARTY AND PARTY IN INTEREST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252525"/>
          <w:sz w:val="20"/>
        </w:rPr>
      </w:pPr>
      <w:r>
        <w:rPr>
          <w:rFonts w:ascii="Times New Roman;serif" w:hAnsi="Times New Roman;serif"/>
          <w:b w:val="false"/>
          <w:color w:val="252525"/>
          <w:sz w:val="20"/>
        </w:rPr>
        <w:t>Certain fees incurred by the Plan for the investment management services are included in net appreciation (depreciation) in fair value of the investment, as they are paid through revenue sharing, rather than a direct payment.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5595" w:type="dxa"/>
        <w:jc w:val="center"/>
        <w:tblInd w:w="0" w:type="dxa"/>
        <w:tblLayout w:type="fixed"/>
        <w:tblCellMar>
          <w:top w:w="28" w:type="dxa"/>
          <w:left w:w="28" w:type="dxa"/>
          <w:bottom w:w="28" w:type="dxa"/>
          <w:right w:w="28" w:type="dxa"/>
        </w:tblCellMar>
      </w:tblPr>
      <w:tblGrid>
        <w:gridCol w:w="1791"/>
        <w:gridCol w:w="1574"/>
        <w:gridCol w:w="2230"/>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r>
      <w:tr>
        <w:trPr/>
        <w:tc>
          <w:tcPr>
            <w:tcW w:w="5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252525"/>
          <w:sz w:val="20"/>
        </w:rPr>
      </w:pPr>
      <w:r>
        <w:rPr>
          <w:rFonts w:ascii="Times New Roman;serif" w:hAnsi="Times New Roman;serif"/>
          <w:b w:val="false"/>
          <w:color w:val="252525"/>
          <w:sz w:val="20"/>
        </w:rPr>
        <w:t xml:space="preserve">Certain Plan investments are shares of stock in Tredegar. Tredegar is the Plan Sponsor as defined by the Plan and, therefore, these transactions qualify as related party transactions. Transactions involving Tredegar Company Stock consisted of the following during 2025 and 2024: </w:t>
      </w:r>
    </w:p>
    <w:p>
      <w:pPr>
        <w:pStyle w:val="TextBody"/>
        <w:bidi w:val="0"/>
        <w:spacing w:before="0" w:after="0"/>
        <w:jc w:val="both"/>
        <w:rPr/>
      </w:pPr>
      <w:r>
        <w:rPr/>
      </w:r>
    </w:p>
    <w:tbl>
      <w:tblPr>
        <w:tblW w:w="6638" w:type="dxa"/>
        <w:jc w:val="left"/>
        <w:tblInd w:w="0" w:type="dxa"/>
        <w:tblLayout w:type="fixed"/>
        <w:tblCellMar>
          <w:top w:w="28" w:type="dxa"/>
          <w:left w:w="28" w:type="dxa"/>
          <w:bottom w:w="28" w:type="dxa"/>
          <w:right w:w="28" w:type="dxa"/>
        </w:tblCellMar>
      </w:tblPr>
      <w:tblGrid>
        <w:gridCol w:w="1330"/>
        <w:gridCol w:w="1169"/>
        <w:gridCol w:w="1175"/>
        <w:gridCol w:w="211"/>
        <w:gridCol w:w="976"/>
        <w:gridCol w:w="109"/>
        <w:gridCol w:w="109"/>
        <w:gridCol w:w="109"/>
        <w:gridCol w:w="109"/>
        <w:gridCol w:w="211"/>
        <w:gridCol w:w="97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and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appreciation (depreciation) in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4,125,772 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4,915,044 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Plan also issues loans to participants, which are secured by the vested balances in the participant’s accounts.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INCOME TAX STATUS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Plan received its latest determination letter on February 28, 2018, in which the Internal Revenue Service stated that the Plan, as then designed, was in compliance with the applicable requirements of the Internal Revenue Code (“IRC”). The Plan has been amended since receiving the determination letter. However, the Plan administrator and the Plan’s tax counsel believe that the Plan is designed and is currently being operated in compliance with the applicable requirements of the IRC and therefore, believe that the Plan is qualified, and the related trust is tax-exempt.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U.S. GAAP requires Plan management to evaluate tax positions taken by the Plan and recognize a tax liability (or asset) if the Plan has taken an uncertain tax position that more likely than not would not be sustained upon examination by the taxing authorities. The Plan is subject to routine audits by taxing jurisdictions; however, there are currently no audits in progress for any periods.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NOTE 8.    RISKS AND UNCERTAINTIES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NOTE 9.    PLAN TERMINATION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it has not expressed any intent to do so, Tredegar has the right under the Plan to discontinue its contributions at any time and to terminate the Plan subject to the provisions of ERISA. In the event of Plan termination, participants would become 100% vested in their employer contributions.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NOTE 10.    RECONCILIATION OF FINANCIAL STATEMENTS TO FORM 5500</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7"/>
        <w:gridCol w:w="2170"/>
        <w:gridCol w:w="2183"/>
        <w:gridCol w:w="211"/>
        <w:gridCol w:w="1186"/>
        <w:gridCol w:w="109"/>
        <w:gridCol w:w="109"/>
        <w:gridCol w:w="109"/>
        <w:gridCol w:w="109"/>
        <w:gridCol w:w="211"/>
        <w:gridCol w:w="1186"/>
        <w:gridCol w:w="155"/>
      </w:tblGrid>
      <w:tr>
        <w:trPr/>
        <w:tc>
          <w:tcPr>
            <w:tcW w:w="246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per Statements of Net Assets Available for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137,444,523 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deemed distributed loans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per the Form 5500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158,818,726 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137,307,111 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per Statements of Changes in Net Assets Available for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8,669,934 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deemed distributed loans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Form 5500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21,511,615 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8,648,971 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5595" w:type="dxa"/>
        <w:jc w:val="center"/>
        <w:tblInd w:w="0" w:type="dxa"/>
        <w:tblLayout w:type="fixed"/>
        <w:tblCellMar>
          <w:top w:w="28" w:type="dxa"/>
          <w:left w:w="28" w:type="dxa"/>
          <w:bottom w:w="28" w:type="dxa"/>
          <w:right w:w="28" w:type="dxa"/>
        </w:tblCellMar>
      </w:tblPr>
      <w:tblGrid>
        <w:gridCol w:w="1791"/>
        <w:gridCol w:w="1574"/>
        <w:gridCol w:w="2230"/>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r>
      <w:tr>
        <w:trPr/>
        <w:tc>
          <w:tcPr>
            <w:tcW w:w="5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 and 2024</w:t>
            </w:r>
          </w:p>
        </w:tc>
      </w:tr>
    </w:tbl>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NOTE 11.    PLAN SPIN OFF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June 1, 2024, the Company approved the spin off of the Terphane, LLC participants and their related accounts from the Plan to the newly established Terphane 401(k) Retirement Savings Plan. As a result, net assets of $7,832,029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were transferred out of the Plan.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SUPPLEMENTARY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 RETIREMENT SAVINGS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H, Line 4i – Schedule of Assets (Held at End of Year)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EIN: 54-1497771 PN: 002</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859"/>
        <w:gridCol w:w="613"/>
        <w:gridCol w:w="474"/>
        <w:gridCol w:w="474"/>
        <w:gridCol w:w="474"/>
        <w:gridCol w:w="482"/>
        <w:gridCol w:w="686"/>
        <w:gridCol w:w="686"/>
        <w:gridCol w:w="686"/>
        <w:gridCol w:w="686"/>
        <w:gridCol w:w="686"/>
        <w:gridCol w:w="691"/>
        <w:gridCol w:w="160"/>
        <w:gridCol w:w="160"/>
        <w:gridCol w:w="161"/>
        <w:gridCol w:w="109"/>
        <w:gridCol w:w="109"/>
        <w:gridCol w:w="109"/>
        <w:gridCol w:w="211"/>
        <w:gridCol w:w="118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c>
          <w:tcPr>
            <w:tcW w:w="33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412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37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firstLine="290"/>
              <w:jc w:val="center"/>
              <w:rPr>
                <w:rFonts w:ascii="Times New Roman;serif" w:hAnsi="Times New Roman;serif"/>
                <w:b w:val="false"/>
                <w:color w:val="000000"/>
                <w:sz w:val="20"/>
              </w:rPr>
            </w:pPr>
            <w:r>
              <w:rPr>
                <w:rFonts w:ascii="Times New Roman;serif" w:hAnsi="Times New Roman;serif"/>
                <w:b w:val="false"/>
                <w:color w:val="000000"/>
                <w:sz w:val="20"/>
              </w:rPr>
              <w:t>Identity of issuer, borrower, lessor or similar party</w:t>
            </w:r>
          </w:p>
        </w:tc>
        <w:tc>
          <w:tcPr>
            <w:tcW w:w="412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 of investment including maturity date, rate of interest, collateral, par or maturity value</w:t>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Value</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Government Cash Reserve</w:t>
            </w:r>
          </w:p>
        </w:tc>
        <w:tc>
          <w:tcPr>
            <w:tcW w:w="4121"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1,667,814 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American Funds Europacific GR R6</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Mutual Funds </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803,063 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BlackRock Advantage Small Cap Core</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Mutual Funds </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786,911 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Carillon Eagle Mid Cap Growth I</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Mutual Funds </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2,021,079 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Dodge &amp; Cox Income Fund</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1,970,496 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500 Index Fund</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22,252,817 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Emerging Markets Index Fund</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584,155 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Extended Market Index Fund</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3,329,104 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Index Income Fund</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1,403,883 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2010 Fund - Institutional Premium Class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2015 Fund - Institutional Premium Class</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118,528 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2020 Fund - Institutional Premium Class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7,014,414 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2025 Fund - Institutional Premium Class</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16,205,009 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2030 Fund - Institutional Premium Class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20,505,797 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2035 Fund - Institutional Premium Class</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16,741,204 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2040 Fund - Institutional Premium Class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14,106,008 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2045 Fund - Institutional Premium Class</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11,626,663 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2050 Fund - Institutional Premium Class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7,688,421 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2055 Fund - Institutional Premium Class</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5,769,708 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2060 Fund - Institutional Premium Class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3,594,742 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2065 Fund - Institutional Premium Class</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1,338,818 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Freedom 2070 Fund - Institutional Premium Class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Inflation-Protected Bond Index Fund</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275,144 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Total International Index Fund</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2,123,486 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Fidelity U.S. Bond Index Fund</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1,678,659 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Galliard Retirement Income Fund 45</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Collective/Common Trust</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1,920,783 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Vanguard Real Estate Index Fund</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272,981 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Vanguard Total Intl Bond Index Admiral</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175,552 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340"/>
              <w:jc w:val="left"/>
              <w:rPr>
                <w:rFonts w:ascii="Times New Roman;serif" w:hAnsi="Times New Roman;serif"/>
                <w:b w:val="false"/>
                <w:color w:val="000000"/>
                <w:sz w:val="20"/>
              </w:rPr>
            </w:pPr>
            <w:r>
              <w:rPr>
                <w:rFonts w:ascii="Times New Roman;serif" w:hAnsi="Times New Roman;serif"/>
                <w:b w:val="false"/>
                <w:color w:val="000000"/>
                <w:sz w:val="20"/>
              </w:rPr>
              <w:t>Tredegar Company Stock</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Stock</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4,125,772 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412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Self Directed Brokerage Account</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4,901,114 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37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loans</w:t>
            </w:r>
          </w:p>
        </w:tc>
        <w:tc>
          <w:tcPr>
            <w:tcW w:w="4121"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495 loans, maturing between January 2026 and June 2039 at 4.25% - 9.50% interest</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3,661,395 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158,818,726 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Party-in-interest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Cost omitted for participant directed investments</w:t>
            </w:r>
          </w:p>
        </w:tc>
      </w:tr>
    </w:tbl>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report of independent registered public accounting firm.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p>
      <w:pPr>
        <w:pStyle w:val="TextBody"/>
        <w:bidi w:val="0"/>
        <w:spacing w:before="0" w:after="0"/>
        <w:jc w:val="center"/>
        <w:rPr/>
      </w:pPr>
      <w:r>
        <w:rPr/>
      </w:r>
    </w:p>
    <w:tbl>
      <w:tblPr>
        <w:tblW w:w="5895" w:type="dxa"/>
        <w:jc w:val="center"/>
        <w:tblInd w:w="0" w:type="dxa"/>
        <w:tblLayout w:type="fixed"/>
        <w:tblCellMar>
          <w:top w:w="28" w:type="dxa"/>
          <w:left w:w="28" w:type="dxa"/>
          <w:bottom w:w="28" w:type="dxa"/>
          <w:right w:w="28" w:type="dxa"/>
        </w:tblCellMar>
      </w:tblPr>
      <w:tblGrid>
        <w:gridCol w:w="527"/>
        <w:gridCol w:w="462"/>
        <w:gridCol w:w="466"/>
        <w:gridCol w:w="1297"/>
        <w:gridCol w:w="1297"/>
        <w:gridCol w:w="1846"/>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g-20251231ex231consent.htm">
              <w:r>
                <w:rPr>
                  <w:rStyle w:val="InternetLink"/>
                  <w:rFonts w:ascii="Times New Roman;serif" w:hAnsi="Times New Roman;serif"/>
                  <w:b w:val="false"/>
                  <w:color w:val="0000FF"/>
                  <w:sz w:val="20"/>
                  <w:u w:val="single"/>
                </w:rPr>
                <w:t>23.1</w:t>
              </w:r>
            </w:hyperlink>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g-20251231ex231consent.htm">
              <w:r>
                <w:rPr>
                  <w:rStyle w:val="InternetLink"/>
                  <w:rFonts w:ascii="Times New Roman;serif" w:hAnsi="Times New Roman;serif"/>
                  <w:b w:val="false"/>
                  <w:color w:val="0000FF"/>
                  <w:sz w:val="20"/>
                  <w:u w:val="single"/>
                </w:rPr>
                <w:t>Consent of Independent Registered Accounting Firm</w:t>
              </w:r>
            </w:hyperlink>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Statements (File Nos. 033-64647, 333-66562 and 333-120132) on Form S-8 of Tredegar Corporation of our report dated June 12, 2026, relating to our audit of the financial statements and supplemental schedule of Tredegar Corporation Retirement Savings Plan, as of December 31, 2025, which appears in this Annual Report on Form 11-K of Tredegar Corporation Retirement Savings Plan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PBMares,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Bern, North Carolina</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June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4089</Words>
  <Characters>22863</Characters>
  <CharactersWithSpaces>26617</CharactersWithSpaces>
  <Paragraphs>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