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11"/>
        <w:gridCol w:w="433"/>
        <w:gridCol w:w="789"/>
        <w:gridCol w:w="1252"/>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1,917,639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8.193</w:t>
            </w:r>
            <w:r>
              <w:rPr>
                <w:rFonts w:ascii="Times;serif" w:hAnsi="Times;serif"/>
                <w:color w:val="008000"/>
                <w:position w:val="7"/>
                <w:sz w:val="16"/>
                <w:sz w:val="20"/>
                <w:shd w:fill="FFFFFF" w:val="clear"/>
              </w:rPr>
              <w:t>(5)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391,619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13,170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8.073</w:t>
            </w:r>
            <w:r>
              <w:rPr>
                <w:rFonts w:ascii="Times;serif" w:hAnsi="Times;serif"/>
                <w:color w:val="008000"/>
                <w:position w:val="7"/>
                <w:sz w:val="16"/>
                <w:sz w:val="20"/>
                <w:shd w:fill="FFFFFF" w:val="clear"/>
              </w:rPr>
              <w:t>(6)</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378,449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reporting person and James T Gottwald as trustees of the John D. Gottwald Family Trust FBO reporting person's children.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 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$8.38.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weighted sales price. The shares sold at prices ranging from $8.00 to $8.21.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 Gottwald, Attorney-in-fact for John D.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4178</Characters>
  <CharactersWithSpaces>4847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