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u w:val="single"/>
        </w:rPr>
        <w:t>1-10258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240" w:type="dxa"/>
        <w:jc w:val="center"/>
        <w:tblInd w:w="0" w:type="dxa"/>
        <w:tblLayout w:type="fixed"/>
        <w:tblCellMar>
          <w:top w:w="28" w:type="dxa"/>
          <w:left w:w="28" w:type="dxa"/>
          <w:bottom w:w="28" w:type="dxa"/>
          <w:right w:w="28" w:type="dxa"/>
        </w:tblCellMar>
      </w:tblPr>
      <w:tblGrid>
        <w:gridCol w:w="877"/>
        <w:gridCol w:w="773"/>
        <w:gridCol w:w="779"/>
        <w:gridCol w:w="109"/>
        <w:gridCol w:w="109"/>
        <w:gridCol w:w="109"/>
        <w:gridCol w:w="433"/>
        <w:gridCol w:w="433"/>
        <w:gridCol w:w="618"/>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54-1497771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(804) 330-1000</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TG</w:t>
            </w:r>
          </w:p>
        </w:tc>
        <w:tc>
          <w:tcPr>
            <w:tcW w:w="3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0"/>
        <w:ind w:left="0" w:right="0" w:firstLine="45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44"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419"/>
        <w:gridCol w:w="419"/>
        <w:gridCol w:w="421"/>
        <w:gridCol w:w="109"/>
        <w:gridCol w:w="109"/>
        <w:gridCol w:w="109"/>
        <w:gridCol w:w="679"/>
        <w:gridCol w:w="679"/>
        <w:gridCol w:w="681"/>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45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80" w:after="12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The number of shares of Common Stock, no par value, outstanding as of August 1, 2025: 34,892,602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Tredegar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tbl>
      <w:tblPr>
        <w:tblW w:w="8844" w:type="dxa"/>
        <w:jc w:val="left"/>
        <w:tblInd w:w="0" w:type="dxa"/>
        <w:tblLayout w:type="fixed"/>
        <w:tblCellMar>
          <w:top w:w="28" w:type="dxa"/>
          <w:left w:w="28" w:type="dxa"/>
          <w:bottom w:w="28" w:type="dxa"/>
          <w:right w:w="28" w:type="dxa"/>
        </w:tblCellMar>
      </w:tblPr>
      <w:tblGrid>
        <w:gridCol w:w="291"/>
        <w:gridCol w:w="258"/>
        <w:gridCol w:w="261"/>
        <w:gridCol w:w="2442"/>
        <w:gridCol w:w="2442"/>
        <w:gridCol w:w="2451"/>
        <w:gridCol w:w="109"/>
        <w:gridCol w:w="109"/>
        <w:gridCol w:w="109"/>
        <w:gridCol w:w="109"/>
        <w:gridCol w:w="109"/>
        <w:gridCol w:w="154"/>
      </w:tblGrid>
      <w:tr>
        <w:trPr/>
        <w:tc>
          <w:tcPr>
            <w:tcW w:w="2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3">
              <w:r>
                <w:rPr>
                  <w:rStyle w:val="InternetLink"/>
                  <w:rFonts w:ascii="Times New Roman;serif" w:hAnsi="Times New Roman;serif"/>
                  <w:b/>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
              <w:r>
                <w:rPr>
                  <w:rStyle w:val="InternetLink"/>
                  <w:rFonts w:ascii="Times New Roman;serif" w:hAnsi="Times New Roman;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3">
              <w:r>
                <w:rPr>
                  <w:rStyle w:val="InternetLink"/>
                  <w:rFonts w:ascii="Times New Roman;serif" w:hAnsi="Times New Roman;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6">
              <w:r>
                <w:rPr>
                  <w:rStyle w:val="InternetLink"/>
                  <w:rFonts w:ascii="Times New Roman;serif" w:hAnsi="Times New Roman;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16">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9">
              <w:r>
                <w:rPr>
                  <w:rStyle w:val="InternetLink"/>
                  <w:rFonts w:ascii="Times New Roman;serif" w:hAnsi="Times New Roman;serif"/>
                  <w:b w:val="false"/>
                  <w:color w:val="0000FF"/>
                  <w:sz w:val="20"/>
                  <w:u w:val="single"/>
                </w:rPr>
                <w:t>Condensed Consolidated Statements of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19">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22">
              <w:r>
                <w:rPr>
                  <w:rStyle w:val="InternetLink"/>
                  <w:rFonts w:ascii="Times New Roman;serif" w:hAnsi="Times New Roman;serif"/>
                  <w:b w:val="false"/>
                  <w:color w:val="0000FF"/>
                  <w:sz w:val="20"/>
                  <w:u w:val="single"/>
                </w:rPr>
                <w:t>Condensed Consolidated Statements of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22">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25">
              <w:r>
                <w:rPr>
                  <w:rStyle w:val="InternetLink"/>
                  <w:rFonts w:ascii="Times New Roman;serif" w:hAnsi="Times New Roman;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25">
              <w:r>
                <w:rPr>
                  <w:rStyle w:val="InternetLink"/>
                  <w:rFonts w:ascii="Times New Roman;serif" w:hAnsi="Times New Roman;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28">
              <w:r>
                <w:rPr>
                  <w:rStyle w:val="InternetLink"/>
                  <w:rFonts w:ascii="Times New Roman;serif" w:hAnsi="Times New Roman;serif"/>
                  <w:b w:val="false"/>
                  <w:color w:val="0000FF"/>
                  <w:sz w:val="20"/>
                  <w:u w:val="single"/>
                </w:rPr>
                <w:t>Condensed Consolidated Statements of Shareholders'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28">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31">
              <w:r>
                <w:rPr>
                  <w:rStyle w:val="InternetLink"/>
                  <w:rFonts w:ascii="Times New Roman;serif" w:hAnsi="Times New Roman;serif"/>
                  <w:b w:val="false"/>
                  <w:color w:val="0000FF"/>
                  <w:sz w:val="20"/>
                  <w:u w:val="single"/>
                </w:rPr>
                <w:t>Notes to the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31">
              <w:r>
                <w:rPr>
                  <w:rStyle w:val="InternetLink"/>
                  <w:rFonts w:ascii="Times New Roman;serif" w:hAnsi="Times New Roman;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7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70">
              <w:r>
                <w:rPr>
                  <w:rStyle w:val="InternetLink"/>
                  <w:rFonts w:ascii="Times New Roman;serif" w:hAnsi="Times New Roman;serif"/>
                  <w:b w:val="false"/>
                  <w:color w:val="0000FF"/>
                  <w:sz w:val="20"/>
                  <w:u w:val="single"/>
                </w:rPr>
                <w:t>24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94">
              <w:r>
                <w:rPr>
                  <w:rStyle w:val="InternetLink"/>
                  <w:rFonts w:ascii="Times New Roman;serif" w:hAnsi="Times New Roman;serif"/>
                  <w:b w:val="false"/>
                  <w:color w:val="0000FF"/>
                  <w:sz w:val="20"/>
                  <w:u w:val="single"/>
                </w:rPr>
                <w:t>Item 3</w:t>
              </w:r>
            </w:hyperlink>
            <w:r>
              <w:rPr>
                <w:rFonts w:ascii="Times New Roman;serif" w:hAnsi="Times New Roman;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94">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94">
              <w:r>
                <w:rPr>
                  <w:rStyle w:val="InternetLink"/>
                  <w:rFonts w:ascii="Times New Roman;serif" w:hAnsi="Times New Roman;serif"/>
                  <w:b w:val="false"/>
                  <w:color w:val="0000FF"/>
                  <w:sz w:val="20"/>
                  <w:u w:val="single"/>
                </w:rPr>
                <w:t>38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97">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97">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97">
              <w:r>
                <w:rPr>
                  <w:rStyle w:val="InternetLink"/>
                  <w:rFonts w:ascii="Times New Roman;serif" w:hAnsi="Times New Roman;serif"/>
                  <w:b w:val="false"/>
                  <w:color w:val="0000FF"/>
                  <w:sz w:val="20"/>
                  <w:u w:val="single"/>
                </w:rPr>
                <w:t>41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0">
              <w:r>
                <w:rPr>
                  <w:rStyle w:val="InternetLink"/>
                  <w:rFonts w:ascii="Times New Roman;serif" w:hAnsi="Times New Roman;serif"/>
                  <w:b/>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0">
              <w:r>
                <w:rPr>
                  <w:rStyle w:val="InternetLink"/>
                  <w:rFonts w:ascii="Times New Roman;serif" w:hAnsi="Times New Roman;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3">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3">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103">
              <w:r>
                <w:rPr>
                  <w:rStyle w:val="InternetLink"/>
                  <w:rFonts w:ascii="Times New Roman;serif" w:hAnsi="Times New Roman;serif"/>
                  <w:b w:val="false"/>
                  <w:color w:val="0000FF"/>
                  <w:sz w:val="20"/>
                  <w:u w:val="single"/>
                </w:rPr>
                <w:t>41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6">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6">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106">
              <w:r>
                <w:rPr>
                  <w:rStyle w:val="InternetLink"/>
                  <w:rFonts w:ascii="Times New Roman;serif" w:hAnsi="Times New Roman;serif"/>
                  <w:b w:val="false"/>
                  <w:color w:val="0000FF"/>
                  <w:sz w:val="20"/>
                  <w:u w:val="single"/>
                </w:rPr>
                <w:t>41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9">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d5594415d2429fa71faa34252799bc_109">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d5594415d2429fa71faa34252799bc_109">
              <w:r>
                <w:rPr>
                  <w:rStyle w:val="InternetLink"/>
                  <w:rFonts w:ascii="Times New Roman;serif" w:hAnsi="Times New Roman;serif"/>
                  <w:b w:val="false"/>
                  <w:color w:val="0000FF"/>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PART I - FINANCIAL INFORMATION</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9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349"/>
        <w:gridCol w:w="2316"/>
        <w:gridCol w:w="211"/>
        <w:gridCol w:w="826"/>
        <w:gridCol w:w="109"/>
        <w:gridCol w:w="109"/>
        <w:gridCol w:w="109"/>
        <w:gridCol w:w="109"/>
        <w:gridCol w:w="217"/>
        <w:gridCol w:w="850"/>
        <w:gridCol w:w="160"/>
      </w:tblGrid>
      <w:tr>
        <w:trPr/>
        <w:tc>
          <w:tcPr>
            <w:tcW w:w="284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of 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short-term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 revolving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shares 150,000,000, issued and outstanding 34,876,616 shares at June 30, 2025 and 34,661,272 shares at December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held in trust for savings restoration plan (118,543 shares at June 30, 2025 and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356,357 </w:t>
            </w:r>
          </w:p>
        </w:tc>
        <w:tc>
          <w:tcPr>
            <w:tcW w:w="1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78"/>
        <w:gridCol w:w="1402"/>
        <w:gridCol w:w="14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7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 and other items: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costs associated with exit and disposal activities, net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7"/>
        <w:gridCol w:w="2467"/>
        <w:gridCol w:w="2443"/>
        <w:gridCol w:w="232"/>
        <w:gridCol w:w="680"/>
        <w:gridCol w:w="120"/>
        <w:gridCol w:w="120"/>
        <w:gridCol w:w="120"/>
        <w:gridCol w:w="120"/>
        <w:gridCol w:w="232"/>
        <w:gridCol w:w="680"/>
        <w:gridCol w:w="174"/>
      </w:tblGrid>
      <w:tr>
        <w:trPr/>
        <w:tc>
          <w:tcPr>
            <w:tcW w:w="281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7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7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adjustment ($0 tax in 2025 and net of tax benefit of $691 in 2024)</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adjustment (net of tax expense of $171 in 2025 and net of tax benefit of $253 in 2024)</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 (net of tax benefit of $14 in 2025 and net of tax benefit of $8 in 2024)</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6"/>
        <w:gridCol w:w="2475"/>
        <w:gridCol w:w="2449"/>
        <w:gridCol w:w="211"/>
        <w:gridCol w:w="721"/>
        <w:gridCol w:w="109"/>
        <w:gridCol w:w="109"/>
        <w:gridCol w:w="109"/>
        <w:gridCol w:w="109"/>
        <w:gridCol w:w="211"/>
        <w:gridCol w:w="721"/>
        <w:gridCol w:w="155"/>
      </w:tblGrid>
      <w:tr>
        <w:trPr/>
        <w:tc>
          <w:tcPr>
            <w:tcW w:w="2826"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adjustment ($0 tax in 2025 and net of tax benefit of $470 in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adjustment (net of tax expense of $103 in 2025 and net of tax benefit of $393 in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 (net of tax benefit of $38 in 2025 and net of tax benefit of $16 in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939" w:type="dxa"/>
        <w:jc w:val="center"/>
        <w:tblInd w:w="0" w:type="dxa"/>
        <w:tblLayout w:type="fixed"/>
        <w:tblCellMar>
          <w:top w:w="28" w:type="dxa"/>
          <w:left w:w="28" w:type="dxa"/>
          <w:bottom w:w="28" w:type="dxa"/>
          <w:right w:w="28" w:type="dxa"/>
        </w:tblCellMar>
      </w:tblPr>
      <w:tblGrid>
        <w:gridCol w:w="1622"/>
        <w:gridCol w:w="1427"/>
        <w:gridCol w:w="1436"/>
        <w:gridCol w:w="211"/>
        <w:gridCol w:w="721"/>
        <w:gridCol w:w="109"/>
        <w:gridCol w:w="109"/>
        <w:gridCol w:w="109"/>
        <w:gridCol w:w="109"/>
        <w:gridCol w:w="211"/>
        <w:gridCol w:w="72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noncash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identifiable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right-of-use lease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 in kaléo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divested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recoverable/payable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Terphane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on sale of investment in kaléo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principal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shareholders’ equity for the three month period ended June 30, 2025:</w:t>
      </w:r>
    </w:p>
    <w:tbl>
      <w:tblPr>
        <w:tblW w:w="10205" w:type="dxa"/>
        <w:jc w:val="left"/>
        <w:tblInd w:w="0" w:type="dxa"/>
        <w:tblLayout w:type="fixed"/>
        <w:tblCellMar>
          <w:top w:w="28" w:type="dxa"/>
          <w:left w:w="28" w:type="dxa"/>
          <w:bottom w:w="28" w:type="dxa"/>
          <w:right w:w="28" w:type="dxa"/>
        </w:tblCellMar>
      </w:tblPr>
      <w:tblGrid>
        <w:gridCol w:w="944"/>
        <w:gridCol w:w="479"/>
        <w:gridCol w:w="483"/>
        <w:gridCol w:w="222"/>
        <w:gridCol w:w="759"/>
        <w:gridCol w:w="114"/>
        <w:gridCol w:w="109"/>
        <w:gridCol w:w="109"/>
        <w:gridCol w:w="109"/>
        <w:gridCol w:w="225"/>
        <w:gridCol w:w="882"/>
        <w:gridCol w:w="116"/>
        <w:gridCol w:w="109"/>
        <w:gridCol w:w="109"/>
        <w:gridCol w:w="109"/>
        <w:gridCol w:w="302"/>
        <w:gridCol w:w="904"/>
        <w:gridCol w:w="156"/>
        <w:gridCol w:w="109"/>
        <w:gridCol w:w="109"/>
        <w:gridCol w:w="109"/>
        <w:gridCol w:w="418"/>
        <w:gridCol w:w="1223"/>
        <w:gridCol w:w="218"/>
        <w:gridCol w:w="109"/>
        <w:gridCol w:w="109"/>
        <w:gridCol w:w="109"/>
        <w:gridCol w:w="255"/>
        <w:gridCol w:w="1001"/>
        <w:gridCol w:w="196"/>
      </w:tblGrid>
      <w:tr>
        <w:trPr/>
        <w:tc>
          <w:tcPr>
            <w:tcW w:w="9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 Savings Restoration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April 1, 2025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125,244 </w:t>
            </w:r>
          </w:p>
        </w:tc>
        <w:tc>
          <w:tcPr>
            <w:tcW w:w="1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The following summarizes the changes in shareholders’ equity for the</w:t>
      </w:r>
      <w:r>
        <w:rPr>
          <w:color w:val="000000"/>
        </w:rPr>
        <w:t xml:space="preserve"> </w:t>
      </w:r>
      <w:r>
        <w:rPr>
          <w:rFonts w:ascii="Times New Roman;serif" w:hAnsi="Times New Roman;serif"/>
          <w:b w:val="false"/>
          <w:color w:val="000000"/>
          <w:sz w:val="20"/>
        </w:rPr>
        <w:t>six month period ended June 30, 2025:</w:t>
      </w:r>
    </w:p>
    <w:tbl>
      <w:tblPr>
        <w:tblW w:w="10205" w:type="dxa"/>
        <w:jc w:val="left"/>
        <w:tblInd w:w="0" w:type="dxa"/>
        <w:tblLayout w:type="fixed"/>
        <w:tblCellMar>
          <w:top w:w="28" w:type="dxa"/>
          <w:left w:w="28" w:type="dxa"/>
          <w:bottom w:w="28" w:type="dxa"/>
          <w:right w:w="28" w:type="dxa"/>
        </w:tblCellMar>
      </w:tblPr>
      <w:tblGrid>
        <w:gridCol w:w="944"/>
        <w:gridCol w:w="479"/>
        <w:gridCol w:w="483"/>
        <w:gridCol w:w="222"/>
        <w:gridCol w:w="759"/>
        <w:gridCol w:w="114"/>
        <w:gridCol w:w="109"/>
        <w:gridCol w:w="109"/>
        <w:gridCol w:w="109"/>
        <w:gridCol w:w="225"/>
        <w:gridCol w:w="882"/>
        <w:gridCol w:w="116"/>
        <w:gridCol w:w="109"/>
        <w:gridCol w:w="109"/>
        <w:gridCol w:w="109"/>
        <w:gridCol w:w="302"/>
        <w:gridCol w:w="904"/>
        <w:gridCol w:w="156"/>
        <w:gridCol w:w="109"/>
        <w:gridCol w:w="109"/>
        <w:gridCol w:w="109"/>
        <w:gridCol w:w="418"/>
        <w:gridCol w:w="1223"/>
        <w:gridCol w:w="218"/>
        <w:gridCol w:w="109"/>
        <w:gridCol w:w="109"/>
        <w:gridCol w:w="109"/>
        <w:gridCol w:w="255"/>
        <w:gridCol w:w="1001"/>
        <w:gridCol w:w="196"/>
      </w:tblGrid>
      <w:tr>
        <w:trPr/>
        <w:tc>
          <w:tcPr>
            <w:tcW w:w="9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 Savings Restoration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and net gains or losses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64,561 </w:t>
            </w:r>
          </w:p>
        </w:tc>
        <w:tc>
          <w:tcPr>
            <w:tcW w:w="1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125,244 </w:t>
            </w:r>
          </w:p>
        </w:tc>
        <w:tc>
          <w:tcPr>
            <w:tcW w:w="1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194,106 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changes in shareholders’ equity for the three month period ended June 30, 2024: </w:t>
      </w:r>
    </w:p>
    <w:tbl>
      <w:tblPr>
        <w:tblW w:w="10205" w:type="dxa"/>
        <w:jc w:val="left"/>
        <w:tblInd w:w="0" w:type="dxa"/>
        <w:tblLayout w:type="fixed"/>
        <w:tblCellMar>
          <w:top w:w="28" w:type="dxa"/>
          <w:left w:w="28" w:type="dxa"/>
          <w:bottom w:w="28" w:type="dxa"/>
          <w:right w:w="28" w:type="dxa"/>
        </w:tblCellMar>
      </w:tblPr>
      <w:tblGrid>
        <w:gridCol w:w="1127"/>
        <w:gridCol w:w="722"/>
        <w:gridCol w:w="728"/>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362"/>
        <w:gridCol w:w="1267"/>
        <w:gridCol w:w="189"/>
        <w:gridCol w:w="109"/>
        <w:gridCol w:w="109"/>
        <w:gridCol w:w="109"/>
        <w:gridCol w:w="223"/>
        <w:gridCol w:w="874"/>
        <w:gridCol w:w="167"/>
      </w:tblGrid>
      <w:tr>
        <w:trPr/>
        <w:tc>
          <w:tcPr>
            <w:tcW w:w="11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2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(90,353)</w:t>
            </w:r>
          </w:p>
        </w:tc>
        <w:tc>
          <w:tcPr>
            <w:tcW w:w="1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159,964 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changes in shareholders’ equity for the six month period ended June 30, 2024: </w:t>
      </w:r>
    </w:p>
    <w:tbl>
      <w:tblPr>
        <w:tblW w:w="10205" w:type="dxa"/>
        <w:jc w:val="left"/>
        <w:tblInd w:w="0" w:type="dxa"/>
        <w:tblLayout w:type="fixed"/>
        <w:tblCellMar>
          <w:top w:w="28" w:type="dxa"/>
          <w:left w:w="28" w:type="dxa"/>
          <w:bottom w:w="28" w:type="dxa"/>
          <w:right w:w="28" w:type="dxa"/>
        </w:tblCellMar>
      </w:tblPr>
      <w:tblGrid>
        <w:gridCol w:w="1139"/>
        <w:gridCol w:w="726"/>
        <w:gridCol w:w="732"/>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358"/>
        <w:gridCol w:w="1253"/>
        <w:gridCol w:w="187"/>
        <w:gridCol w:w="109"/>
        <w:gridCol w:w="109"/>
        <w:gridCol w:w="109"/>
        <w:gridCol w:w="223"/>
        <w:gridCol w:w="874"/>
        <w:gridCol w:w="167"/>
      </w:tblGrid>
      <w:tr>
        <w:trPr/>
        <w:tc>
          <w:tcPr>
            <w:tcW w:w="113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br/>
              <w:t>Shareholders’</w:t>
              <w:br/>
              <w:t>Equity</w:t>
            </w:r>
          </w:p>
        </w:tc>
      </w:tr>
      <w:tr>
        <w:trPr/>
        <w:tc>
          <w:tcPr>
            <w:tcW w:w="2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employee common stock for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(90,353)</w:t>
            </w:r>
          </w:p>
        </w:tc>
        <w:tc>
          <w:tcPr>
            <w:tcW w:w="1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159,964 </w:t>
            </w:r>
          </w:p>
        </w:tc>
        <w:tc>
          <w:tcPr>
            <w:tcW w:w="1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TREDEGAR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June 30, 2025, the condensed consolidated results of operations for the three and six months ended June 30, 2025 and 2024, the condensed consolidated cash flows for the six months ended June 30, 2025 and 2024, and the condensed consolidated changes in shareholders’ equity for the three and six months ended June 30, 2025 and 2024, in accordance with U.S. generally accepted accounting principles (“GAAP”). All such adjustments, unless otherwise detailed in the notes to the condensed consolidated financial statements, are deemed to be of a normal, recurring nature.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on a calendar fiscal year except for the Aluminum Extrusions segment, which operates on a 52/53-week fiscal year basis.  As such, the fiscal second quarter for 2025 and 2024 for this segment references 13-week periods ended June 29, 2025 and June 30, 2024,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As a result, the Company’s cash and cash equivalents declined by $3.6 million as of December 31, 2024 since the Company made payments to the Aluminum Extrusions segment to fund its working capital during the intervening period. There was no intercompany funding with Aluminum Extrusions between June 29, 2025 and June 30,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as of December 31, 2024 that is included herein was derived from the audited consolidated financial statements provided in the Company’s Annual Report on Form 10-K for the year ended December 31, 2024 (“2024 Form 10-K”) but does not include all disclosures required by GAAP. These financial statements should be read in conjunction with the audited consolidated financial statements and related notes included in the 2024 Form 10-K.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2025, are not necessarily indicative of the results to be expected for the full year.</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Sale of Flexible Packaging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11.</w:t>
      </w:r>
    </w:p>
    <w:p>
      <w:pPr>
        <w:pStyle w:val="TextBody"/>
        <w:bidi w:val="0"/>
        <w:spacing w:lineRule="auto" w:line="288" w:before="100" w:after="283"/>
        <w:jc w:val="left"/>
        <w:rPr/>
      </w:pPr>
      <w:r>
        <w:rPr>
          <w:rFonts w:ascii="Times New Roman;serif" w:hAnsi="Times New Roman;serif"/>
          <w:b/>
          <w:i/>
          <w:color w:val="000000"/>
          <w:sz w:val="20"/>
        </w:rPr>
        <w:t>Closure of PE Films Technical Center</w:t>
      </w:r>
      <w:r>
        <w:rPr>
          <w:color w:val="EE2724"/>
        </w:rPr>
        <w:t xml:space="preserv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2023, the Company adopted a plan to close the PE Films technical center in Richmond, VA and reduce its efforts to develop and sell films supporting the semiconductor market. Research &amp; development activities for PE Films are now being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individual jurisdictions. This ASU is effective for annual periods beginning after December 15, 2024; early adoption is permitted. The Company will adopt this ASU on a prospective basis and continues to evaluate additional disclosures that may be required in its Annual Report on Form 10-K for the year ended December 31, 2025.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 impact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2. ACCOUNTS AND OTHER RECEIVABLES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accounts and other receivables, net include the following:</w:t>
      </w:r>
    </w:p>
    <w:tbl>
      <w:tblPr>
        <w:tblW w:w="6744" w:type="dxa"/>
        <w:jc w:val="left"/>
        <w:tblInd w:w="0" w:type="dxa"/>
        <w:tblLayout w:type="fixed"/>
        <w:tblCellMar>
          <w:top w:w="28" w:type="dxa"/>
          <w:left w:w="28" w:type="dxa"/>
          <w:bottom w:w="28" w:type="dxa"/>
          <w:right w:w="28" w:type="dxa"/>
        </w:tblCellMar>
      </w:tblPr>
      <w:tblGrid>
        <w:gridCol w:w="1247"/>
        <w:gridCol w:w="1098"/>
        <w:gridCol w:w="1104"/>
        <w:gridCol w:w="252"/>
        <w:gridCol w:w="862"/>
        <w:gridCol w:w="130"/>
        <w:gridCol w:w="109"/>
        <w:gridCol w:w="109"/>
        <w:gridCol w:w="109"/>
        <w:gridCol w:w="335"/>
        <w:gridCol w:w="1145"/>
        <w:gridCol w:w="24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receivables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accounts and other receivables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bad debts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and other receivables, net</w:t>
            </w:r>
          </w:p>
        </w:tc>
        <w:tc>
          <w:tcPr>
            <w:tcW w:w="2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78,833 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64,817 </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5484" w:type="dxa"/>
        <w:jc w:val="left"/>
        <w:tblInd w:w="0" w:type="dxa"/>
        <w:tblLayout w:type="fixed"/>
        <w:tblCellMar>
          <w:top w:w="28" w:type="dxa"/>
          <w:left w:w="28" w:type="dxa"/>
          <w:bottom w:w="28" w:type="dxa"/>
          <w:right w:w="28" w:type="dxa"/>
        </w:tblCellMar>
      </w:tblPr>
      <w:tblGrid>
        <w:gridCol w:w="791"/>
        <w:gridCol w:w="696"/>
        <w:gridCol w:w="702"/>
        <w:gridCol w:w="252"/>
        <w:gridCol w:w="862"/>
        <w:gridCol w:w="130"/>
        <w:gridCol w:w="109"/>
        <w:gridCol w:w="109"/>
        <w:gridCol w:w="109"/>
        <w:gridCol w:w="335"/>
        <w:gridCol w:w="1145"/>
        <w:gridCol w:w="24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supplies and 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66,648 </w:t>
            </w:r>
          </w:p>
        </w:tc>
        <w:tc>
          <w:tcPr>
            <w:tcW w:w="1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51,381 </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4. PENSION AND OTHER POSTRETIREMENT BENEFITS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six months ended June 30, 2025 and 2024. This information has been included in the pension benefit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net periodic benefit cost for the pension and other postretirement benefit programs reflected in the condensed consolidated statements of income for the three and six months ended June 30, 2025 and 2024, are shown below: </w:t>
      </w:r>
    </w:p>
    <w:tbl>
      <w:tblPr>
        <w:tblW w:w="10205" w:type="dxa"/>
        <w:jc w:val="left"/>
        <w:tblInd w:w="0" w:type="dxa"/>
        <w:tblLayout w:type="fixed"/>
        <w:tblCellMar>
          <w:top w:w="28" w:type="dxa"/>
          <w:left w:w="28" w:type="dxa"/>
          <w:bottom w:w="28" w:type="dxa"/>
          <w:right w:w="28" w:type="dxa"/>
        </w:tblCellMar>
      </w:tblPr>
      <w:tblGrid>
        <w:gridCol w:w="1809"/>
        <w:gridCol w:w="1593"/>
        <w:gridCol w:w="1585"/>
        <w:gridCol w:w="281"/>
        <w:gridCol w:w="542"/>
        <w:gridCol w:w="145"/>
        <w:gridCol w:w="145"/>
        <w:gridCol w:w="145"/>
        <w:gridCol w:w="145"/>
        <w:gridCol w:w="281"/>
        <w:gridCol w:w="542"/>
        <w:gridCol w:w="145"/>
        <w:gridCol w:w="109"/>
        <w:gridCol w:w="109"/>
        <w:gridCol w:w="109"/>
        <w:gridCol w:w="324"/>
        <w:gridCol w:w="394"/>
        <w:gridCol w:w="167"/>
        <w:gridCol w:w="167"/>
        <w:gridCol w:w="167"/>
        <w:gridCol w:w="167"/>
        <w:gridCol w:w="324"/>
        <w:gridCol w:w="557"/>
        <w:gridCol w:w="253"/>
      </w:tblGrid>
      <w:tr>
        <w:trPr/>
        <w:tc>
          <w:tcPr>
            <w:tcW w:w="18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Post-Retirement Benefits</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(gains) losses and net transition asset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1"/>
        <w:gridCol w:w="1631"/>
        <w:gridCol w:w="1625"/>
        <w:gridCol w:w="264"/>
        <w:gridCol w:w="510"/>
        <w:gridCol w:w="136"/>
        <w:gridCol w:w="136"/>
        <w:gridCol w:w="136"/>
        <w:gridCol w:w="136"/>
        <w:gridCol w:w="264"/>
        <w:gridCol w:w="510"/>
        <w:gridCol w:w="136"/>
        <w:gridCol w:w="109"/>
        <w:gridCol w:w="109"/>
        <w:gridCol w:w="109"/>
        <w:gridCol w:w="302"/>
        <w:gridCol w:w="559"/>
        <w:gridCol w:w="156"/>
        <w:gridCol w:w="156"/>
        <w:gridCol w:w="156"/>
        <w:gridCol w:w="156"/>
        <w:gridCol w:w="302"/>
        <w:gridCol w:w="518"/>
        <w:gridCol w:w="238"/>
      </w:tblGrid>
      <w:tr>
        <w:trPr/>
        <w:tc>
          <w:tcPr>
            <w:tcW w:w="185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Post-Retirement Benefits</w:t>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(gains) losses and net transition asset</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Pension and other postretirement liabilities were $6.4 million and $6.6 million at June 30, 2025 and December 31, 2024, respectively ($0.6 million included in “Accrued expenses” at June 30, 2025 and December 31, 2024 with the remainder included in “Pension and other postretirement benefit obligations, net” in the condensed consolidated balance sheets).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funds its other postretirement benefits on a claims-made basis; for 2025, the Company anticipates the amount will be consistent with amounts paid for the year ended December 31, 2024, or approximately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 </w:t>
      </w:r>
    </w:p>
    <w:tbl>
      <w:tblPr>
        <w:tblW w:w="10205" w:type="dxa"/>
        <w:jc w:val="left"/>
        <w:tblInd w:w="0" w:type="dxa"/>
        <w:tblLayout w:type="fixed"/>
        <w:tblCellMar>
          <w:top w:w="28" w:type="dxa"/>
          <w:left w:w="28" w:type="dxa"/>
          <w:bottom w:w="28" w:type="dxa"/>
          <w:right w:w="28" w:type="dxa"/>
        </w:tblCellMar>
      </w:tblPr>
      <w:tblGrid>
        <w:gridCol w:w="1721"/>
        <w:gridCol w:w="1492"/>
        <w:gridCol w:w="1489"/>
        <w:gridCol w:w="485"/>
        <w:gridCol w:w="266"/>
        <w:gridCol w:w="223"/>
        <w:gridCol w:w="223"/>
        <w:gridCol w:w="223"/>
        <w:gridCol w:w="223"/>
        <w:gridCol w:w="485"/>
        <w:gridCol w:w="266"/>
        <w:gridCol w:w="223"/>
        <w:gridCol w:w="109"/>
        <w:gridCol w:w="109"/>
        <w:gridCol w:w="109"/>
        <w:gridCol w:w="437"/>
        <w:gridCol w:w="284"/>
        <w:gridCol w:w="205"/>
        <w:gridCol w:w="205"/>
        <w:gridCol w:w="205"/>
        <w:gridCol w:w="205"/>
        <w:gridCol w:w="437"/>
        <w:gridCol w:w="284"/>
        <w:gridCol w:w="297"/>
      </w:tblGrid>
      <w:tr>
        <w:trPr/>
        <w:tc>
          <w:tcPr>
            <w:tcW w:w="172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7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4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to compute basic earnings per share</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dilutive shares attributable to stock options and restricted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2"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share</w:t>
            </w:r>
          </w:p>
        </w:tc>
        <w:tc>
          <w:tcPr>
            <w:tcW w:w="751"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22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34,378 </w:t>
            </w:r>
          </w:p>
        </w:tc>
        <w:tc>
          <w:tcPr>
            <w:tcW w:w="22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20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29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Incremental shares attributable to stock options and restricted stock are computed under the treasury stock method using the average market price during the related period. Average out-of-the-money options to purchase shares that were excluded from the calculation of incremental shares attributable to stock options and restricted stock were 1,245,367 and 1,285,628 for the three and six months ended June 30, 2025, respectively. Average out-of-the-money options to purchase shares that were excluded from the calculation of incremental shares attributable to stock options and restricted stock were 2,427,051 and 2,648,861 for the three and six months ended June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6. ACCUMULATED OTHER COMPREHENSIVE INCOME (LOSS)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three months ended June 30, 2025.</w:t>
      </w:r>
    </w:p>
    <w:tbl>
      <w:tblPr>
        <w:tblW w:w="10205" w:type="dxa"/>
        <w:jc w:val="left"/>
        <w:tblInd w:w="0" w:type="dxa"/>
        <w:tblLayout w:type="fixed"/>
        <w:tblCellMar>
          <w:top w:w="28" w:type="dxa"/>
          <w:left w:w="28" w:type="dxa"/>
          <w:bottom w:w="28" w:type="dxa"/>
          <w:right w:w="28" w:type="dxa"/>
        </w:tblCellMar>
      </w:tblPr>
      <w:tblGrid>
        <w:gridCol w:w="833"/>
        <w:gridCol w:w="593"/>
        <w:gridCol w:w="596"/>
        <w:gridCol w:w="310"/>
        <w:gridCol w:w="907"/>
        <w:gridCol w:w="162"/>
        <w:gridCol w:w="109"/>
        <w:gridCol w:w="109"/>
        <w:gridCol w:w="109"/>
        <w:gridCol w:w="466"/>
        <w:gridCol w:w="1030"/>
        <w:gridCol w:w="241"/>
        <w:gridCol w:w="109"/>
        <w:gridCol w:w="109"/>
        <w:gridCol w:w="109"/>
        <w:gridCol w:w="505"/>
        <w:gridCol w:w="1118"/>
        <w:gridCol w:w="263"/>
        <w:gridCol w:w="109"/>
        <w:gridCol w:w="109"/>
        <w:gridCol w:w="109"/>
        <w:gridCol w:w="470"/>
        <w:gridCol w:w="1377"/>
        <w:gridCol w:w="353"/>
      </w:tblGrid>
      <w:tr>
        <w:trPr/>
        <w:tc>
          <w:tcPr>
            <w:tcW w:w="83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2025</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3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six months ended June 30, 2025.</w:t>
      </w:r>
    </w:p>
    <w:tbl>
      <w:tblPr>
        <w:tblW w:w="10205" w:type="dxa"/>
        <w:jc w:val="left"/>
        <w:tblInd w:w="0" w:type="dxa"/>
        <w:tblLayout w:type="fixed"/>
        <w:tblCellMar>
          <w:top w:w="28" w:type="dxa"/>
          <w:left w:w="28" w:type="dxa"/>
          <w:bottom w:w="28" w:type="dxa"/>
          <w:right w:w="28" w:type="dxa"/>
        </w:tblCellMar>
      </w:tblPr>
      <w:tblGrid>
        <w:gridCol w:w="834"/>
        <w:gridCol w:w="592"/>
        <w:gridCol w:w="596"/>
        <w:gridCol w:w="310"/>
        <w:gridCol w:w="907"/>
        <w:gridCol w:w="162"/>
        <w:gridCol w:w="109"/>
        <w:gridCol w:w="109"/>
        <w:gridCol w:w="109"/>
        <w:gridCol w:w="466"/>
        <w:gridCol w:w="1030"/>
        <w:gridCol w:w="241"/>
        <w:gridCol w:w="109"/>
        <w:gridCol w:w="109"/>
        <w:gridCol w:w="109"/>
        <w:gridCol w:w="505"/>
        <w:gridCol w:w="1118"/>
        <w:gridCol w:w="263"/>
        <w:gridCol w:w="109"/>
        <w:gridCol w:w="109"/>
        <w:gridCol w:w="109"/>
        <w:gridCol w:w="470"/>
        <w:gridCol w:w="1377"/>
        <w:gridCol w:w="353"/>
      </w:tblGrid>
      <w:tr>
        <w:trPr/>
        <w:tc>
          <w:tcPr>
            <w:tcW w:w="83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3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three months ended June 30, 2024.</w:t>
      </w:r>
    </w:p>
    <w:tbl>
      <w:tblPr>
        <w:tblW w:w="10205" w:type="dxa"/>
        <w:jc w:val="left"/>
        <w:tblInd w:w="0" w:type="dxa"/>
        <w:tblLayout w:type="fixed"/>
        <w:tblCellMar>
          <w:top w:w="28" w:type="dxa"/>
          <w:left w:w="28" w:type="dxa"/>
          <w:bottom w:w="28" w:type="dxa"/>
          <w:right w:w="28" w:type="dxa"/>
        </w:tblCellMar>
      </w:tblPr>
      <w:tblGrid>
        <w:gridCol w:w="832"/>
        <w:gridCol w:w="591"/>
        <w:gridCol w:w="594"/>
        <w:gridCol w:w="272"/>
        <w:gridCol w:w="980"/>
        <w:gridCol w:w="140"/>
        <w:gridCol w:w="109"/>
        <w:gridCol w:w="109"/>
        <w:gridCol w:w="109"/>
        <w:gridCol w:w="455"/>
        <w:gridCol w:w="1042"/>
        <w:gridCol w:w="237"/>
        <w:gridCol w:w="109"/>
        <w:gridCol w:w="109"/>
        <w:gridCol w:w="109"/>
        <w:gridCol w:w="504"/>
        <w:gridCol w:w="1116"/>
        <w:gridCol w:w="262"/>
        <w:gridCol w:w="109"/>
        <w:gridCol w:w="109"/>
        <w:gridCol w:w="109"/>
        <w:gridCol w:w="419"/>
        <w:gridCol w:w="1464"/>
        <w:gridCol w:w="316"/>
      </w:tblGrid>
      <w:tr>
        <w:trPr/>
        <w:tc>
          <w:tcPr>
            <w:tcW w:w="8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2024</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(90,273)</w:t>
            </w:r>
          </w:p>
        </w:tc>
        <w:tc>
          <w:tcPr>
            <w:tcW w:w="1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(90,353)</w:t>
            </w:r>
          </w:p>
        </w:tc>
        <w:tc>
          <w:tcPr>
            <w:tcW w:w="3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by component for the six months ended June 30, 2024.</w:t>
      </w:r>
    </w:p>
    <w:tbl>
      <w:tblPr>
        <w:tblW w:w="10205" w:type="dxa"/>
        <w:jc w:val="left"/>
        <w:tblInd w:w="0" w:type="dxa"/>
        <w:tblLayout w:type="fixed"/>
        <w:tblCellMar>
          <w:top w:w="28" w:type="dxa"/>
          <w:left w:w="28" w:type="dxa"/>
          <w:bottom w:w="28" w:type="dxa"/>
          <w:right w:w="28" w:type="dxa"/>
        </w:tblCellMar>
      </w:tblPr>
      <w:tblGrid>
        <w:gridCol w:w="833"/>
        <w:gridCol w:w="591"/>
        <w:gridCol w:w="594"/>
        <w:gridCol w:w="272"/>
        <w:gridCol w:w="980"/>
        <w:gridCol w:w="140"/>
        <w:gridCol w:w="109"/>
        <w:gridCol w:w="109"/>
        <w:gridCol w:w="109"/>
        <w:gridCol w:w="455"/>
        <w:gridCol w:w="1042"/>
        <w:gridCol w:w="237"/>
        <w:gridCol w:w="109"/>
        <w:gridCol w:w="109"/>
        <w:gridCol w:w="109"/>
        <w:gridCol w:w="504"/>
        <w:gridCol w:w="1116"/>
        <w:gridCol w:w="262"/>
        <w:gridCol w:w="109"/>
        <w:gridCol w:w="109"/>
        <w:gridCol w:w="109"/>
        <w:gridCol w:w="419"/>
        <w:gridCol w:w="1464"/>
        <w:gridCol w:w="315"/>
      </w:tblGrid>
      <w:tr>
        <w:trPr/>
        <w:tc>
          <w:tcPr>
            <w:tcW w:w="8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(81,697)</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to net income (loss), net of tax</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(90,273)</w:t>
            </w:r>
          </w:p>
        </w:tc>
        <w:tc>
          <w:tcPr>
            <w:tcW w:w="1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(90,353)</w:t>
            </w:r>
          </w:p>
        </w:tc>
        <w:tc>
          <w:tcPr>
            <w:tcW w:w="3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reclassified out of accumulated other comprehensive income (loss) related to pension and other postretirement benefits is included in the computation of net periodic pension costs. See Note 4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7. DERIVATIVES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uses derivative financial instruments for the purpose of hedging margin exposure from fixed-price forward sales contracts in Aluminum Extrusions. These derivative financial instruments are designated as and qualify as cash flow hedges and are recognized in the condensed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purchases of aluminum to meet fixed-price forward sales contract obligations was $7.9 million (5.1 million pounds of aluminum) at June 30, 2025 and $4.3 million (3.1 million pounds of aluminum) at December 31, 2024.</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location and gross amounts of aluminum futures contract fair values (Level 2) in the condensed consolidated balance sheets as of June 30, 2025 and December 31, 2024: </w:t>
      </w:r>
    </w:p>
    <w:tbl>
      <w:tblPr>
        <w:tblW w:w="10205" w:type="dxa"/>
        <w:jc w:val="left"/>
        <w:tblInd w:w="0" w:type="dxa"/>
        <w:tblLayout w:type="fixed"/>
        <w:tblCellMar>
          <w:top w:w="28" w:type="dxa"/>
          <w:left w:w="28" w:type="dxa"/>
          <w:bottom w:w="28" w:type="dxa"/>
          <w:right w:w="28" w:type="dxa"/>
        </w:tblCellMar>
      </w:tblPr>
      <w:tblGrid>
        <w:gridCol w:w="1215"/>
        <w:gridCol w:w="1046"/>
        <w:gridCol w:w="1051"/>
        <w:gridCol w:w="691"/>
        <w:gridCol w:w="691"/>
        <w:gridCol w:w="692"/>
        <w:gridCol w:w="109"/>
        <w:gridCol w:w="109"/>
        <w:gridCol w:w="109"/>
        <w:gridCol w:w="211"/>
        <w:gridCol w:w="466"/>
        <w:gridCol w:w="109"/>
        <w:gridCol w:w="109"/>
        <w:gridCol w:w="109"/>
        <w:gridCol w:w="109"/>
        <w:gridCol w:w="691"/>
        <w:gridCol w:w="691"/>
        <w:gridCol w:w="692"/>
        <w:gridCol w:w="122"/>
        <w:gridCol w:w="122"/>
        <w:gridCol w:w="122"/>
        <w:gridCol w:w="237"/>
        <w:gridCol w:w="524"/>
        <w:gridCol w:w="178"/>
      </w:tblGrid>
      <w:tr>
        <w:trPr/>
        <w:tc>
          <w:tcPr>
            <w:tcW w:w="121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Account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Account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Asset derivatives: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Asset derivatives:</w:t>
            </w:r>
          </w:p>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Liability derivatives: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31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(liability)</w:t>
            </w:r>
          </w:p>
        </w:tc>
        <w:tc>
          <w:tcPr>
            <w:tcW w:w="207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pre-tax effect on net income (loss) and other comprehensive income (loss) of derivative instruments classified as cash flow hedges and described in the previous paragraphs for the three and six month periods ended June 30, 2025 and 2024 is summarized in the table below: </w:t>
      </w:r>
    </w:p>
    <w:tbl>
      <w:tblPr>
        <w:tblW w:w="10205" w:type="dxa"/>
        <w:jc w:val="left"/>
        <w:tblInd w:w="0" w:type="dxa"/>
        <w:tblLayout w:type="fixed"/>
        <w:tblCellMar>
          <w:top w:w="28" w:type="dxa"/>
          <w:left w:w="28" w:type="dxa"/>
          <w:bottom w:w="28" w:type="dxa"/>
          <w:right w:w="28" w:type="dxa"/>
        </w:tblCellMar>
      </w:tblPr>
      <w:tblGrid>
        <w:gridCol w:w="2568"/>
        <w:gridCol w:w="2257"/>
        <w:gridCol w:w="2284"/>
        <w:gridCol w:w="352"/>
        <w:gridCol w:w="778"/>
        <w:gridCol w:w="180"/>
        <w:gridCol w:w="121"/>
        <w:gridCol w:w="121"/>
        <w:gridCol w:w="121"/>
        <w:gridCol w:w="287"/>
        <w:gridCol w:w="921"/>
        <w:gridCol w:w="215"/>
      </w:tblGrid>
      <w:tr>
        <w:trPr/>
        <w:tc>
          <w:tcPr>
            <w:tcW w:w="256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Flow Derivative Hedges</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recognized in other comprehensive income (loss)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other comprehensive income (loss) into net income (effective portion)</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reclassified from accumulated other comprehensive income (loss) to net income (effective portion)</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2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Futures Contracts</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recognized in other comprehensive income (loss)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other comprehensive income (loss) into net income (effective portion)</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710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pre-tax gain (loss) reclassified from accumulated other comprehensive income (loss) to net income (effective portion)</w:t>
            </w:r>
          </w:p>
        </w:tc>
        <w:tc>
          <w:tcPr>
            <w:tcW w:w="35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21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expects $0.6 million of unrealized after-tax gains on aluminum derivative instruments reported in accumulated other comprehensive income (loss) to be reclassified to earnings within the next 12 months. For the three and six month periods ended June 30, 2025 and 2024, net gains or losses realized, from previously unrealized net gains or losses on hedges that had been discontinued,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recorded tax expense (benefit) of $1.6 million on pre-tax income (loss) from continuing operations of $4.1 million in the first six months of 2025. The effective tax rate in the first six months of 2025 was 38.4% and 16.6% in the first six months of 2024. The effective tax rate in the first six months of 2025 was impacted by taxable discrete items, including stock-based compensation, and lower book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which have various effective dates. The Company is currently evaluating the impact of the new legislation but does not expect it to have a material impact on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BUSINESS SEGMENTS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business segments are Aluminum Extrusions and PE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sales less freight (“net sales”) as its measure of revenues from external customers at the segment level. This measure is separately included in the financial information regularly provided to the CODM.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 segment profit (loss), and significant expenses for the three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9935" w:type="dxa"/>
        <w:jc w:val="left"/>
        <w:tblInd w:w="0" w:type="dxa"/>
        <w:tblLayout w:type="fixed"/>
        <w:tblCellMar>
          <w:top w:w="28" w:type="dxa"/>
          <w:left w:w="28" w:type="dxa"/>
          <w:bottom w:w="28" w:type="dxa"/>
          <w:right w:w="28" w:type="dxa"/>
        </w:tblCellMar>
      </w:tblPr>
      <w:tblGrid>
        <w:gridCol w:w="1862"/>
        <w:gridCol w:w="1641"/>
        <w:gridCol w:w="1657"/>
        <w:gridCol w:w="348"/>
        <w:gridCol w:w="1362"/>
        <w:gridCol w:w="179"/>
        <w:gridCol w:w="109"/>
        <w:gridCol w:w="109"/>
        <w:gridCol w:w="109"/>
        <w:gridCol w:w="211"/>
        <w:gridCol w:w="721"/>
        <w:gridCol w:w="109"/>
        <w:gridCol w:w="109"/>
        <w:gridCol w:w="109"/>
        <w:gridCol w:w="109"/>
        <w:gridCol w:w="211"/>
        <w:gridCol w:w="826"/>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88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35"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9935" w:type="dxa"/>
        <w:jc w:val="left"/>
        <w:tblInd w:w="0" w:type="dxa"/>
        <w:tblLayout w:type="fixed"/>
        <w:tblCellMar>
          <w:top w:w="28" w:type="dxa"/>
          <w:left w:w="28" w:type="dxa"/>
          <w:bottom w:w="28" w:type="dxa"/>
          <w:right w:w="28" w:type="dxa"/>
        </w:tblCellMar>
      </w:tblPr>
      <w:tblGrid>
        <w:gridCol w:w="1862"/>
        <w:gridCol w:w="1641"/>
        <w:gridCol w:w="1657"/>
        <w:gridCol w:w="348"/>
        <w:gridCol w:w="1362"/>
        <w:gridCol w:w="179"/>
        <w:gridCol w:w="109"/>
        <w:gridCol w:w="109"/>
        <w:gridCol w:w="109"/>
        <w:gridCol w:w="211"/>
        <w:gridCol w:w="721"/>
        <w:gridCol w:w="109"/>
        <w:gridCol w:w="109"/>
        <w:gridCol w:w="109"/>
        <w:gridCol w:w="109"/>
        <w:gridCol w:w="211"/>
        <w:gridCol w:w="826"/>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 in kaleo, Inc.</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88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35"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revenue, segment profit (loss), and significant expenses for the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9935" w:type="dxa"/>
        <w:jc w:val="left"/>
        <w:tblInd w:w="0" w:type="dxa"/>
        <w:tblLayout w:type="fixed"/>
        <w:tblCellMar>
          <w:top w:w="28" w:type="dxa"/>
          <w:left w:w="28" w:type="dxa"/>
          <w:bottom w:w="28" w:type="dxa"/>
          <w:right w:w="28" w:type="dxa"/>
        </w:tblCellMar>
      </w:tblPr>
      <w:tblGrid>
        <w:gridCol w:w="1862"/>
        <w:gridCol w:w="1641"/>
        <w:gridCol w:w="1657"/>
        <w:gridCol w:w="348"/>
        <w:gridCol w:w="1362"/>
        <w:gridCol w:w="179"/>
        <w:gridCol w:w="109"/>
        <w:gridCol w:w="109"/>
        <w:gridCol w:w="109"/>
        <w:gridCol w:w="211"/>
        <w:gridCol w:w="721"/>
        <w:gridCol w:w="109"/>
        <w:gridCol w:w="109"/>
        <w:gridCol w:w="109"/>
        <w:gridCol w:w="109"/>
        <w:gridCol w:w="211"/>
        <w:gridCol w:w="826"/>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88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35"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9935" w:type="dxa"/>
        <w:jc w:val="left"/>
        <w:tblInd w:w="0" w:type="dxa"/>
        <w:tblLayout w:type="fixed"/>
        <w:tblCellMar>
          <w:top w:w="28" w:type="dxa"/>
          <w:left w:w="28" w:type="dxa"/>
          <w:bottom w:w="28" w:type="dxa"/>
          <w:right w:w="28" w:type="dxa"/>
        </w:tblCellMar>
      </w:tblPr>
      <w:tblGrid>
        <w:gridCol w:w="1862"/>
        <w:gridCol w:w="1641"/>
        <w:gridCol w:w="1657"/>
        <w:gridCol w:w="348"/>
        <w:gridCol w:w="1362"/>
        <w:gridCol w:w="179"/>
        <w:gridCol w:w="109"/>
        <w:gridCol w:w="109"/>
        <w:gridCol w:w="109"/>
        <w:gridCol w:w="211"/>
        <w:gridCol w:w="721"/>
        <w:gridCol w:w="109"/>
        <w:gridCol w:w="109"/>
        <w:gridCol w:w="109"/>
        <w:gridCol w:w="109"/>
        <w:gridCol w:w="211"/>
        <w:gridCol w:w="826"/>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2024</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consolidated statements of income (loss)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(loss):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 in kaleo, Inc.</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expenses, net</w:t>
            </w:r>
            <w:r>
              <w:rPr>
                <w:rFonts w:ascii="Times New Roman;serif" w:hAnsi="Times New Roman;serif"/>
                <w:b w:val="false"/>
                <w:color w:val="000000"/>
                <w:sz w:val="13"/>
              </w:rPr>
              <w:t>3</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88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35"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Excludes related depreciation and amortization.</w:t>
              <w:br/>
              <w:t>2. Includes segment allocated employee compensation benefit expenses.</w:t>
              <w:br/>
              <w:t>3. Includes corporate depreciation and amortization.</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identifiable assets by segment at June 30, 2025 and December 31, 2024:</w:t>
      </w:r>
    </w:p>
    <w:tbl>
      <w:tblPr>
        <w:tblW w:w="5561" w:type="dxa"/>
        <w:jc w:val="left"/>
        <w:tblInd w:w="0" w:type="dxa"/>
        <w:tblLayout w:type="fixed"/>
        <w:tblCellMar>
          <w:top w:w="28" w:type="dxa"/>
          <w:left w:w="28" w:type="dxa"/>
          <w:bottom w:w="28" w:type="dxa"/>
          <w:right w:w="28" w:type="dxa"/>
        </w:tblCellMar>
      </w:tblPr>
      <w:tblGrid>
        <w:gridCol w:w="819"/>
        <w:gridCol w:w="721"/>
        <w:gridCol w:w="724"/>
        <w:gridCol w:w="229"/>
        <w:gridCol w:w="898"/>
        <w:gridCol w:w="118"/>
        <w:gridCol w:w="109"/>
        <w:gridCol w:w="109"/>
        <w:gridCol w:w="109"/>
        <w:gridCol w:w="305"/>
        <w:gridCol w:w="1197"/>
        <w:gridCol w:w="22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247,205 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371,585 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356,357 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and amortization for the three and six months ended June 30, 2025 and 2024:</w:t>
      </w:r>
    </w:p>
    <w:tbl>
      <w:tblPr>
        <w:tblW w:w="7426" w:type="dxa"/>
        <w:jc w:val="left"/>
        <w:tblInd w:w="0" w:type="dxa"/>
        <w:tblLayout w:type="fixed"/>
        <w:tblCellMar>
          <w:top w:w="28" w:type="dxa"/>
          <w:left w:w="28" w:type="dxa"/>
          <w:bottom w:w="28" w:type="dxa"/>
          <w:right w:w="28" w:type="dxa"/>
        </w:tblCellMar>
      </w:tblPr>
      <w:tblGrid>
        <w:gridCol w:w="765"/>
        <w:gridCol w:w="673"/>
        <w:gridCol w:w="676"/>
        <w:gridCol w:w="243"/>
        <w:gridCol w:w="710"/>
        <w:gridCol w:w="125"/>
        <w:gridCol w:w="125"/>
        <w:gridCol w:w="125"/>
        <w:gridCol w:w="125"/>
        <w:gridCol w:w="243"/>
        <w:gridCol w:w="710"/>
        <w:gridCol w:w="125"/>
        <w:gridCol w:w="109"/>
        <w:gridCol w:w="109"/>
        <w:gridCol w:w="109"/>
        <w:gridCol w:w="211"/>
        <w:gridCol w:w="721"/>
        <w:gridCol w:w="109"/>
        <w:gridCol w:w="109"/>
        <w:gridCol w:w="109"/>
        <w:gridCol w:w="109"/>
        <w:gridCol w:w="211"/>
        <w:gridCol w:w="72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1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for the three and six months ended June 30, 2025 and 2024:</w:t>
      </w:r>
    </w:p>
    <w:tbl>
      <w:tblPr>
        <w:tblW w:w="7351" w:type="dxa"/>
        <w:jc w:val="left"/>
        <w:tblInd w:w="0" w:type="dxa"/>
        <w:tblLayout w:type="fixed"/>
        <w:tblCellMar>
          <w:top w:w="28" w:type="dxa"/>
          <w:left w:w="28" w:type="dxa"/>
          <w:bottom w:w="28" w:type="dxa"/>
          <w:right w:w="28" w:type="dxa"/>
        </w:tblCellMar>
      </w:tblPr>
      <w:tblGrid>
        <w:gridCol w:w="765"/>
        <w:gridCol w:w="673"/>
        <w:gridCol w:w="676"/>
        <w:gridCol w:w="243"/>
        <w:gridCol w:w="710"/>
        <w:gridCol w:w="125"/>
        <w:gridCol w:w="125"/>
        <w:gridCol w:w="125"/>
        <w:gridCol w:w="125"/>
        <w:gridCol w:w="243"/>
        <w:gridCol w:w="710"/>
        <w:gridCol w:w="125"/>
        <w:gridCol w:w="109"/>
        <w:gridCol w:w="109"/>
        <w:gridCol w:w="109"/>
        <w:gridCol w:w="224"/>
        <w:gridCol w:w="654"/>
        <w:gridCol w:w="115"/>
        <w:gridCol w:w="115"/>
        <w:gridCol w:w="115"/>
        <w:gridCol w:w="115"/>
        <w:gridCol w:w="224"/>
        <w:gridCol w:w="654"/>
        <w:gridCol w:w="163"/>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disaggregate the Company’s revenue by geographic area and product group for the three and six months ended June 30, 2025 and 2024: </w:t>
      </w:r>
    </w:p>
    <w:tbl>
      <w:tblPr>
        <w:tblW w:w="8744" w:type="dxa"/>
        <w:jc w:val="left"/>
        <w:tblInd w:w="0" w:type="dxa"/>
        <w:tblLayout w:type="fixed"/>
        <w:tblCellMar>
          <w:top w:w="28" w:type="dxa"/>
          <w:left w:w="28" w:type="dxa"/>
          <w:bottom w:w="28" w:type="dxa"/>
          <w:right w:w="28" w:type="dxa"/>
        </w:tblCellMar>
      </w:tblPr>
      <w:tblGrid>
        <w:gridCol w:w="1133"/>
        <w:gridCol w:w="998"/>
        <w:gridCol w:w="100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44"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Net Sales by Geographic Area (a)</w:t>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Exports from the United States to:</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outside the United States: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(a) Export sales relate mostly to PE Films.</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$6.3 million and $6.7 million in the second quarter of 2025 and 2024, respectively, and $12.9 million and $12.8 million in the first six months of 2025 and 2024, respectively. </w:t>
      </w:r>
    </w:p>
    <w:p>
      <w:pPr>
        <w:pStyle w:val="TextBody"/>
        <w:bidi w:val="0"/>
        <w:spacing w:before="100" w:after="283"/>
        <w:ind w:left="0" w:right="0" w:firstLine="450"/>
        <w:jc w:val="left"/>
        <w:rPr/>
      </w:pPr>
      <w:r>
        <w:rPr/>
      </w:r>
    </w:p>
    <w:tbl>
      <w:tblPr>
        <w:tblW w:w="8940" w:type="dxa"/>
        <w:jc w:val="left"/>
        <w:tblInd w:w="0" w:type="dxa"/>
        <w:tblLayout w:type="fixed"/>
        <w:tblCellMar>
          <w:top w:w="28" w:type="dxa"/>
          <w:left w:w="28" w:type="dxa"/>
          <w:bottom w:w="28" w:type="dxa"/>
          <w:right w:w="28" w:type="dxa"/>
        </w:tblCellMar>
      </w:tblPr>
      <w:tblGrid>
        <w:gridCol w:w="1203"/>
        <w:gridCol w:w="1061"/>
        <w:gridCol w:w="10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40"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Net Sales by Product Group</w:t>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Nonresidential building &amp; construction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durables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building &amp; construction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&amp;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protection films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Overwrap packaging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June 30, 2025, funds available to borrow under the ABL Facility was $50.6 million, or 40.5% of the aggregate commitment of $125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Outstanding borrowings accrue interest at the rates elected by the Company depending on the type of loan and denomination of such borrowing. With respect to revolving loans denominated in U.S. Dollars, the Company may elect interest rates at: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Alternate Base Rate (“ABR”) plus the applicable ABR Spread (as defined in the ABL Facility)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Adjusted Term Secured Overnight Financing Rate ("SOFR") Rate plus the applicable Term Benchmark Spread (as defined in the ABL Facility) determined in accordance with an excess availability-based pricing grid. Adjusted Term SOFR Rate is defined as the Term SOFR Rate plus 0.10%, subject to an initial Floor (as defined in the ABL Facility) of 0%.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amended by Amendment No. 5, based upon the quarterly average of daily availability under the ABL Facility, the interest rate pricing grid, is as follows:</w:t>
      </w:r>
    </w:p>
    <w:tbl>
      <w:tblPr>
        <w:tblW w:w="7665" w:type="dxa"/>
        <w:jc w:val="left"/>
        <w:tblInd w:w="0" w:type="dxa"/>
        <w:tblLayout w:type="fixed"/>
        <w:tblCellMar>
          <w:top w:w="28" w:type="dxa"/>
          <w:left w:w="28" w:type="dxa"/>
          <w:bottom w:w="28" w:type="dxa"/>
          <w:right w:w="28" w:type="dxa"/>
        </w:tblCellMar>
      </w:tblPr>
      <w:tblGrid>
        <w:gridCol w:w="1740"/>
        <w:gridCol w:w="1530"/>
        <w:gridCol w:w="1530"/>
        <w:gridCol w:w="500"/>
        <w:gridCol w:w="500"/>
        <w:gridCol w:w="500"/>
        <w:gridCol w:w="400"/>
        <w:gridCol w:w="400"/>
        <w:gridCol w:w="565"/>
      </w:tblGrid>
      <w:tr>
        <w:trPr/>
        <w:tc>
          <w:tcPr>
            <w:tcW w:w="17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under the ABL Facility (Basis Points)</w:t>
            </w:r>
          </w:p>
        </w:tc>
      </w:tr>
      <w:tr>
        <w:trPr/>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 Average of Daily Availability</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Term Benchmark</w:t>
              <w:br/>
              <w:t>Spread</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ABR</w:t>
              <w:br/>
              <w:t>Spread</w:t>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&gt; 66% of $125 million aggregate commitment</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erif" w:hAnsi="Times New Roman;serif"/>
                <w:b w:val="false"/>
                <w:color w:val="000000"/>
                <w:sz w:val="20"/>
              </w:rPr>
              <w:t>66% but &gt; 33% of $125 million aggregate commitment</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erif" w:hAnsi="Times New Roman;serif"/>
                <w:b w:val="false"/>
                <w:color w:val="000000"/>
                <w:sz w:val="20"/>
              </w:rPr>
              <w:t>33% of $125 million aggregate commitment</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Amendment No. 5, the commitment fee was decreased from 0.40% to (i) 0.25% if the Average Usage (as defined in the ABL Facility) is greater than or equal to 50% and (ii) 0.375% if Average Usage is less than 50%.</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borrowing base calculation was amended by Amendment No. 5 as follows: (i) real property is no longer eligible to be included in the borrowing base, (ii) the PP&amp;E Component (as defined in the ABL Facility), as included in the borrowing base, was decreased to the lesser of (a) 60% of the Net Orderly Liquidation Value (as defined in the ABL Facility) in place of eligible equipment and (b) 30% of the borrowing base and (iii) the amount of eligible cash included in the borrowing base is now capped at 15% of the borrowing base.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at any time the availability under the ABL facility is less than the greater of (x) 20% of the Line Cap and (y) $20 million and until such subsequent date, if any, on which availability is greater than the greater of (x) 20% of the Line Cap and (y) $20 million for a period of thirty (30) consecutive calendar days, the Company’s current monthly reporting requirements to lenders changes to a weekly cadence.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Cash Dominion Period (as defined in the ABL Facility) is now triggered when (x) availability falls below the greater of (i) 12.5% of the Line Cap and (ii) $12.6 million or (y) during the continuation of an event of default and continuing until (x) availability is above the greater of (i) 12.5% of the Line Cap and (ii) $12.6 million for 30 consecutive days and (y) no events of default are continuing. During a Cash Dominion Period, receipts that have not yet been applied to the ABL Facility are classified as restricted cash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2024). In the event that the Company cannot certify that all conditions to the borrowing have been met, the lenders can restrict the Company’s future borrowings under the ABL Facility.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June 30, 2025, the Company was in compliance with all debt covenants.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 Films Guangzhou Loan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2024, PE Films' business location in Guangzhou, China, Guangzhou Tredegar Film Products Co., Ltd.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June 30, 2025, the interest rate on the outstanding loan balance was 2.90%. The revolving loan was secured by a mortgage contract listing the Guangzhou Tredegar factory building as collateral. The mortgage contract has a maximum value of 30 million Chinese Yuan and is effective from June 25, 2024 through May 31, 2027. Guangzhou Tredegar has the option to enter into additional loan contracts with the Industrial and Commercial Bank of China for the duration of the mortgage contract. As of June 30, 2025 and December 31, 2024, this loan is presented as current debt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11. DISCONTINUED OPERATIONS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Flexible Packaging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entered into an agreement to sell Terphane, headquartered in Brazil, to Oben for net cash-free and debt-free base consideration of $116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1, 2024, Tredegar completed the sale of Terphane to Oben. At closing, Tredegar received $60 million in cash, which was net of Terphane debt assumed by Oben of $20 million and estimated Terphane cash retained by Oben of $2 million. The cash proceeds received by Tredegar at closing were after deducting net working capital adjustments and closing indebtedness ($20.5 million), escrow funds ($19.8 million), projected Brazil withholding taxes ($10.8 million), and transaction expenses ($4.4 million). In February 2025, the Company received $9.8 million from post-closing settlement of the transaction. The proceeds from the sale of Terphane were required to be used to pay down debt outstanding under the 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completion of the sale, the Company recognized a pre-tax loss of $74.9 million for the year ended December 31, 2024, which included the realization of other comprehensive losses on foreign currency translation adjustments, net of gains on derivative financial instruments of $102.3 million previously reflected in accumulated other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financial results of discontinued operations reflected in the Condensed Consolidated Statements of Income (Loss) for the three and six months ended June 30, 2025 and 2024:</w:t>
      </w:r>
    </w:p>
    <w:tbl>
      <w:tblPr>
        <w:tblW w:w="10205" w:type="dxa"/>
        <w:jc w:val="center"/>
        <w:tblInd w:w="0" w:type="dxa"/>
        <w:tblLayout w:type="fixed"/>
        <w:tblCellMar>
          <w:top w:w="28" w:type="dxa"/>
          <w:left w:w="28" w:type="dxa"/>
          <w:bottom w:w="28" w:type="dxa"/>
          <w:right w:w="28" w:type="dxa"/>
        </w:tblCellMar>
      </w:tblPr>
      <w:tblGrid>
        <w:gridCol w:w="1512"/>
        <w:gridCol w:w="1091"/>
        <w:gridCol w:w="1098"/>
        <w:gridCol w:w="297"/>
        <w:gridCol w:w="592"/>
        <w:gridCol w:w="153"/>
        <w:gridCol w:w="153"/>
        <w:gridCol w:w="153"/>
        <w:gridCol w:w="153"/>
        <w:gridCol w:w="297"/>
        <w:gridCol w:w="1018"/>
        <w:gridCol w:w="153"/>
        <w:gridCol w:w="142"/>
        <w:gridCol w:w="142"/>
        <w:gridCol w:w="142"/>
        <w:gridCol w:w="278"/>
        <w:gridCol w:w="812"/>
        <w:gridCol w:w="143"/>
        <w:gridCol w:w="143"/>
        <w:gridCol w:w="143"/>
        <w:gridCol w:w="143"/>
        <w:gridCol w:w="278"/>
        <w:gridCol w:w="951"/>
        <w:gridCol w:w="218"/>
      </w:tblGrid>
      <w:tr>
        <w:trPr/>
        <w:tc>
          <w:tcPr>
            <w:tcW w:w="151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4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and other items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business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(benefit)</w:t>
            </w:r>
            <w:r>
              <w:rPr>
                <w:rFonts w:ascii="Times New Roman;serif" w:hAnsi="Times New Roman;serif"/>
                <w:b w:val="false"/>
                <w:color w:val="000000"/>
                <w:sz w:val="13"/>
              </w:rPr>
              <w:t>2</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1.For the three and six months ended June 30, 2024, interest expense includes $0.6 million and $1.2 million, respectively, directly related to the $20 million of outstanding Terphane debt assumed by Oben.</w:t>
            </w:r>
          </w:p>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2.An inconsequential income tax expense (benefit) was recognized during the three and six months ended June 30, 2025 primarily due to foreign tax credits generated from the final Brazilian withholding tax payment made during the periods, which offset the tax liability on the income from discontinued operations.</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allocated to discontinued operations was determined by applying the ABL Facility weighted-average interest rate to the Terphane sale proceeds, as the sale proceeds were required to be used to pay down debt outstanding under the ABL Facility.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discontinued operations reflected in the Condensed Consolidated Balance Sheets as of June 30, 2025 and December 31, 2024, respectively, were as follows:</w:t>
      </w:r>
    </w:p>
    <w:tbl>
      <w:tblPr>
        <w:tblW w:w="10205" w:type="dxa"/>
        <w:jc w:val="center"/>
        <w:tblInd w:w="0" w:type="dxa"/>
        <w:tblLayout w:type="fixed"/>
        <w:tblCellMar>
          <w:top w:w="28" w:type="dxa"/>
          <w:left w:w="28" w:type="dxa"/>
          <w:bottom w:w="28" w:type="dxa"/>
          <w:right w:w="28" w:type="dxa"/>
        </w:tblCellMar>
      </w:tblPr>
      <w:tblGrid>
        <w:gridCol w:w="2046"/>
        <w:gridCol w:w="1723"/>
        <w:gridCol w:w="1731"/>
        <w:gridCol w:w="512"/>
        <w:gridCol w:w="986"/>
        <w:gridCol w:w="264"/>
        <w:gridCol w:w="170"/>
        <w:gridCol w:w="170"/>
        <w:gridCol w:w="170"/>
        <w:gridCol w:w="616"/>
        <w:gridCol w:w="1359"/>
        <w:gridCol w:w="458"/>
      </w:tblGrid>
      <w:tr>
        <w:trPr/>
        <w:tc>
          <w:tcPr>
            <w:tcW w:w="204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55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7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5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 of discontinued operations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Liabilities</w:t>
            </w:r>
            <w:r>
              <w:rPr>
                <w:rFonts w:ascii="Times New Roman;serif" w:hAnsi="Times New Roman;serif"/>
                <w:b/>
                <w:color w:val="000000"/>
                <w:sz w:val="13"/>
              </w:rPr>
              <w:t>1</w:t>
            </w:r>
          </w:p>
        </w:tc>
        <w:tc>
          <w:tcPr>
            <w:tcW w:w="1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4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consolidated balance sheet of discontinued operations as of December 31, 2024 includes $0.6 million of severance and $0.2 million of miscellaneous accrued expenses.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significant operating, investing and financing cash flow information for discontinued operations:</w:t>
      </w:r>
    </w:p>
    <w:tbl>
      <w:tblPr>
        <w:tblW w:w="5488" w:type="dxa"/>
        <w:jc w:val="center"/>
        <w:tblInd w:w="0" w:type="dxa"/>
        <w:tblLayout w:type="fixed"/>
        <w:tblCellMar>
          <w:top w:w="28" w:type="dxa"/>
          <w:left w:w="28" w:type="dxa"/>
          <w:bottom w:w="28" w:type="dxa"/>
          <w:right w:w="28" w:type="dxa"/>
        </w:tblCellMar>
      </w:tblPr>
      <w:tblGrid>
        <w:gridCol w:w="1123"/>
        <w:gridCol w:w="989"/>
        <w:gridCol w:w="993"/>
        <w:gridCol w:w="217"/>
        <w:gridCol w:w="710"/>
        <w:gridCol w:w="112"/>
        <w:gridCol w:w="112"/>
        <w:gridCol w:w="112"/>
        <w:gridCol w:w="112"/>
        <w:gridCol w:w="217"/>
        <w:gridCol w:w="633"/>
        <w:gridCol w:w="158"/>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the sale of divested business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Terphane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Forward-looking and Cautionary Statements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macroeconomic factors, such as inflation, interest rates and recession risks;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an increase in the operating costs incurred by the Company’s business units, including, for example, the cost of raw materials and energy;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noncompliance with any of the financial and other restrictive covenants in the ABL Facility;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to continue to attract, develop and retain certain key officers or employees;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disruptions to the Company’s manufacturing facilities, including those resulting from labor shortages;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information technology system failure or breach;</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risks of doing business in countries outside the U.S. that affect our international operations;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public health epidemics on employees, production and the global economy, such as the COVID-19 pandemic;</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political, economic and regulatory factors concerning the Company’s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develop, efficiently manufacture and deliver new products at competitive prices;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the imposition of tariffs and sanctions on imported aluminum ingot used by Bonnell Aluminum;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failure by governmental entities to prevent foreign companies from evading antidumping and countervailing duties;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unanticipated problems or delays with the implementation of the enterprise resource planning and manufacturing executions systems, or security breaches and other disruptions to the Company's information technology infrastructure;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loss of sales to significant customers on which the Company’s business is highly dependent;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inability to achieve sales to new customers to replace lost business;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failure of the Company’s customers to achieve success or maintain market share;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failure to protect our intellectual property rights;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inability to successfully complete strategic acquisitions or dispositions, failure to realize the expected benefits of such acquisitions or dispositions, and assumption of unanticipated risks in such acquisitions or dispositions;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2024 (the “2024 Form 10-K”). Readers are urged to review and consider carefully the disclosures Tredegar makes in its filings with the SEC.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References herein to “Tredegar,” “the Company,” “we,” “us” and “our” are to Tredegar Corporation and its subsidiaries, collectively, unless the context otherwise indicates or requires.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Unless otherwise stated or indicated, all comparisons are to the prior year period. References to "Notes" are to notes to our condensed consolidated financial statements found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2024 Form 10-K have the greatest potential impact on our financial statements, so Tredegar considers these to be its critical accounting policies. Since December 31, 2024, there have been no changes in these policies or estimates that have had a material impact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Business Overview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Tredegar Corporation is an industrial manufacturer with two primary businesses: custom aluminum extrusions for the building &amp; construction (“B&amp;C”), automotive and specialty end-use markets in the United States through its Aluminum Extrusions segment (with exports comprising less than 5% of total sales volume) and surface protection films for high-technology applications in the global electronics industry through its PE Films segment. With approximately 1,600 employees, the Company operates manufacturing facilities in the U.S. and China.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 </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Earnings before interest and taxes ("EBIT") from ongoing operations is a non-GAAP financial measure included in the reconciliation of segment financial information to consolidated results for the Company in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section below.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Second quarter 2025 net income (loss) from continuing operations was $1.8 million ($0.05 per diluted share) compared to $9.2 million ($0.27 per diluted share) in the second quarter of 2024. </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Second Quarter Financial Results Highlights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Earnings before interest, taxes, depreciation and amortization (“EBITDA”) from ongoing operations for Aluminum Extrusions was $9.3 million in the second quarter of 2025 versus $12.9 million in the second quarter of 2024 and versus $9.2 million in the first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Sales volume was 40.7 million pounds in the second quarter of 2025 versus 34.9 million pounds in the second quarter of 2024.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Net new orders increased 21% in the second quarter of 2025 versus the second quarter of 2024 and declined 11% versus the first quarter of 2025. Open orders at the end of the second quarter of 2025 were 25 million pounds, which was up from 14 million pounds at the end of the second quarter of 2024 and flat with the end of the first quarter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EBITDA from ongoing operations for PE Films was $6.7 million in the second quarter of 2025 versus $10.1 million in the second quarter of 2024 and versus $7.5 million in the first quarter of 2025.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Sales volume was 9.8 million pounds in the second quarter of 2025 versus 10.5 million pounds in the second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of 2025 Compared with the Second Quarter of 2024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bridge of consolidated net income (loss) from continuing operations from the second quarter of 2024 to the second quarter of 2025 with management's related discussion and analysis below the table. </w:t>
      </w:r>
    </w:p>
    <w:tbl>
      <w:tblPr>
        <w:tblW w:w="9828" w:type="dxa"/>
        <w:jc w:val="left"/>
        <w:tblInd w:w="0" w:type="dxa"/>
        <w:tblLayout w:type="fixed"/>
        <w:tblCellMar>
          <w:top w:w="28" w:type="dxa"/>
          <w:left w:w="28" w:type="dxa"/>
          <w:bottom w:w="28" w:type="dxa"/>
          <w:right w:w="28" w:type="dxa"/>
        </w:tblCellMar>
      </w:tblPr>
      <w:tblGrid>
        <w:gridCol w:w="3081"/>
        <w:gridCol w:w="2713"/>
        <w:gridCol w:w="2726"/>
        <w:gridCol w:w="109"/>
        <w:gridCol w:w="109"/>
        <w:gridCol w:w="109"/>
        <w:gridCol w:w="211"/>
        <w:gridCol w:w="616"/>
        <w:gridCol w:w="154"/>
      </w:tblGrid>
      <w:tr>
        <w:trPr/>
        <w:tc>
          <w:tcPr>
            <w:tcW w:w="3081"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three months ended 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three months ended 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three months ended June 30, 2025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Sales in the second quarter of 2025 increased by $25.2 million compared with the second quarter of 2024. Net sales (sales less freight) in Aluminum Extrusions increased $29.0 million, primarily due to higher sales volume and the pass-through of higher metal costs. Net sales in PE Films decreased $4.6 million, primarily due to lower net sales in surface protection films. For more information on net sales and volume, see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below.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(sales minus cost of goods sold and freight) as a percentage of sales (gross profit margin) was 13.6% in the second quarter of 2025 compared to 19.2% in the second quarter of 2024. The gross profit margin in Aluminum Extrusions decreased compared to the prior year period primarily due to higher variable manufacturing costs associated with material yield, higher labor rate, unfavorable labor productivity associated with onboarding new employees, higher expense for externally produced billet related to the increase in volume, unfavorable maintenance and supply expense, higher utilities and higher fixed costs, partially offset by higher sales volume and the pass-through of higher metal costs. Additionally, 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charge of $0.7 million in the second quarter of 2025 versus a benefit of $1.1 million in the second quarter of 2024. The gross profit margin in PE Films decreased due to a lower Surface Protection contribution margin associated with lower volume, partially offset by cost improvements and favorable pricing and the pass-through lag associated with resin costs.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percentage of sales, selling, general and administrative (“SG&amp;A”) and research and development ("R&amp;D") expenses were 11.6% in the second quarter of 2025 compared with 12.4% in the second quarter of 2024. Higher SG&amp;A spending was primarily due to higher stock-based compensation and higher employee-related incentive compensation, partially offset by lower external and internal audit fees.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was $1.8 million in the second quarter of 2025 in comparison to $1.1 million in the second quarter of 2024. The increase was primarily due to the write-off of deferred financing fees related to the entry into Amendment No. 5 to the Second and Restated Credit Agreement of $0.8 million, partially offset by lower weighted average total debt outstanding and lower interest rates.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used to compute income taxes (benefit) from continuing operations in the second quarter of 2025 was 35.0% compared to (0.4)% in the second quarter of 2024. The effective tax rate in the second quarter of 2025 was impacted by taxable discrete items, including stock-based compensation, and lower book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Pre-tax gains and losses associated with plant shutdowns, asset impairments, restructurings and other items for the second quarters of 2025 and 2024 detailed below are shown in the reconciliation of net sales and EBITDA from ongoing operations by segment in the table in the </w:t>
      </w:r>
      <w:r>
        <w:rPr>
          <w:rFonts w:ascii="Times New Roman;serif" w:hAnsi="Times New Roman;serif"/>
          <w:b/>
          <w:i/>
          <w:color w:val="000000"/>
          <w:sz w:val="20"/>
        </w:rPr>
        <w:t xml:space="preserve">Segment Operations Review </w:t>
      </w:r>
      <w:r>
        <w:rPr>
          <w:rFonts w:ascii="Times New Roman;serif" w:hAnsi="Times New Roman;serif"/>
          <w:b w:val="false"/>
          <w:color w:val="000000"/>
          <w:sz w:val="20"/>
        </w:rPr>
        <w:t>section below and are included in “Asset impairments and costs associated with exit and disposal activities, net of adjustments” in the condensed consolidated statements of income, unless otherwise noted.</w:t>
      </w:r>
    </w:p>
    <w:tbl>
      <w:tblPr>
        <w:tblW w:w="10205" w:type="dxa"/>
        <w:jc w:val="left"/>
        <w:tblInd w:w="0" w:type="dxa"/>
        <w:tblLayout w:type="fixed"/>
        <w:tblCellMar>
          <w:top w:w="28" w:type="dxa"/>
          <w:left w:w="28" w:type="dxa"/>
          <w:bottom w:w="28" w:type="dxa"/>
          <w:right w:w="28" w:type="dxa"/>
        </w:tblCellMar>
      </w:tblPr>
      <w:tblGrid>
        <w:gridCol w:w="2862"/>
        <w:gridCol w:w="2449"/>
        <w:gridCol w:w="2460"/>
        <w:gridCol w:w="342"/>
        <w:gridCol w:w="660"/>
        <w:gridCol w:w="176"/>
        <w:gridCol w:w="342"/>
        <w:gridCol w:w="660"/>
        <w:gridCol w:w="254"/>
      </w:tblGrid>
      <w:tr>
        <w:trPr/>
        <w:tc>
          <w:tcPr>
            <w:tcW w:w="286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7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Storm damage to the Newnan, Georgia plant</w:t>
            </w:r>
            <w:r>
              <w:rPr>
                <w:rFonts w:ascii="Times New Roman;serif" w:hAnsi="Times New Roman;serif"/>
                <w:b w:val="false"/>
                <w:color w:val="000000"/>
                <w:sz w:val="13"/>
              </w:rPr>
              <w:t>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117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associated with plant shutdowns, asset impairments and restructurings: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Richmond, Virginia Technical Center closure expenses, including severance</w:t>
            </w:r>
            <w:r>
              <w:rPr>
                <w:rFonts w:ascii="Times New Roman;serif" w:hAnsi="Times New Roman;serif"/>
                <w:b w:val="false"/>
                <w:color w:val="000000"/>
                <w:sz w:val="13"/>
              </w:rPr>
              <w:t>2</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PE Films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7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remediation activities related to internal control over financial reporting</w:t>
            </w:r>
            <w:r>
              <w:rPr>
                <w:rFonts w:ascii="Times New Roman;serif" w:hAnsi="Times New Roman;serif"/>
                <w:b w:val="false"/>
                <w:color w:val="000000"/>
                <w:sz w:val="13"/>
              </w:rPr>
              <w:t>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Group annuity contract premium adjustment</w:t>
            </w:r>
            <w:r>
              <w:rPr>
                <w:rFonts w:ascii="Times New Roman;serif" w:hAnsi="Times New Roman;serif"/>
                <w:b w:val="false"/>
                <w:color w:val="000000"/>
                <w:sz w:val="13"/>
              </w:rPr>
              <w:t>3</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on the sale of corporate-owned land</w:t>
            </w:r>
            <w:r>
              <w:rPr>
                <w:rFonts w:ascii="Times New Roman;serif" w:hAnsi="Times New Roman;serif"/>
                <w:b w:val="false"/>
                <w:color w:val="000000"/>
                <w:sz w:val="13"/>
              </w:rPr>
              <w:t>3</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Included in “Selling, general and administrative expenses” in the condensed consolidated statements of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See Note 1 for additional information.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Included in “Other income (expense), net” in the condensed consolidated statements of income.</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Average total debt outstanding and interest rates were as follows:</w:t>
      </w:r>
    </w:p>
    <w:tbl>
      <w:tblPr>
        <w:tblW w:w="9088" w:type="dxa"/>
        <w:jc w:val="left"/>
        <w:tblInd w:w="0" w:type="dxa"/>
        <w:tblLayout w:type="fixed"/>
        <w:tblCellMar>
          <w:top w:w="28" w:type="dxa"/>
          <w:left w:w="28" w:type="dxa"/>
          <w:bottom w:w="28" w:type="dxa"/>
          <w:right w:w="28" w:type="dxa"/>
        </w:tblCellMar>
      </w:tblPr>
      <w:tblGrid>
        <w:gridCol w:w="2355"/>
        <w:gridCol w:w="2072"/>
        <w:gridCol w:w="2083"/>
        <w:gridCol w:w="221"/>
        <w:gridCol w:w="535"/>
        <w:gridCol w:w="283"/>
        <w:gridCol w:w="114"/>
        <w:gridCol w:w="114"/>
        <w:gridCol w:w="114"/>
        <w:gridCol w:w="221"/>
        <w:gridCol w:w="645"/>
        <w:gridCol w:w="331"/>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Floating-rate debt with interest charged on a rollover basis plus a credit spread:</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outstanding debt balance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rate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2025 Compared with the First Six Months of 2024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bridge of consolidated net income (loss) from continuing operations from the first six months of 2024 to the first six months of 2025 with management's related discussion and analysis below the table. </w:t>
      </w:r>
    </w:p>
    <w:tbl>
      <w:tblPr>
        <w:tblW w:w="9767" w:type="dxa"/>
        <w:jc w:val="left"/>
        <w:tblInd w:w="0" w:type="dxa"/>
        <w:tblLayout w:type="fixed"/>
        <w:tblCellMar>
          <w:top w:w="28" w:type="dxa"/>
          <w:left w:w="28" w:type="dxa"/>
          <w:bottom w:w="28" w:type="dxa"/>
          <w:right w:w="28" w:type="dxa"/>
        </w:tblCellMar>
      </w:tblPr>
      <w:tblGrid>
        <w:gridCol w:w="3021"/>
        <w:gridCol w:w="2660"/>
        <w:gridCol w:w="2673"/>
        <w:gridCol w:w="109"/>
        <w:gridCol w:w="109"/>
        <w:gridCol w:w="109"/>
        <w:gridCol w:w="211"/>
        <w:gridCol w:w="721"/>
        <w:gridCol w:w="154"/>
      </w:tblGrid>
      <w:tr>
        <w:trPr/>
        <w:tc>
          <w:tcPr>
            <w:tcW w:w="3021"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six months ended 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six months ended 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 for the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for the six months ended June 30, 2025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Sales in the first six months of 2025 increased by $45.9 million compared with the first six months of 2024. Net sales (sales less freight) in Aluminum Extrusions increased $48.4 million, primarily due to higher sales volume and the pass-through of higher metal costs, partially offset by a lower average conversion price add-on to metal costs associated with a shift in sales mix in the first quarter of 2025. Net sales in PE Films decreased $3.8 million, primarily due to a decrease in sales volume in Surface Protection. For more information on net sales and volume, see the </w:t>
      </w:r>
      <w:r>
        <w:rPr>
          <w:rFonts w:ascii="Times New Roman;serif" w:hAnsi="Times New Roman;serif"/>
          <w:b/>
          <w:i/>
          <w:color w:val="000000"/>
          <w:sz w:val="20"/>
        </w:rPr>
        <w:t>Segment Operations Review</w:t>
      </w:r>
      <w:r>
        <w:rPr>
          <w:color w:val="000000"/>
        </w:rPr>
        <w:t xml:space="preserve"> </w:t>
      </w:r>
      <w:r>
        <w:rPr>
          <w:rFonts w:ascii="Times New Roman;serif" w:hAnsi="Times New Roman;serif"/>
          <w:b w:val="false"/>
          <w:color w:val="000000"/>
          <w:sz w:val="20"/>
        </w:rPr>
        <w:t>below.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(sales minus cost of goods sold and freight) as a percentage of sales (gross profit margin) was 13.9% in the first six months of 2025 compared to 17.9% in the first six months of 2024. The gross profit margin in Aluminum Extrusions decreased compared to the prior year period primarily due to lower spread in the first quarter of 2025 (the difference between selling prices and metal costs) associated with a shift in sales mix, higher variable manufacturing costs associated with material yield in the first five months of 2025, which was unfavorable to projected rates, higher labor rates, decreased labor productivity associated with onboarding new employees, higher maintenance expense, primarily associated with downed equipment and extreme winter weather events in the first quarter of 2025, higher die expense associated with the timing of purchases in the first quarter of 2025, higher expense for externally produced billet related to increasing volume in the second quarter of 2025 and higher utilities, partially offset by higher volume and the pass-through of higher metal costs. Additionally, 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$1.1 million in the first six months of 2025 versus a charge of $0.1 million in the first six months of 2024. The gross profit margin in PE Films decreased due to a lower volume associated with Surface Protection, partially offset by cost improvements and favorable pricing and the pass-through lag associated with resin costs.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sales, SG&amp;A and R&amp;D expenses were 12.1% in the first six months of 2025, consistent with the first six months of 2024.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was $2.8 million in the first six months of 2025 in comparison to $2.3 million in the first six months of 2024. The increase was primarily due to the write-off of deferred financing fees related to the entry into Amendment No. 5 to the Second and Restated Credit Agreement of $0.8 million, partially offset by lower weighted average total debt outstanding and lower interest rates.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used to compute income taxes (benefit) from continuing operations in the first six months of 2025 was 38.4% compared to 16.6% in the first six months of 2024. The effective tax rate in the first six months of 2025 was impacted by taxable discrete items, including stock-based compensation, and lower book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Pre-tax gains and losses associated with plant shutdowns, asset impairments, restructurings and other items for the first six months of 2025 and 2024 detailed below are shown in the reconciliation of net sales and EBITDA from ongoing operations by segment in the table in the </w:t>
      </w:r>
      <w:r>
        <w:rPr>
          <w:rFonts w:ascii="Times New Roman;serif" w:hAnsi="Times New Roman;serif"/>
          <w:b/>
          <w:i/>
          <w:color w:val="000000"/>
          <w:sz w:val="20"/>
        </w:rPr>
        <w:t xml:space="preserve">Segment Operations Review </w:t>
      </w:r>
      <w:r>
        <w:rPr>
          <w:rFonts w:ascii="Times New Roman;serif" w:hAnsi="Times New Roman;serif"/>
          <w:b w:val="false"/>
          <w:color w:val="000000"/>
          <w:sz w:val="20"/>
        </w:rPr>
        <w:t>section below and are included in “Asset impairments and costs associated with exit and disposal activities, net of adjustments” in the condensed consolidated statements of income, unless otherwise noted.</w:t>
      </w:r>
    </w:p>
    <w:tbl>
      <w:tblPr>
        <w:tblW w:w="10205" w:type="dxa"/>
        <w:jc w:val="left"/>
        <w:tblInd w:w="0" w:type="dxa"/>
        <w:tblLayout w:type="fixed"/>
        <w:tblCellMar>
          <w:top w:w="28" w:type="dxa"/>
          <w:left w:w="28" w:type="dxa"/>
          <w:bottom w:w="28" w:type="dxa"/>
          <w:right w:w="28" w:type="dxa"/>
        </w:tblCellMar>
      </w:tblPr>
      <w:tblGrid>
        <w:gridCol w:w="2908"/>
        <w:gridCol w:w="2499"/>
        <w:gridCol w:w="2512"/>
        <w:gridCol w:w="322"/>
        <w:gridCol w:w="620"/>
        <w:gridCol w:w="165"/>
        <w:gridCol w:w="322"/>
        <w:gridCol w:w="620"/>
        <w:gridCol w:w="237"/>
      </w:tblGrid>
      <w:tr>
        <w:trPr/>
        <w:tc>
          <w:tcPr>
            <w:tcW w:w="2908"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91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expenses for ERP/MES project</w:t>
            </w:r>
            <w:r>
              <w:rPr>
                <w:rFonts w:ascii="Times New Roman;serif" w:hAnsi="Times New Roman;serif"/>
                <w:b w:val="false"/>
                <w:color w:val="000000"/>
                <w:sz w:val="13"/>
              </w:rPr>
              <w:t>1</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Storm damage to the Newnan, Georgia plant</w:t>
            </w:r>
            <w:r>
              <w:rPr>
                <w:rFonts w:ascii="Times New Roman;serif" w:hAnsi="Times New Roman;serif"/>
                <w:b w:val="false"/>
                <w:color w:val="000000"/>
                <w:sz w:val="13"/>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fees associated with the Aluminum Extruders Trade Case and other matters</w:t>
            </w:r>
            <w:r>
              <w:rPr>
                <w:rFonts w:ascii="Times New Roman;serif" w:hAnsi="Times New Roman;serif"/>
                <w:b w:val="false"/>
                <w:color w:val="000000"/>
                <w:sz w:val="13"/>
              </w:rPr>
              <w:t>1</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Aluminum premium charge as a result of unplanned maintenance interruptions</w:t>
            </w:r>
            <w:r>
              <w:rPr>
                <w:rFonts w:ascii="Times New Roman;serif" w:hAnsi="Times New Roman;serif"/>
                <w:b w:val="false"/>
                <w:color w:val="000000"/>
                <w:sz w:val="13"/>
              </w:rPr>
              <w:t>2</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Aluminum Extrusions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110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associated with plant shutdowns, asset impairments and restructurings: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Richmond, Virginia Technical Center closure expenses, including severance</w:t>
            </w:r>
            <w:r>
              <w:rPr>
                <w:rFonts w:ascii="Times New Roman;serif" w:hAnsi="Times New Roman;serif"/>
                <w:b w:val="false"/>
                <w:color w:val="000000"/>
                <w:sz w:val="13"/>
              </w:rPr>
              <w:t>3</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Richmond, Virginia Technical Center lease modification</w:t>
            </w:r>
            <w:r>
              <w:rPr>
                <w:rFonts w:ascii="Times New Roman;serif" w:hAnsi="Times New Roman;serif"/>
                <w:b w:val="false"/>
                <w:color w:val="000000"/>
                <w:sz w:val="13"/>
              </w:rPr>
              <w:t>3</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PE Films</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919"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assets, investment writedowns and other items: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business development activities</w:t>
            </w:r>
            <w:r>
              <w:rPr>
                <w:rFonts w:ascii="Times New Roman;serif" w:hAnsi="Times New Roman;serif"/>
                <w:b w:val="false"/>
                <w:color w:val="000000"/>
                <w:sz w:val="13"/>
              </w:rPr>
              <w:t>1</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remediation activities related to internal control over financial reporting</w:t>
            </w:r>
            <w:r>
              <w:rPr>
                <w:rFonts w:ascii="Times New Roman;serif" w:hAnsi="Times New Roman;serif"/>
                <w:b w:val="false"/>
                <w:color w:val="000000"/>
                <w:sz w:val="13"/>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Group annuity contract premium adjustment</w:t>
            </w:r>
            <w:r>
              <w:rPr>
                <w:rFonts w:ascii="Times New Roman;serif" w:hAnsi="Times New Roman;serif"/>
                <w:b w:val="false"/>
                <w:color w:val="000000"/>
                <w:sz w:val="13"/>
              </w:rPr>
              <w:t>4</w:t>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 associated with the transition to the ABL Facility</w:t>
            </w:r>
            <w:r>
              <w:rPr>
                <w:rFonts w:ascii="Times New Roman;serif" w:hAnsi="Times New Roman;serif"/>
                <w:b w:val="false"/>
                <w:color w:val="000000"/>
                <w:sz w:val="13"/>
              </w:rPr>
              <w:t>1</w:t>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on the sale of corporate-owned land</w:t>
            </w:r>
            <w:r>
              <w:rPr>
                <w:rFonts w:ascii="Times New Roman;serif" w:hAnsi="Times New Roman;serif"/>
                <w:b w:val="false"/>
                <w:color w:val="000000"/>
                <w:sz w:val="13"/>
              </w:rPr>
              <w:t>4</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Corporate</w:t>
            </w:r>
          </w:p>
        </w:tc>
        <w:tc>
          <w:tcPr>
            <w:tcW w:w="3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Included in “Selling, general and administrative expenses” in the condensed consolidated statements of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Included in “Cost of Goods Sold” in the condensed consolidated statements of income.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See Note 1 for additional information.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 Included in “Other income (expense), net” in the condensed consolidated statements of income.</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Average total debt outstanding and interest rates were as follows:</w:t>
      </w:r>
    </w:p>
    <w:tbl>
      <w:tblPr>
        <w:tblW w:w="8973" w:type="dxa"/>
        <w:jc w:val="left"/>
        <w:tblInd w:w="0" w:type="dxa"/>
        <w:tblLayout w:type="fixed"/>
        <w:tblCellMar>
          <w:top w:w="28" w:type="dxa"/>
          <w:left w:w="28" w:type="dxa"/>
          <w:bottom w:w="28" w:type="dxa"/>
          <w:right w:w="28" w:type="dxa"/>
        </w:tblCellMar>
      </w:tblPr>
      <w:tblGrid>
        <w:gridCol w:w="2355"/>
        <w:gridCol w:w="2072"/>
        <w:gridCol w:w="2083"/>
        <w:gridCol w:w="211"/>
        <w:gridCol w:w="511"/>
        <w:gridCol w:w="271"/>
        <w:gridCol w:w="109"/>
        <w:gridCol w:w="109"/>
        <w:gridCol w:w="109"/>
        <w:gridCol w:w="211"/>
        <w:gridCol w:w="616"/>
        <w:gridCol w:w="316"/>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Floating-rate debt with interest charged on a rollover basis plus a credit spread:</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outstanding debt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Segment Operations Review</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Aluminum Extrusions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results for Aluminum Extrusions is provided below: </w:t>
      </w:r>
    </w:p>
    <w:tbl>
      <w:tblPr>
        <w:tblW w:w="10284" w:type="dxa"/>
        <w:jc w:val="left"/>
        <w:tblInd w:w="0" w:type="dxa"/>
        <w:tblLayout w:type="fixed"/>
        <w:tblCellMar>
          <w:top w:w="28" w:type="dxa"/>
          <w:left w:w="28" w:type="dxa"/>
          <w:bottom w:w="28" w:type="dxa"/>
          <w:right w:w="28" w:type="dxa"/>
        </w:tblCellMar>
      </w:tblPr>
      <w:tblGrid>
        <w:gridCol w:w="661"/>
        <w:gridCol w:w="344"/>
        <w:gridCol w:w="346"/>
        <w:gridCol w:w="109"/>
        <w:gridCol w:w="109"/>
        <w:gridCol w:w="109"/>
        <w:gridCol w:w="211"/>
        <w:gridCol w:w="826"/>
        <w:gridCol w:w="109"/>
        <w:gridCol w:w="109"/>
        <w:gridCol w:w="109"/>
        <w:gridCol w:w="109"/>
        <w:gridCol w:w="211"/>
        <w:gridCol w:w="826"/>
        <w:gridCol w:w="109"/>
        <w:gridCol w:w="109"/>
        <w:gridCol w:w="109"/>
        <w:gridCol w:w="109"/>
        <w:gridCol w:w="389"/>
        <w:gridCol w:w="389"/>
        <w:gridCol w:w="393"/>
        <w:gridCol w:w="109"/>
        <w:gridCol w:w="109"/>
        <w:gridCol w:w="109"/>
        <w:gridCol w:w="211"/>
        <w:gridCol w:w="826"/>
        <w:gridCol w:w="109"/>
        <w:gridCol w:w="109"/>
        <w:gridCol w:w="109"/>
        <w:gridCol w:w="109"/>
        <w:gridCol w:w="211"/>
        <w:gridCol w:w="826"/>
        <w:gridCol w:w="109"/>
        <w:gridCol w:w="109"/>
        <w:gridCol w:w="109"/>
        <w:gridCol w:w="109"/>
        <w:gridCol w:w="355"/>
        <w:gridCol w:w="355"/>
        <w:gridCol w:w="506"/>
      </w:tblGrid>
      <w:tr>
        <w:trPr/>
        <w:tc>
          <w:tcPr>
            <w:tcW w:w="6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(384.1)%</w:t>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3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r>
      <w:tr>
        <w:trPr/>
        <w:tc>
          <w:tcPr>
            <w:tcW w:w="135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84" w:type="dxa"/>
            <w:gridSpan w:val="3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Excludes related depreciation and amortization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segment allocated employee compensation benefit expenses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See the reconciliation below of this non-GAAP measure to the most comparable measure calculated in accordance with GAAP.</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2025 Results vs. Second Quarter 2024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 (sales less freight) in the second quarter of 2025 increased 24.2% versus the second quarter of 2024 primarily due to higher sales volume and the pass-through of higher metal costs. Sales volume in the second quarter of 2025 increased 16.6% versus the second quarter of 2024 and 7.4% versus the first quarter of 2025. The Company saw increased shipments for curtainwall, storefront and institutional walkway covers within the nonresidential B&amp;C market and TSLOTS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aluminum framing systems, for both year-over-year and sequential periods. Within the specialty market, shipments for solar panels within the electrical product group and consumer durables increased versus the second quarter of last year. The Company estimates that the growth in the solar market was partly due to regaining share previously lost to imported aluminum extrusions, while the growth in consumer durables could be associated with a pull-forward of demand in anticipation of higher tariff-related pricing.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new orders in the second quarter of 2025 increased 21% versus the second quarter of 2024 and decreased 11% versus the first quarter of 2025. The second quarter of 2025 marked the first quarterly decline for this metric, following 10 consecutive quarterly increases.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Open orders at the end of the second quarter of 2025 were 25 million pounds, versus 14 million pounds at the end of the second quarter of 2024 and 25 million pounds at the end of the first quarter of 2025. This level falls within the quarterly range of 21 to 27 million pounds in 2019 before pandemic-related disruptions that resulted in long lead times.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Effective June 4, 2025, the Section 232 tariffs were increased to 50%, except for the United Kingdom, after previously being increased from 10% to 25%, effective March 12, 2025. These measures</w:t>
      </w:r>
      <w:r>
        <w:rPr>
          <w:color w:val="FF0000"/>
        </w:rPr>
        <w:t xml:space="preserve"> </w:t>
      </w:r>
      <w:r>
        <w:rPr>
          <w:rFonts w:ascii="Times New Roman;serif" w:hAnsi="Times New Roman;serif"/>
          <w:b w:val="false"/>
          <w:color w:val="000000"/>
          <w:sz w:val="20"/>
        </w:rPr>
        <w:t xml:space="preserve">are in addition to existing antidumping and countervailing duties. There are no country-specific or product-specific exclusions occurring to date, except for an alternative arrangement with the United Kingdom. Tariffs and duties are part of the mechanical pass-through to customers in the U.S. market for aluminum extrusions for changes in metal costs. In addition, the Company implemented price increases during the third quarter of 2025 to offset other tariff-related cost increases that are not part of the metal cost pass-through mechanism.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trend of net new orders declined after the most recent tariff increase to 50% from an average of 3.4 million pounds per week for the weekly periods ending from January 5 to June 1, 2025, to an average of 2.7 million pounds per week for the weekly periods ending June 8, 2025 through August 1, 2025. The Company believes that the 20% decline in orders after the step-up in tariff to 50% is due to a combination of lower demand for extrusions in the U.S. and customers pausing orders to evaluate the permanency of the new higher tariff. The favorable shift in market share from imports to U.S. producers has not offset the lower demand at the stepped-up tariff level.</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second quarter of 2025 decreased $3.6 million versus the second quarter of 2024, primarily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$0.7 million increase in contribution margin (net sales less variable costs) associated 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volume ($5.2 million), offset by higher variable manufacturing costs associated with material yield ($0.7 million unfavorable in the second quarter of 2025 versus $0.1 million unfavorable in the second quarter of 2024); higher labor rate ($0.6 million); unfavorable labor productivity associated with onboarding new employees ($0.7 million); higher expense for externally produced billet related to the increase in volume ($0.5 million); unfavorable maintenance and supply expense ($0.3 million); and higher utilities ($0.2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charge of $0.7 million in the second quarter of 2025 versus a benefit of $1.2 million in the second quarter of 2024.</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underlying average U.S. Midwest transaction prices for aluminum (which includes tariffs and duties) and the main factor causing the flow-through timing issue for the related periods compared, were $1.49 and $1.57 per pound in May and February of 2025, and $1.36 and $1.17 per pound in May and February of 2024. The average U.S. Midwest transaction prices for aluminum for the second and first quarters of 2025 and second and first quarters of 2024 were $1.56, $1.52, $1.34 and $1.18 per pound, respectively.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associated with wage increases and compensation-related costs ($0.8 million), higher maintenance and utilities expenses ($0.3 million) and added resources to support increasing volume ($0.3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SG&amp;A expenses primarily associated with employee-related compensation ($0.7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Higher other expense for employee-related medical costs caused by an increase in the number of high-cost medical claims versus favorable experience in recent years ($1.2 million). The Company is self-insured for medical claims with stop loss coverage for claims of over $0.3 million. </w:t>
      </w:r>
    </w:p>
    <w:p>
      <w:pPr>
        <w:pStyle w:val="TextBody"/>
        <w:bidi w:val="0"/>
        <w:spacing w:lineRule="auto" w:line="288" w:before="100" w:after="283"/>
        <w:ind w:left="0" w:right="0" w:firstLine="450"/>
        <w:jc w:val="left"/>
        <w:rPr/>
      </w:pPr>
      <w:r>
        <w:rPr>
          <w:color w:val="000000"/>
          <w:u w:val="single"/>
        </w:rPr>
        <w:t>•</w:t>
      </w:r>
      <w:r>
        <w:rPr>
          <w:rFonts w:ascii="Times New Roman;serif" w:hAnsi="Times New Roman;serif"/>
          <w:b w:val="false"/>
          <w:color w:val="000000"/>
          <w:sz w:val="20"/>
        </w:rPr>
        <w:t>Manufacturing costs versus expectations during the second quarter of 2025 were unfavorable by approximately $3 million, which occurred in April and May due to inefficiencies from the ramp-up of production and hiring to fulfill the higher order rate. The Company believes that these issues have been resolved.</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2025 Results vs. First Six Months of 2024 Results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the first six months of 2025 increased 20.7% versus the first six months of 2024 primarily due to higher sales volume and the pass-through of higher metal costs, partially offset by a lower average conversion price add-on to metal costs associated with a shift in sales mix in the first quarter of 2025. Sales volume in the first six months of 2025 increased 14.3% versus the first six months of 2024.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2025 decreased $7.0 million in comparison to the first six months of 2024 primarily due to:</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 $1.4 million increase in contribution margin associated with: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volume ($8.6 million), significantly offset by lower spread in the first quarter of 2025 (the difference between selling prices and metal costs) associated with a shift in sales mix ($2.1 million); higher variable manufacturing costs associated with material yield in the first five months of 2025, which was unfavorable to projected rates ($1.4 million unfavorable in the first six months of 2025 versus $0.5 million favorable in the first six months of 2024); higher labor rates ($1.4 million); decreased labor productivity associated with onboarding new employees ($0.5 million); higher maintenance expense, primarily associated with downed equipment and extreme winter weather events in the first quarter of 2025 ($1.0 million); higher die expense associated with the timing of purchases in the first quarter of 2025 ($1.0 million); higher expense for externally produced billet related to increasing volume in the second quarter of 2025 ($0.5 million); and higher utilities ($0.4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timing of the flow-through under the FIFO method of aluminum raw material costs, which were previously acquired at lower prices in a quickly changing commodity pricing environment and passed through to customers, resulted in a benefit of $1.1 million in the first six months of 2025 versus a charge of $0.1 million in the first six months of 2024.</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fixed costs associated with wage increases and compensation-related costs ($1.8 million), higher maintenance and utilities ($0.7 million) and added resources to support increasing volume ($0.6 million).</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Higher SG&amp;A expenses primarily associated with employee-related compensation ($2.4 million), increased training and onboarding expense ($0.5 million) and routine environmental compliance costs ($0.4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Higher other expense for employee-related medical costs caused by an increase in the number of high-cost medical claims versus favorable experience in recent years ($1.2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R</w:t>
      </w:r>
      <w:r>
        <w:rPr>
          <w:rFonts w:ascii="Times New Roman;serif" w:hAnsi="Times New Roman;serif"/>
          <w:b w:val="false"/>
          <w:color w:val="000000"/>
          <w:sz w:val="20"/>
          <w:shd w:fill="FFFFFF" w:val="clear"/>
        </w:rPr>
        <w:t xml:space="preserve">efer to Item 3. </w:t>
      </w:r>
      <w:r>
        <w:rPr>
          <w:rFonts w:ascii="Times New Roman;serif" w:hAnsi="Times New Roman;serif"/>
          <w:b w:val="false"/>
          <w:i/>
          <w:color w:val="000000"/>
          <w:sz w:val="20"/>
          <w:shd w:fill="FFFFFF" w:val="clear"/>
        </w:rPr>
        <w:t>Q</w:t>
      </w:r>
      <w:r>
        <w:rPr>
          <w:rFonts w:ascii="Times New Roman;serif" w:hAnsi="Times New Roman;serif"/>
          <w:b w:val="false"/>
          <w:i/>
          <w:color w:val="000000"/>
          <w:sz w:val="20"/>
        </w:rPr>
        <w:t>uantitative and Qualitative Disclosures About Market Risk</w:t>
      </w:r>
      <w:r>
        <w:rPr>
          <w:color w:val="000000"/>
        </w:rPr>
        <w:t xml:space="preserve"> </w:t>
      </w:r>
      <w:r>
        <w:rPr>
          <w:rFonts w:ascii="Times New Roman;serif" w:hAnsi="Times New Roman;serif"/>
          <w:b w:val="false"/>
          <w:color w:val="000000"/>
          <w:sz w:val="20"/>
        </w:rPr>
        <w:t>in this Form 10-Q f</w:t>
      </w:r>
      <w:r>
        <w:rPr>
          <w:rFonts w:ascii="Times New Roman;serif" w:hAnsi="Times New Roman;serif"/>
          <w:b w:val="false"/>
          <w:color w:val="000000"/>
          <w:sz w:val="20"/>
          <w:shd w:fill="FFFFFF" w:val="clear"/>
        </w:rPr>
        <w:t xml:space="preserve">or additional information on aluminum prices.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Bonnell Aluminum are projected to be $17 million in 2025, including $5 million for productivity projects and $12 million for capital expenditures required to support continuity of operations. Depreciation expense is projected to be $15 million in 2025. Amortization expense is projected to be $2 million in 2025.</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PE Films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results for PE Films is provided below:</w:t>
      </w:r>
    </w:p>
    <w:tbl>
      <w:tblPr>
        <w:tblW w:w="10205" w:type="dxa"/>
        <w:jc w:val="left"/>
        <w:tblInd w:w="0" w:type="dxa"/>
        <w:tblLayout w:type="fixed"/>
        <w:tblCellMar>
          <w:top w:w="28" w:type="dxa"/>
          <w:left w:w="28" w:type="dxa"/>
          <w:bottom w:w="28" w:type="dxa"/>
          <w:right w:w="28" w:type="dxa"/>
        </w:tblCellMar>
      </w:tblPr>
      <w:tblGrid>
        <w:gridCol w:w="751"/>
        <w:gridCol w:w="460"/>
        <w:gridCol w:w="462"/>
        <w:gridCol w:w="109"/>
        <w:gridCol w:w="109"/>
        <w:gridCol w:w="109"/>
        <w:gridCol w:w="211"/>
        <w:gridCol w:w="721"/>
        <w:gridCol w:w="109"/>
        <w:gridCol w:w="109"/>
        <w:gridCol w:w="109"/>
        <w:gridCol w:w="109"/>
        <w:gridCol w:w="211"/>
        <w:gridCol w:w="721"/>
        <w:gridCol w:w="109"/>
        <w:gridCol w:w="109"/>
        <w:gridCol w:w="109"/>
        <w:gridCol w:w="109"/>
        <w:gridCol w:w="391"/>
        <w:gridCol w:w="391"/>
        <w:gridCol w:w="396"/>
        <w:gridCol w:w="109"/>
        <w:gridCol w:w="109"/>
        <w:gridCol w:w="109"/>
        <w:gridCol w:w="211"/>
        <w:gridCol w:w="721"/>
        <w:gridCol w:w="109"/>
        <w:gridCol w:w="109"/>
        <w:gridCol w:w="109"/>
        <w:gridCol w:w="109"/>
        <w:gridCol w:w="211"/>
        <w:gridCol w:w="721"/>
        <w:gridCol w:w="109"/>
        <w:gridCol w:w="109"/>
        <w:gridCol w:w="109"/>
        <w:gridCol w:w="109"/>
        <w:gridCol w:w="357"/>
        <w:gridCol w:w="357"/>
        <w:gridCol w:w="514"/>
      </w:tblGrid>
      <w:tr>
        <w:trPr/>
        <w:tc>
          <w:tcPr>
            <w:tcW w:w="75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Favorable/</w:t>
            </w:r>
          </w:p>
        </w:tc>
      </w:tr>
      <w:tr>
        <w:trPr/>
        <w:tc>
          <w:tcPr>
            <w:tcW w:w="16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(Unfavorable)</w:t>
            </w:r>
          </w:p>
        </w:tc>
      </w:tr>
      <w:tr>
        <w:trPr/>
        <w:tc>
          <w:tcPr>
            <w:tcW w:w="16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volume (lbs)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fixed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(216.7)%</w:t>
            </w:r>
          </w:p>
        </w:tc>
      </w:tr>
      <w:tr>
        <w:trPr/>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6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EBIT from ongoing operations</w:t>
            </w:r>
            <w:r>
              <w:rPr>
                <w:rFonts w:ascii="Times New Roman;serif" w:hAnsi="Times New Roman;serif"/>
                <w:b w:val="false"/>
                <w:color w:val="000000"/>
                <w:sz w:val="13"/>
              </w:rPr>
              <w:t>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r>
      <w:tr>
        <w:trPr/>
        <w:tc>
          <w:tcPr>
            <w:tcW w:w="1673"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39"/>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Excludes related depreciation and amortization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segment allocated employee compensation benefit expenses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See the reconciliation below of this non-GAAP measure to the most comparable measure calculated in accordance with GAAP.</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Quarter 2025 Results vs. Second Quarter 2024 Results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Net sales</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 xml:space="preserve">second quarter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2025 decreased 15.8% versus the second quarter of 2024 due to lower sales volume in surface protection films, which decreased 18.2% in the second quarter of 2025 versus exceptionally strong volume in the second quarter of 2024 and 10.1% versus the first quarter of 2025. Recent volume performance for Surface Protection has exceeded expectations and is expected to moderate for the remainder of the year. Volume for overwrap films, which are predominantly manufactured and sold in the U.S. and used in consumer staple items, increased 6.1% in the second quarter of 2025 versus the second quarter of 2024.</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date, Surface Protection has not experienced an adverse impact on customer demand related to tariff actions; however, the situation remains fluid and the impact on consumer electronics is uncertain.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EBITDA from ongoing operations in the second quarter of 2025 decreased $3.4 million versus the second quarter of 2024, primarily due to: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decrease in contribution margin of $3.1 million resulting from: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$3.3 million decrease from Surface Protection associated with lower volume ($4.2 million), partially offset by cost improvements and favorable pricing ($0.7 million) and the pass-through lag associated with resin costs (no charge or benefit in the second quarter of 2025 versus a charge of $0.2 million in the second quarter of 2024).</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 $0.2 million increase from overwrap films primarily due to cost improvements ($0.2 million) and the pass-through lag associated with resin costs (no charge or benefit in the second quarter of 2025 versus a charge of $0.1 million in the second quarter of 2024), partially offset by unfavorable pricing ($0.1 million).</w:t>
      </w:r>
    </w:p>
    <w:p>
      <w:pPr>
        <w:pStyle w:val="TextBody"/>
        <w:bidi w:val="0"/>
        <w:spacing w:lineRule="auto" w:line="288" w:before="1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significant cyclical swings in the sales volume and EBITDA from ongoing operations for PE Films in the last 3.5 years, largely due to the unprecedented downturn in the display industry during the second half of 2022 and first half of 2023. EBITDA from ongoing operations for the past 3.5 years (first six months of 2025, full year 2024, 2023 and 2022) has averaged approximately $4.8 million per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First Six Months of 2025 Results vs. First Six Months of 2024 Results</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sales in the first six months of 2025 decreased 7.0% compared to the first six months of 2024 primarily due to a decrease in sales volume in Surface Protection, as a result of the factors noted above. Sales volume decreased 7.8% in Surface Protection in the first six months of 2025 versus the first six months of 2024. Sales volume for overwrap films decreased 3.1% in the first six months of 2025 versus the first six months of 2024.</w:t>
      </w:r>
    </w:p>
    <w:p>
      <w:pPr>
        <w:pStyle w:val="TextBody"/>
        <w:bidi w:val="0"/>
        <w:spacing w:lineRule="auto" w:line="26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EBITDA from ongoing operations in the first six months of 2025 decreased $2.8 million versus the first six months of 2024, primarily due to:</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decrease in contribution margin of $2.2 million resulting from:</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$1.8 million decrease in Surface Protection associated with lower volume ($3.9 million), partially offset by cost improvements and favorable pricing ($1.8 million) and the pass-through lag associated with resin costs (a charge of $0.1 million in the first six months of 2025 versus a charge of $0.4 million in the first six months of 2024).</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A $0.5 million decrease in overwrap films primarily due to lower volume and unfavorable mix and pricing ($0.8 million), partially offset by cost improvements ($0.1 million) and the pass-through lag associated with resin costs (a charge of $0.1 million in the first six months of 2025 versus a charge of $0.2 million in the first six months of 2024).</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Higher fixed costs primarily associated with wage increases and compensation-related costs ($0.4 million).</w:t>
      </w:r>
    </w:p>
    <w:p>
      <w:pPr>
        <w:pStyle w:val="TextBody"/>
        <w:bidi w:val="0"/>
        <w:spacing w:lineRule="auto" w:line="268" w:before="100" w:after="283"/>
        <w:ind w:left="0" w:right="0" w:hanging="270"/>
        <w:jc w:val="left"/>
        <w:rPr/>
      </w:pPr>
      <w:r>
        <w:rPr>
          <w:color w:val="000000"/>
        </w:rPr>
        <w:t>•</w:t>
      </w:r>
      <w:r>
        <w:rPr>
          <w:rFonts w:ascii="Times New Roman;serif" w:hAnsi="Times New Roman;serif"/>
          <w:b w:val="false"/>
          <w:color w:val="000000"/>
          <w:sz w:val="20"/>
        </w:rPr>
        <w:t>Higher SG&amp;A expenses primarily associated with increased R&amp;D expenses ($0.2 million).</w:t>
      </w:r>
    </w:p>
    <w:p>
      <w:pPr>
        <w:pStyle w:val="TextBody"/>
        <w:bidi w:val="0"/>
        <w:spacing w:lineRule="auto" w:line="268" w:before="100" w:after="283"/>
        <w:ind w:left="0" w:right="0" w:firstLine="450"/>
        <w:jc w:val="left"/>
        <w:rPr/>
      </w:pPr>
      <w:r>
        <w:rPr>
          <w:rFonts w:ascii="Times New Roman;serif" w:hAnsi="Times New Roman;serif"/>
          <w:b w:val="false"/>
          <w:color w:val="000000"/>
          <w:sz w:val="20"/>
        </w:rPr>
        <w:t>R</w:t>
      </w:r>
      <w:r>
        <w:rPr>
          <w:rFonts w:ascii="Times New Roman;serif" w:hAnsi="Times New Roman;serif"/>
          <w:b w:val="false"/>
          <w:color w:val="000000"/>
          <w:sz w:val="20"/>
          <w:shd w:fill="FFFFFF" w:val="clear"/>
        </w:rPr>
        <w:t xml:space="preserve">efer to Item 3. </w:t>
      </w:r>
      <w:r>
        <w:rPr>
          <w:rFonts w:ascii="Times New Roman;serif" w:hAnsi="Times New Roman;serif"/>
          <w:b w:val="false"/>
          <w:i/>
          <w:color w:val="000000"/>
          <w:sz w:val="20"/>
          <w:shd w:fill="FFFFFF" w:val="clear"/>
        </w:rPr>
        <w:t>Q</w:t>
      </w:r>
      <w:r>
        <w:rPr>
          <w:rFonts w:ascii="Times New Roman;serif" w:hAnsi="Times New Roman;serif"/>
          <w:b w:val="false"/>
          <w:i/>
          <w:color w:val="000000"/>
          <w:sz w:val="20"/>
        </w:rPr>
        <w:t>uantitative and Qualitative Disclosures About Market Risk</w:t>
      </w:r>
      <w:r>
        <w:rPr>
          <w:color w:val="000000"/>
        </w:rPr>
        <w:t xml:space="preserve"> </w:t>
      </w:r>
      <w:r>
        <w:rPr>
          <w:rFonts w:ascii="Times New Roman;serif" w:hAnsi="Times New Roman;serif"/>
          <w:b w:val="false"/>
          <w:color w:val="000000"/>
          <w:sz w:val="20"/>
        </w:rPr>
        <w:t>in this Form 10-Q f</w:t>
      </w:r>
      <w:r>
        <w:rPr>
          <w:rFonts w:ascii="Times New Roman;serif" w:hAnsi="Times New Roman;serif"/>
          <w:b w:val="false"/>
          <w:color w:val="000000"/>
          <w:sz w:val="20"/>
          <w:shd w:fill="FFFFFF" w:val="clear"/>
        </w:rPr>
        <w:t xml:space="preserve">or additional information on resin prices. </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expenditures for PE Films are projected to be $2 million in 2025, including $1 million for productivity projects and $1 million for capital expenditures required to support continuity of current operations. Depreciation expense is projected to be $5 million in 2025. There is no amortization expense for PE Films.</w:t>
      </w:r>
    </w:p>
    <w:p>
      <w:pPr>
        <w:pStyle w:val="TextBody"/>
        <w:bidi w:val="0"/>
        <w:spacing w:lineRule="auto" w:line="288" w:before="100" w:after="283"/>
        <w:jc w:val="left"/>
        <w:rPr>
          <w:rFonts w:ascii="Times New Roman;serif" w:hAnsi="Times New Roman;serif"/>
          <w:b/>
          <w:i/>
          <w:color w:val="000000"/>
          <w:sz w:val="20"/>
          <w:u w:val="single"/>
        </w:rPr>
      </w:pPr>
      <w:r>
        <w:rPr>
          <w:rFonts w:ascii="Times New Roman;serif" w:hAnsi="Times New Roman;serif"/>
          <w:b/>
          <w:i/>
          <w:color w:val="000000"/>
          <w:sz w:val="20"/>
          <w:u w:val="single"/>
        </w:rPr>
        <w:t>Corporate Expenses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Corporate expenses, net in the first six months of 2025 increased $2.6 million compared to the first six months of 2024 primarily due to higher professional fees associated with business development activities ($3.5 million), higher employee-related incentive compensation ($1.1 million) and higher stock-based compensation ($0.6 million), partially offset by a gain on the sale of corporate-owned land ($1.5 million), lower external and internal audit fees ($0.7 million) and lower professional fees associated with remediation activities related to internal control over financial reporting ($0.4 million).</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Net capitalization and other credit measures are provided in </w:t>
      </w:r>
      <w:r>
        <w:rPr>
          <w:rFonts w:ascii="Times New Roman;serif" w:hAnsi="Times New Roman;serif"/>
          <w:b/>
          <w:i/>
          <w:color w:val="000000"/>
          <w:sz w:val="20"/>
        </w:rPr>
        <w:t xml:space="preserve">Liquidity and Capital Resources </w:t>
      </w:r>
      <w:r>
        <w:rPr>
          <w:rFonts w:ascii="Times New Roman;serif" w:hAnsi="Times New Roman;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u w:val="single"/>
        </w:rPr>
      </w:pPr>
      <w:r>
        <w:rPr>
          <w:rFonts w:ascii="Times New Roman;serif" w:hAnsi="Times New Roman;serif"/>
          <w:b/>
          <w:i/>
          <w:color w:val="000000"/>
          <w:sz w:val="20"/>
          <w:u w:val="single"/>
        </w:rPr>
        <w:t>Reconciliation of Net Sales and EBITDA from Ongoing Operations by Segment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segment financial information to consolidated results for the Company for the three and six months ended June 30, 2025 and 2024. </w:t>
      </w:r>
    </w:p>
    <w:tbl>
      <w:tblPr>
        <w:tblW w:w="10205" w:type="dxa"/>
        <w:jc w:val="left"/>
        <w:tblInd w:w="0" w:type="dxa"/>
        <w:tblLayout w:type="fixed"/>
        <w:tblCellMar>
          <w:top w:w="28" w:type="dxa"/>
          <w:left w:w="28" w:type="dxa"/>
          <w:bottom w:w="28" w:type="dxa"/>
          <w:right w:w="28" w:type="dxa"/>
        </w:tblCellMar>
      </w:tblPr>
      <w:tblGrid>
        <w:gridCol w:w="1654"/>
        <w:gridCol w:w="1300"/>
        <w:gridCol w:w="13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5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freight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as shown in the condensed consolidated statements of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from 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Extrusions: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 Films: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shutdowns, asset impairments, restructurings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 in kaleo,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2024 to June 30, 2025 are summarized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and other receivables increased $14.0 million (21.6%).</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and other receivables in Aluminum Extrusions increased $12.9 million primarily due to higher sales volume and the pass-through of lower metal costs, partially offset by a lower average conversion price add-on to metal costs associated with a shift in sales mix in the first quarter of 2025. DSO (represents trailing 12 months net sales divided by a rolling 12-month average of accounts and other receivables balances) was approximately 44.8 days for the 12 months ended June 30, 2025 and 44.7 days for the 12 months ended December 31, 2024.</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 xml:space="preserve">Accounts and other receivables in PE Films increased $1.1 million primarily due to higher sales volume related to overwrap films during the second quarter of 2025 compared to the fourth quarter of 2024. DSO was approximately 25.8 days for the 12 months ended June 30, 2025 and 24.9 days for the 12 months ended December 31, 2024. </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increased $15.3 million (29.7%).</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 Aluminum Extrusions increased $14.7 million primarily due to higher average aluminum prices and increased raw material levels from seasonally low levels at the end of last year. DIO (represents trailing 12 months costs of goods sold calculated on a FIFO basis divided by a rolling 12-month average of inventory balances calculated on the FIFO basis) was approximately 49.6 days for the 12 months ended June 30, 2025 and 47.4 days for the 12 months ended December 31, 2024.</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Inventories in PE Films increased $0.6 million primarily due to higher finished goods levels. DIO was approximately 51.1 days for the 12 months ended June 30, 2025 and 50.3 days for the 12 months ended December 31, 2024.</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Net property, plant and equipment decreased $5.5 million primarily due to depreciation expense of $10.0 million, partially offset by capital expenditures of $5.1 million.</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 xml:space="preserve">Identifiable intangible assets, net decreased $0.9 million (12.0%) due to amortization expense. </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increased $3.5 million (5.4%).</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 Aluminum Extrusions increased $2.7 million primarily due to higher average aluminum prices and increased raw material purchases. DPO (represents trailing 12 months costs of goods sold calculated on a FIFO basis divided by a rolling 12-month average of accounts payable balances) was approximately 46.1 days for the 12 months ended June 30, 2025 and 44.5 days for the 12 months ended December 31, 2024.</w:t>
      </w:r>
    </w:p>
    <w:p>
      <w:pPr>
        <w:pStyle w:val="TextBody"/>
        <w:bidi w:val="0"/>
        <w:spacing w:lineRule="auto" w:line="288" w:before="100" w:after="283"/>
        <w:ind w:left="0" w:right="0" w:hanging="450"/>
        <w:jc w:val="left"/>
        <w:rPr/>
      </w:pPr>
      <w:r>
        <w:rPr>
          <w:color w:val="000000"/>
        </w:rPr>
        <w:t>◦</w:t>
      </w:r>
      <w:r>
        <w:rPr>
          <w:rFonts w:ascii="Times New Roman;serif" w:hAnsi="Times New Roman;serif"/>
          <w:b w:val="false"/>
          <w:color w:val="000000"/>
          <w:sz w:val="20"/>
        </w:rPr>
        <w:t>Accounts payable in PE Films decreased $0.8 million primarily due to lower raw material purchases. DPO was approximately 38.9 days for the 12 months ended June 30, 2025 and 41.3 days for the 12 months ended December 31, 2024.</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$2.9 million in the first six months of 2025 compared to net cash provided by operating activities of $7.3 million in the first six months of 2024. The change in operating activities from the Company's continuing business segments is primarily due to higher working capital and lower segment EBITDA from ongoing operations.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$6.1 million in the first six months of 2025 compared to net cash used in investing activities of $4.6 million the first six months of 2024. The change is primarily due to $9.8 million post-closing settlement proceeds associated with the sale of Terphane received in the first three months of 2025 and proceeds on the sale of corporate-owned land ($1.9 million), partially offset by higher capital expenditures ($0.9 million).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$0.6 million in the first six months of 2025 compared to net cash used in financing activities of $4.9 million in the first six months of 2024. The change is primarily due to lower debt principal payments, net of borrowings ($5.0 million) under the ABL Facility (as defined below) in the first six months of 2025, partially offset by higher deferred financing fees paid associated with Amendment No. 5 (defined below) to the ABL Facility in the first six months of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the Company had cash and cash equivalents of $9.8 million, including cash and cash equivalents held in locations outside the U.S. of $1.8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Debt and Credit Agreements</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June 30, 2025, funds available to borrow under the ABL Facility was $50.6 million, or 40.5% of the aggregate commitment of $125 million.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June 30, 2025, the Company was in compliance with all debt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computation of Credit EBITDA, as defined in the ABL Facility, and fixed charge coverage ratio is presented below.</w:t>
      </w:r>
    </w:p>
    <w:tbl>
      <w:tblPr>
        <w:tblW w:w="10205" w:type="dxa"/>
        <w:jc w:val="left"/>
        <w:tblInd w:w="0" w:type="dxa"/>
        <w:tblLayout w:type="fixed"/>
        <w:tblCellMar>
          <w:top w:w="28" w:type="dxa"/>
          <w:left w:w="28" w:type="dxa"/>
          <w:bottom w:w="28" w:type="dxa"/>
          <w:right w:w="28" w:type="dxa"/>
        </w:tblCellMar>
      </w:tblPr>
      <w:tblGrid>
        <w:gridCol w:w="2905"/>
        <w:gridCol w:w="2457"/>
        <w:gridCol w:w="2225"/>
        <w:gridCol w:w="482"/>
        <w:gridCol w:w="1781"/>
        <w:gridCol w:w="355"/>
      </w:tblGrid>
      <w:tr>
        <w:trPr/>
        <w:tc>
          <w:tcPr>
            <w:tcW w:w="290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Computations of Credit EBITDA (as defined in the ABL Facility) as of and for the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Twelve Months Ended June 30, 2025 *</w:t>
            </w:r>
          </w:p>
        </w:tc>
      </w:tr>
      <w:tr>
        <w:trPr/>
        <w:tc>
          <w:tcPr>
            <w:tcW w:w="102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Computations of Credit EBITDA for the twelve months ended June 30, 2025 (in thousands):</w:t>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(64,814)</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losses related to discontinued operations</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for continuing operations</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continuing operations</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non-cash losses and expenses, plus cash losses and expenses not to exceed $10,000, for continuing operations that are classified as unusual, extraordinary or which are related to plant shutdowns, asset impairments and/or restructurings (cash-related of $9,922)</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related to stock option grants and awards accounted for under the fair value-based method</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related to the application of the equity method of accounting</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related to adjustments in the estimated fair value of assets accounted for under the fair value method of accounting</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costs and expenses incurred in connection with the amendment process (Amendment No. 3 “ABL Transition”)</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costs and expenses incurred in connection with the amendment process (Amendment No. 5)</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Minus:</w:t>
            </w:r>
          </w:p>
        </w:tc>
        <w:tc>
          <w:tcPr>
            <w:tcW w:w="2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After-tax income related to discontinued operations</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benefits for continuing operations</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non-cash gains and income, plus cash gains and income in excess of $10,000, for continuing operations that are classified as unusual, extraordinary or which are related to plant shutdowns, asset impairments and/or restructurings</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changes in estimates for stock option grants and awards accounted for under the fair value-based method</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the application of the equity method of accounting</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related to adjustments in the estimated fair value of assets accounted for under the fair value method of accounting</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or minus, as applicable, pro forma EBITDA adjustments associated with acquisitions and asset dispositions</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EBITDA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w:t>
            </w:r>
          </w:p>
        </w:tc>
        <w:tc>
          <w:tcPr>
            <w:tcW w:w="26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EBITDA</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Unfinanced capital expenditures</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charges</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charge coverage ratio</w:t>
            </w:r>
          </w:p>
        </w:tc>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r>
      <w:tr>
        <w:trPr/>
        <w:tc>
          <w:tcPr>
            <w:tcW w:w="10205"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*Credit EBITDA is not intended to represent net income (loss) or cash flow from operations as defined by GAAP and should not be considered as an alternative to either net income (loss) or to cash flow.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Fixed Charge Coverage Ratio is computed as the ratio of (a) Credit EBITDA minus Unfinanced Capital Expenditures to (b) Fixed Charges.</w:t>
            </w:r>
          </w:p>
        </w:tc>
      </w:tr>
    </w:tbl>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 Films Guangzhou Loan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2024, PE Films' business location in Guangzhou, China, Guangzhou Tredegar Film Products Co., Ltd.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June 30, 2025, the interest rate on the outstanding loan balance was 2.90%. The revolving loan was secured by a mortgage contract listing the Guangzhou Tredegar factory building as collateral. The mortgage contract has a maximum value of 30 million Chinese Yuan and is effective from June 25, 2024 through May 31, 2027. Guangzhou Tredegar has the option to enter into additional loan contracts with the Industrial and Commercial Bank of China for the duration of the mortgage contract. As of June 30, 2025 and December 31, 2024, this loan is presented as current debt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on the ABL Facility and the PE Films Guangzhou Loan, see Note 10.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believes that existing borrowing availability, current cash balances and cash flow from operations will be sufficient to satisfy short term material cash requirements related to working capital, capital expenditures,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Tredegar has exposure to the volatility of interest rates, polyethylene and polypropylene resin prices, aluminum ingot and scrap prices, energy prices, foreign currencies and emerging markets. See </w:t>
      </w:r>
      <w:r>
        <w:rPr>
          <w:rFonts w:ascii="Times New Roman;serif" w:hAnsi="Times New Roman;serif"/>
          <w:b/>
          <w:i/>
          <w:color w:val="000000"/>
          <w:sz w:val="20"/>
        </w:rPr>
        <w:t>Liquidity and Capital Resources</w:t>
      </w:r>
      <w:r>
        <w:rPr>
          <w:color w:val="000000"/>
        </w:rPr>
        <w:t xml:space="preserve"> </w:t>
      </w:r>
      <w:r>
        <w:rPr>
          <w:rFonts w:ascii="Times New Roman;serif" w:hAnsi="Times New Roman;serif"/>
          <w:b w:val="false"/>
          <w:color w:val="000000"/>
          <w:sz w:val="20"/>
        </w:rPr>
        <w:t>above regarding interest rate exposures related to borrowings under the ABL Facility.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There is no assurance of the Company’s ability to pass through higher raw material and energy costs to its customers.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quarterly average aluminum prices is shown in the chart below. </w:t>
      </w:r>
    </w:p>
    <w:p>
      <w:pPr>
        <w:pStyle w:val="TextBody"/>
        <w:bidi w:val="0"/>
        <w:spacing w:before="100" w:after="283"/>
        <w:ind w:left="0" w:right="0" w:firstLine="450"/>
        <w:jc w:val="center"/>
        <w:rPr/>
      </w:pPr>
      <w:r>
        <w:rPr/>
        <w:drawing>
          <wp:inline distT="0" distB="0" distL="0" distR="0">
            <wp:extent cx="6410325" cy="28289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6410325" cy="2828925"/>
                    </a:xfrm>
                    <a:prstGeom prst="rect">
                      <a:avLst/>
                    </a:prstGeom>
                  </pic:spPr>
                </pic:pic>
              </a:graphicData>
            </a:graphic>
          </wp:inline>
        </w:drawing>
      </w:r>
      <w:bookmarkStart w:id="0" w:name="i-1"/>
      <w:bookmarkEnd w:id="0"/>
    </w:p>
    <w:tbl>
      <w:tblPr>
        <w:tblW w:w="8250" w:type="dxa"/>
        <w:jc w:val="center"/>
        <w:tblInd w:w="0" w:type="dxa"/>
        <w:tblLayout w:type="fixed"/>
        <w:tblCellMar>
          <w:top w:w="28" w:type="dxa"/>
          <w:left w:w="28" w:type="dxa"/>
          <w:bottom w:w="28" w:type="dxa"/>
          <w:right w:w="28" w:type="dxa"/>
        </w:tblCellMar>
      </w:tblPr>
      <w:tblGrid>
        <w:gridCol w:w="2636"/>
        <w:gridCol w:w="2318"/>
        <w:gridCol w:w="3296"/>
      </w:tblGrid>
      <w:tr>
        <w:trPr/>
        <w:tc>
          <w:tcPr>
            <w:tcW w:w="263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the Company using London Metal Exchange daily aluminum cash prices plus the Midwest premium.</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quarterly average natural gas prices is shown in the chart below. </w:t>
      </w:r>
    </w:p>
    <w:p>
      <w:pPr>
        <w:pStyle w:val="TextBody"/>
        <w:bidi w:val="0"/>
        <w:spacing w:before="100" w:after="283"/>
        <w:jc w:val="center"/>
        <w:rPr/>
      </w:pPr>
      <w:r>
        <w:rPr/>
        <w:drawing>
          <wp:inline distT="0" distB="0" distL="0" distR="0">
            <wp:extent cx="6410325" cy="282892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6410325" cy="2828925"/>
                    </a:xfrm>
                    <a:prstGeom prst="rect">
                      <a:avLst/>
                    </a:prstGeom>
                  </pic:spPr>
                </pic:pic>
              </a:graphicData>
            </a:graphic>
          </wp:inline>
        </w:drawing>
      </w:r>
      <w:bookmarkStart w:id="1" w:name="i-2"/>
      <w:bookmarkEnd w:id="1"/>
    </w:p>
    <w:tbl>
      <w:tblPr>
        <w:tblW w:w="5415" w:type="dxa"/>
        <w:jc w:val="center"/>
        <w:tblInd w:w="0" w:type="dxa"/>
        <w:tblLayout w:type="fixed"/>
        <w:tblCellMar>
          <w:top w:w="28" w:type="dxa"/>
          <w:left w:w="28" w:type="dxa"/>
          <w:bottom w:w="28" w:type="dxa"/>
          <w:right w:w="28" w:type="dxa"/>
        </w:tblCellMar>
      </w:tblPr>
      <w:tblGrid>
        <w:gridCol w:w="1732"/>
        <w:gridCol w:w="1520"/>
        <w:gridCol w:w="2163"/>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Tredegar using monthly NYMEX settlement prices.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volatility of average quarterly prices of polyethylene resin in the U.S. (a primary raw material for PE Films) is shown in the chart below. </w:t>
      </w:r>
    </w:p>
    <w:p>
      <w:pPr>
        <w:pStyle w:val="TextBody"/>
        <w:bidi w:val="0"/>
        <w:spacing w:before="100" w:after="283"/>
        <w:jc w:val="center"/>
        <w:rPr/>
      </w:pPr>
      <w:r>
        <w:rPr/>
        <w:drawing>
          <wp:inline distT="0" distB="0" distL="0" distR="0">
            <wp:extent cx="6410325" cy="28289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6410325" cy="2828925"/>
                    </a:xfrm>
                    <a:prstGeom prst="rect">
                      <a:avLst/>
                    </a:prstGeom>
                  </pic:spPr>
                </pic:pic>
              </a:graphicData>
            </a:graphic>
          </wp:inline>
        </w:drawing>
      </w:r>
      <w:bookmarkStart w:id="2" w:name="i-3"/>
      <w:bookmarkEnd w:id="2"/>
    </w:p>
    <w:tbl>
      <w:tblPr>
        <w:tblW w:w="10205" w:type="dxa"/>
        <w:jc w:val="center"/>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Source: Quarterly averages computed by Tredegar using monthly data provided by Oil Price Information Service (OPIS). In January 2023, OPIS reflected a 41 cents per pound non-market adjustment based on their estimate of the growth of discounts in the prior periods. The fourth quarter 2022 average rate of $0.60 per pound is shown on a pro forma basis as if the non-market adjustment was made in the fourth quarter of 2022. </w:t>
            </w:r>
          </w:p>
        </w:tc>
      </w:tr>
    </w:tbl>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on the below). Exports from the U.S. are generally denominated in U.S. Dollars. The Company’s foreign currency exposure on income from foreign operations relates to the Chinese Yuan.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PE Films is generally able to match the currency of its sales and costs for its product lines. Tredegar estimates that the change in the value of foreign currencies relative to the U.S. Dollar for PE Films had an unfavorable impact to EBITDA from ongoing operations of $0.1 million for the second quarter of 2025 and the first six months of 2025 compared to the same periods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Trends for the Chinese Yuan exchange rates relative to the U.S. Dollar are shown in the chart below.</w:t>
      </w:r>
    </w:p>
    <w:p>
      <w:pPr>
        <w:pStyle w:val="TextBody"/>
        <w:bidi w:val="0"/>
        <w:spacing w:before="100" w:after="283"/>
        <w:jc w:val="center"/>
        <w:rPr/>
      </w:pPr>
      <w:r>
        <w:rPr/>
        <w:drawing>
          <wp:inline distT="0" distB="0" distL="0" distR="0">
            <wp:extent cx="6410325" cy="28289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6410325" cy="2828925"/>
                    </a:xfrm>
                    <a:prstGeom prst="rect">
                      <a:avLst/>
                    </a:prstGeom>
                  </pic:spPr>
                </pic:pic>
              </a:graphicData>
            </a:graphic>
          </wp:inline>
        </w:drawing>
      </w:r>
      <w:bookmarkStart w:id="3" w:name="i-4"/>
      <w:bookmarkEnd w:id="3"/>
    </w:p>
    <w:tbl>
      <w:tblPr>
        <w:tblW w:w="5865" w:type="dxa"/>
        <w:jc w:val="center"/>
        <w:tblInd w:w="0" w:type="dxa"/>
        <w:tblLayout w:type="fixed"/>
        <w:tblCellMar>
          <w:top w:w="28" w:type="dxa"/>
          <w:left w:w="28" w:type="dxa"/>
          <w:bottom w:w="28" w:type="dxa"/>
          <w:right w:w="28" w:type="dxa"/>
        </w:tblCellMar>
      </w:tblPr>
      <w:tblGrid>
        <w:gridCol w:w="1876"/>
        <w:gridCol w:w="1646"/>
        <w:gridCol w:w="2343"/>
      </w:tblGrid>
      <w:tr>
        <w:trPr/>
        <w:tc>
          <w:tcPr>
            <w:tcW w:w="187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Source: Quarterly averages computed by Tredegar using daily closing data provided by Bloomberg.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ind w:left="0" w:right="0" w:firstLine="450"/>
        <w:jc w:val="center"/>
        <w:rPr>
          <w:rFonts w:ascii="Times New Roman;serif" w:hAnsi="Times New Roman;serif"/>
          <w:b/>
          <w:i/>
          <w:color w:val="000000"/>
          <w:sz w:val="20"/>
          <w:u w:val="single"/>
        </w:rPr>
      </w:pPr>
      <w:r>
        <w:rPr>
          <w:rFonts w:ascii="Times New Roman;serif" w:hAnsi="Times New Roman;serif"/>
          <w:b/>
          <w:i/>
          <w:color w:val="000000"/>
          <w:sz w:val="20"/>
          <w:u w:val="single"/>
        </w:rPr>
        <w:t>Evaluation of Disclosure Controls and Procedures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June 30, 2025.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this evaluation of our disclosure controls and procedures as of June 30, 2025, the Company's Chief Executive Officer and Chief Financial Officer concluded that, as of such date, our disclosure controls and procedures were effective. </w:t>
      </w:r>
    </w:p>
    <w:p>
      <w:pPr>
        <w:pStyle w:val="TextBody"/>
        <w:bidi w:val="0"/>
        <w:spacing w:lineRule="auto" w:line="288" w:before="100" w:after="283"/>
        <w:jc w:val="center"/>
        <w:rPr>
          <w:rFonts w:ascii="Times New Roman;serif" w:hAnsi="Times New Roman;serif"/>
          <w:b/>
          <w:i/>
          <w:color w:val="000000"/>
          <w:sz w:val="20"/>
          <w:u w:val="single"/>
        </w:rPr>
      </w:pPr>
      <w:r>
        <w:rPr>
          <w:rFonts w:ascii="Times New Roman;serif" w:hAnsi="Times New Roman;serif"/>
          <w:b/>
          <w:i/>
          <w:color w:val="000000"/>
          <w:sz w:val="20"/>
          <w:u w:val="single"/>
        </w:rPr>
        <w:t>Changes in Internal Control Over Financial Reporting</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quarter ended June 30, 2025, that has materially affected, or is reasonably likely to materially affect, its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disclosed in “Item 1A. Risk Factors” in the 2024 Form 10-K, there are a number of risks and uncertainties that can have a material effect on the operating results of our businesses and our financial condition. There are no material updates or changes to our risk factors previously disclosed in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Director and Officer Trading Arrangements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15"/>
        <w:gridCol w:w="2727"/>
        <w:gridCol w:w="385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No. 5, dated May 6, 2025, to Second Amended and Restated Credit Agreement, dated as of June 29, 2022, by and among Tredegar Corporation, as borrower, certain of Tredegar Corporation’s material domestic subsidiaries, as guarantors, the lenders named therein, JPMorgan Chase Bank, N.A., as administrative agent, and JPMorgan Chase Bank, N.A., Bank of America, N.A., Citizens Bank, N.A., and PNC Capital Markets LLC, as Joint Bookrunners and Joint Lead Arrangers. (filed as Exhibit 10.1 to Tredegar's Current Report on Form 8-K (File No. 1-10258), filed on May 9, 2025, and incorporated herein by reference).</w:t>
              </w:r>
            </w:hyperlink>
            <w:r>
              <w:rPr>
                <w:color w:val="000000"/>
              </w:rPr>
              <w:t xml:space="preserve"> </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11_20250630x10q.htm">
              <w:r>
                <w:rPr>
                  <w:rStyle w:val="InternetLink"/>
                  <w:rFonts w:ascii="Times New Roman;serif" w:hAnsi="Times New Roman;serif"/>
                  <w:b w:val="false"/>
                  <w:color w:val="0000FF"/>
                  <w:sz w:val="20"/>
                  <w:u w:val="single"/>
                </w:rPr>
                <w:t>Certification of President and Chief Executive Officer of Tredegar Corporation, pursuant to Rules 13a-14(a) and 15d-14(a) promulgated under the Securities Exchange Act of 1934, as adopted pursuant to Section 302 of the Sarbanes-Oxley Act of 2002.</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12_20250630x10q.htm">
              <w:r>
                <w:rPr>
                  <w:rStyle w:val="InternetLink"/>
                  <w:rFonts w:ascii="Times New Roman;serif" w:hAnsi="Times New Roman;serif"/>
                  <w:b w:val="false"/>
                  <w:color w:val="0000FF"/>
                  <w:sz w:val="20"/>
                  <w:u w:val="single"/>
                </w:rPr>
                <w:t>Certification of Executive Vice President and Chief Financial Officer of Tredegar Corporation, pursuant to Rules 13a-14(a) and 15d-14(a) promulgated under the Securities Exchange Act of 1934, as adopted pursuant to Section 302 of the Sarbanes-Oxley Act of 2002.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21_20250630x10q.htm">
              <w:r>
                <w:rPr>
                  <w:rStyle w:val="InternetLink"/>
                  <w:rFonts w:ascii="Times New Roman;serif" w:hAnsi="Times New Roman;serif"/>
                  <w:b w:val="false"/>
                  <w:color w:val="0000FF"/>
                  <w:sz w:val="20"/>
                  <w:u w:val="single"/>
                </w:rPr>
                <w:t>Certification of President and Chief Executive Officer of Tredegar Corporation, pursuant to 18 U.S.C. Section 1350, as adopted pursuant to Section 906 of the Sarbanes-Oxley Act of 2002.</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22_20250630x10q.htm">
              <w:r>
                <w:rPr>
                  <w:rStyle w:val="InternetLink"/>
                  <w:rFonts w:ascii="Times New Roman;serif" w:hAnsi="Times New Roman;serif"/>
                  <w:b w:val="false"/>
                  <w:color w:val="0000FF"/>
                  <w:sz w:val="20"/>
                  <w:u w:val="single"/>
                </w:rPr>
                <w:t>Certification of Executive Vice President and Chief Financial Officer of Tredegar Corporation, pursuant to 18 U.S.C. Section 1350, as adopted pursuant to Section 906 of the Sarbanes-Oxley Act of 2002.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and Related Items.</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compensatory plans or arrangements or management contracts.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98"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299"/>
        <w:gridCol w:w="1299"/>
        <w:gridCol w:w="18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 Steitz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Steitz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 Andrew Edwards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Andrew Edwards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Treasurer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John M. Steitz,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Tredegar Corporation;</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8, 2025 </w:t>
      </w:r>
    </w:p>
    <w:tbl>
      <w:tblPr>
        <w:tblW w:w="4206" w:type="dxa"/>
        <w:jc w:val="left"/>
        <w:tblInd w:w="0" w:type="dxa"/>
        <w:tblLayout w:type="fixed"/>
        <w:tblCellMar>
          <w:top w:w="28" w:type="dxa"/>
          <w:left w:w="28" w:type="dxa"/>
          <w:bottom w:w="28" w:type="dxa"/>
          <w:right w:w="28" w:type="dxa"/>
        </w:tblCellMar>
      </w:tblPr>
      <w:tblGrid>
        <w:gridCol w:w="124"/>
        <w:gridCol w:w="109"/>
        <w:gridCol w:w="109"/>
        <w:gridCol w:w="1053"/>
        <w:gridCol w:w="1053"/>
        <w:gridCol w:w="10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D. Andrew Edwards, certify that: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Tredegar Corporation;</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bl>
      <w:tblPr>
        <w:tblW w:w="5435" w:type="dxa"/>
        <w:jc w:val="left"/>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Tredegar Corporation (the “Company”) for the quarter ended June 30, 2025 as filed with the Securities and Exchange Commission on the date hereof (the “Report”), I, John M. Steitz, President and Chief Executive Officer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3879" w:type="dxa"/>
        <w:jc w:val="left"/>
        <w:tblInd w:w="0" w:type="dxa"/>
        <w:tblLayout w:type="fixed"/>
        <w:tblCellMar>
          <w:top w:w="28" w:type="dxa"/>
          <w:left w:w="28" w:type="dxa"/>
          <w:bottom w:w="28" w:type="dxa"/>
          <w:right w:w="28" w:type="dxa"/>
        </w:tblCellMar>
      </w:tblPr>
      <w:tblGrid>
        <w:gridCol w:w="1150"/>
        <w:gridCol w:w="1009"/>
        <w:gridCol w:w="1021"/>
        <w:gridCol w:w="109"/>
        <w:gridCol w:w="109"/>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Tredegar Corporation (the “Company”) for the quarter ended June 30, 2025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5109" w:type="dxa"/>
        <w:jc w:val="left"/>
        <w:tblInd w:w="0" w:type="dxa"/>
        <w:tblLayout w:type="fixed"/>
        <w:tblCellMar>
          <w:top w:w="28" w:type="dxa"/>
          <w:left w:w="28" w:type="dxa"/>
          <w:bottom w:w="28" w:type="dxa"/>
          <w:right w:w="28" w:type="dxa"/>
        </w:tblCellMar>
      </w:tblPr>
      <w:tblGrid>
        <w:gridCol w:w="1599"/>
        <w:gridCol w:w="1402"/>
        <w:gridCol w:w="1409"/>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850429/000119312525116460/d932956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18788</Words>
  <Characters>103409</Characters>
  <CharactersWithSpaces>120709</CharactersWithSpaces>
  <Paragraphs>3013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