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51435</wp:posOffset>
            </wp:positionV>
            <wp:extent cx="2383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87630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680" w:right="20" w:hanging="402"/>
        <w:spacing w:after="0" w:line="237" w:lineRule="auto"/>
        <w:tabs>
          <w:tab w:leader="none" w:pos="680" w:val="left"/>
        </w:tabs>
        <w:numPr>
          <w:ilvl w:val="0"/>
          <w:numId w:val="1"/>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680" w:hanging="443"/>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73"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5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r>
      <w:tr>
        <w:trPr>
          <w:trHeight w:val="304"/>
        </w:trPr>
        <w:tc>
          <w:tcPr>
            <w:tcW w:w="320" w:type="dxa"/>
            <w:vAlign w:val="bottom"/>
          </w:tcPr>
          <w:p>
            <w:pPr>
              <w:spacing w:after="0"/>
              <w:rPr>
                <w:sz w:val="24"/>
                <w:szCs w:val="24"/>
                <w:color w:val="auto"/>
              </w:rPr>
            </w:pPr>
          </w:p>
        </w:tc>
        <w:tc>
          <w:tcPr>
            <w:tcW w:w="3760" w:type="dxa"/>
            <w:vAlign w:val="bottom"/>
            <w:gridSpan w:val="6"/>
          </w:tcPr>
          <w:p>
            <w:pPr>
              <w:ind w:left="600"/>
              <w:spacing w:after="0"/>
              <w:rPr>
                <w:sz w:val="20"/>
                <w:szCs w:val="20"/>
                <w:color w:val="auto"/>
              </w:rPr>
            </w:pPr>
            <w:r>
              <w:rPr>
                <w:rFonts w:ascii="Times New Roman" w:cs="Times New Roman" w:eastAsia="Times New Roman" w:hAnsi="Times New Roman"/>
                <w:sz w:val="18"/>
                <w:szCs w:val="18"/>
                <w:b w:val="1"/>
                <w:bCs w:val="1"/>
                <w:color w:val="auto"/>
              </w:rPr>
              <w:t>Commission file number 1-10258</w:t>
            </w:r>
          </w:p>
        </w:tc>
        <w:tc>
          <w:tcPr>
            <w:tcW w:w="320" w:type="dxa"/>
            <w:vAlign w:val="bottom"/>
          </w:tcPr>
          <w:p>
            <w:pPr>
              <w:spacing w:after="0"/>
              <w:rPr>
                <w:sz w:val="24"/>
                <w:szCs w:val="24"/>
                <w:color w:val="auto"/>
              </w:rPr>
            </w:pPr>
          </w:p>
        </w:tc>
      </w:tr>
      <w:tr>
        <w:trPr>
          <w:trHeight w:val="102"/>
        </w:trPr>
        <w:tc>
          <w:tcPr>
            <w:tcW w:w="320" w:type="dxa"/>
            <w:vAlign w:val="bottom"/>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r>
    </w:tbl>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Tredegar Corporation</w:t>
      </w:r>
    </w:p>
    <w:p>
      <w:pPr>
        <w:spacing w:after="0" w:line="7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55880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ectPr>
          <w:pgSz w:w="11900" w:h="16838" w:orient="portrait"/>
          <w:cols w:equalWidth="0" w:num="1">
            <w:col w:w="11180"/>
          </w:cols>
          <w:pgMar w:left="320" w:top="767" w:right="39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Virginia</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54-1497771</w:t>
      </w:r>
    </w:p>
    <w:p>
      <w:pPr>
        <w:spacing w:after="0" w:line="37" w:lineRule="exact"/>
        <w:rPr>
          <w:sz w:val="24"/>
          <w:szCs w:val="24"/>
          <w:color w:val="auto"/>
        </w:rPr>
      </w:pPr>
    </w:p>
    <w:p>
      <w:pPr>
        <w:sectPr>
          <w:pgSz w:w="11900" w:h="16838" w:orient="portrait"/>
          <w:cols w:equalWidth="0" w:num="2">
            <w:col w:w="7360" w:space="720"/>
            <w:col w:w="3100"/>
          </w:cols>
          <w:pgMar w:left="320" w:top="767" w:right="399" w:bottom="1440" w:gutter="0" w:footer="0" w:header="0"/>
          <w:type w:val="continuous"/>
        </w:sectPr>
      </w:pPr>
    </w:p>
    <w:p>
      <w:pPr>
        <w:ind w:left="18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7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2">
            <w:col w:w="7220" w:space="720"/>
            <w:col w:w="3240"/>
          </w:cols>
          <w:pgMar w:left="320" w:top="767" w:right="399" w:bottom="1440" w:gutter="0" w:footer="0" w:header="0"/>
          <w:type w:val="continuous"/>
        </w:sectPr>
      </w:pPr>
    </w:p>
    <w:p>
      <w:pPr>
        <w:ind w:left="2520"/>
        <w:spacing w:after="0"/>
        <w:rPr>
          <w:sz w:val="20"/>
          <w:szCs w:val="20"/>
          <w:color w:val="auto"/>
        </w:rPr>
      </w:pPr>
      <w:r>
        <w:rPr>
          <w:rFonts w:ascii="Times New Roman" w:cs="Times New Roman" w:eastAsia="Times New Roman" w:hAnsi="Times New Roman"/>
          <w:sz w:val="17"/>
          <w:szCs w:val="17"/>
          <w:b w:val="1"/>
          <w:bCs w:val="1"/>
          <w:color w:val="auto"/>
        </w:rPr>
        <w:t>1100 Boulders Parkway</w:t>
      </w:r>
    </w:p>
    <w:p>
      <w:pPr>
        <w:spacing w:after="0" w:line="43"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Richmond, Virginia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23225</w:t>
      </w:r>
    </w:p>
    <w:p>
      <w:pPr>
        <w:spacing w:after="0" w:line="31" w:lineRule="exact"/>
        <w:rPr>
          <w:sz w:val="24"/>
          <w:szCs w:val="24"/>
          <w:color w:val="auto"/>
        </w:rPr>
      </w:pPr>
    </w:p>
    <w:p>
      <w:pPr>
        <w:sectPr>
          <w:pgSz w:w="11900" w:h="16838" w:orient="portrait"/>
          <w:cols w:equalWidth="0" w:num="2">
            <w:col w:w="8220" w:space="720"/>
            <w:col w:w="2240"/>
          </w:cols>
          <w:pgMar w:left="320" w:top="767" w:right="399" w:bottom="1440" w:gutter="0" w:footer="0" w:header="0"/>
          <w:type w:val="continuous"/>
        </w:sectPr>
      </w:pPr>
    </w:p>
    <w:p>
      <w:pPr>
        <w:ind w:left="22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8120" w:space="720"/>
            <w:col w:w="2340"/>
          </w:cols>
          <w:pgMar w:left="320" w:top="767" w:right="399" w:bottom="1440" w:gutter="0" w:footer="0" w:header="0"/>
          <w:type w:val="continuous"/>
        </w:sectPr>
      </w:pP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(804) 330-1000</w:t>
      </w:r>
    </w:p>
    <w:p>
      <w:pPr>
        <w:spacing w:after="0" w:line="1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 w:lineRule="exact"/>
        <w:rPr>
          <w:sz w:val="24"/>
          <w:szCs w:val="24"/>
          <w:color w:val="auto"/>
        </w:rPr>
      </w:pPr>
    </w:p>
    <w:tbl>
      <w:tblPr>
        <w:tblLayout w:type="fixed"/>
        <w:tblInd w:w="1720" w:type="dxa"/>
        <w:tblCellMar>
          <w:top w:w="0" w:type="dxa"/>
          <w:left w:w="0" w:type="dxa"/>
          <w:bottom w:w="0" w:type="dxa"/>
          <w:right w:w="0" w:type="dxa"/>
        </w:tblCellMar>
      </w:tblPr>
      <w:tr>
        <w:trPr>
          <w:trHeight w:val="207"/>
        </w:trPr>
        <w:tc>
          <w:tcPr>
            <w:tcW w:w="30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Trading</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43"/>
        </w:trPr>
        <w:tc>
          <w:tcPr>
            <w:tcW w:w="30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Symbol(s)</w:t>
            </w: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registered</w:t>
            </w:r>
          </w:p>
        </w:tc>
      </w:tr>
      <w:tr>
        <w:trPr>
          <w:trHeight w:val="223"/>
        </w:trPr>
        <w:tc>
          <w:tcPr>
            <w:tcW w:w="30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TG</w:t>
            </w: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91" w:lineRule="exact"/>
        <w:rPr>
          <w:sz w:val="24"/>
          <w:szCs w:val="24"/>
          <w:color w:val="auto"/>
        </w:rPr>
      </w:pPr>
    </w:p>
    <w:p>
      <w:pPr>
        <w:ind w:right="220" w:firstLine="405"/>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9" w:lineRule="exact"/>
        <w:rPr>
          <w:sz w:val="24"/>
          <w:szCs w:val="24"/>
          <w:color w:val="auto"/>
        </w:rPr>
      </w:pPr>
    </w:p>
    <w:p>
      <w:pPr>
        <w:ind w:firstLine="445"/>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9" w:lineRule="exact"/>
        <w:rPr>
          <w:sz w:val="24"/>
          <w:szCs w:val="24"/>
          <w:color w:val="auto"/>
        </w:rPr>
      </w:pPr>
    </w:p>
    <w:p>
      <w:pPr>
        <w:jc w:val="both"/>
        <w:ind w:right="240" w:firstLine="445"/>
        <w:spacing w:after="0" w:line="26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767" w:right="399" w:bottom="1440" w:gutter="0" w:footer="0" w:header="0"/>
          <w:type w:val="continuous"/>
        </w:sectPr>
      </w:pPr>
    </w:p>
    <w:p>
      <w:pPr>
        <w:spacing w:after="0" w:line="2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123" w:lineRule="exact"/>
        <w:rPr>
          <w:sz w:val="24"/>
          <w:szCs w:val="24"/>
          <w:color w:val="auto"/>
        </w:rPr>
      </w:pPr>
    </w:p>
    <w:p>
      <w:pPr>
        <w:sectPr>
          <w:pgSz w:w="11900" w:h="16838" w:orient="portrait"/>
          <w:cols w:equalWidth="0" w:num="6">
            <w:col w:w="1560" w:space="720"/>
            <w:col w:w="2220" w:space="720"/>
            <w:col w:w="1460" w:space="720"/>
            <w:col w:w="80" w:space="160"/>
            <w:col w:w="2040" w:space="720"/>
            <w:col w:w="780"/>
          </w:cols>
          <w:pgMar w:left="320" w:top="767" w:right="399" w:bottom="1440" w:gutter="0" w:footer="0" w:header="0"/>
          <w:type w:val="continuous"/>
        </w:sectPr>
      </w:pPr>
    </w:p>
    <w:p>
      <w:pPr>
        <w:spacing w:after="0" w:line="2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36" w:lineRule="exact"/>
        <w:rPr>
          <w:sz w:val="24"/>
          <w:szCs w:val="24"/>
          <w:color w:val="auto"/>
        </w:rPr>
      </w:pPr>
    </w:p>
    <w:p>
      <w:pPr>
        <w:sectPr>
          <w:pgSz w:w="11900" w:h="16838" w:orient="portrait"/>
          <w:cols w:equalWidth="0" w:num="4">
            <w:col w:w="1560" w:space="720"/>
            <w:col w:w="4640" w:space="720"/>
            <w:col w:w="2040" w:space="720"/>
            <w:col w:w="780"/>
          </w:cols>
          <w:pgMar w:left="320" w:top="767" w:right="399" w:bottom="1440" w:gutter="0" w:footer="0" w:header="0"/>
          <w:type w:val="continuous"/>
        </w:sectPr>
      </w:pPr>
    </w:p>
    <w:p>
      <w:pPr>
        <w:ind w:right="120" w:firstLine="405"/>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ind w:left="460" w:right="2220"/>
        <w:spacing w:after="0" w:line="29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The number of shares of Common Stock, no par value, outstanding as of July 29, 2022: 33,982,479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437515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7" w:right="39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Tredegar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9"/>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93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FF"/>
              </w:rPr>
              <w:t>Financial Statements</w:t>
            </w: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400" w:type="dxa"/>
            <w:vAlign w:val="bottom"/>
            <w:gridSpan w:val="3"/>
          </w:tcPr>
          <w:p>
            <w:pPr>
              <w:spacing w:after="0"/>
              <w:rPr>
                <w:sz w:val="18"/>
                <w:szCs w:val="18"/>
                <w:color w:val="auto"/>
              </w:rPr>
            </w:pPr>
          </w:p>
        </w:tc>
        <w:tc>
          <w:tcPr>
            <w:tcW w:w="38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5520" w:type="dxa"/>
            <w:vAlign w:val="bottom"/>
            <w:gridSpan w:val="8"/>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(Loss) (unaudited)</w:t>
            </w:r>
          </w:p>
        </w:tc>
        <w:tc>
          <w:tcPr>
            <w:tcW w:w="4540" w:type="dxa"/>
            <w:vAlign w:val="bottom"/>
            <w:gridSpan w:val="5"/>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(Loss) (unaudited)</w:t>
            </w:r>
          </w:p>
        </w:tc>
        <w:tc>
          <w:tcPr>
            <w:tcW w:w="336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w:t>
            </w:r>
          </w:p>
        </w:tc>
        <w:tc>
          <w:tcPr>
            <w:tcW w:w="4740" w:type="dxa"/>
            <w:vAlign w:val="bottom"/>
            <w:gridSpan w:val="6"/>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(unaudited)</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 (unaudited)</w:t>
            </w:r>
          </w:p>
        </w:tc>
        <w:tc>
          <w:tcPr>
            <w:tcW w:w="4100" w:type="dxa"/>
            <w:vAlign w:val="bottom"/>
            <w:gridSpan w:val="3"/>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400" w:type="dxa"/>
            <w:vAlign w:val="bottom"/>
            <w:gridSpan w:val="3"/>
          </w:tcPr>
          <w:p>
            <w:pPr>
              <w:spacing w:after="0"/>
              <w:rPr>
                <w:sz w:val="18"/>
                <w:szCs w:val="18"/>
                <w:color w:val="auto"/>
              </w:rPr>
            </w:pPr>
          </w:p>
        </w:tc>
        <w:tc>
          <w:tcPr>
            <w:tcW w:w="9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2080" w:type="dxa"/>
            <w:vAlign w:val="bottom"/>
            <w:gridSpan w:val="6"/>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4"/>
              </w:rPr>
              <w:t>Item 3</w:t>
            </w:r>
            <w:r>
              <w:rPr>
                <w:rFonts w:ascii="Times New Roman" w:cs="Times New Roman" w:eastAsia="Times New Roman" w:hAnsi="Times New Roman"/>
                <w:sz w:val="18"/>
                <w:szCs w:val="18"/>
                <w:color w:val="000000"/>
                <w:w w:val="94"/>
              </w:rPr>
              <w:t>.</w:t>
            </w:r>
          </w:p>
        </w:tc>
        <w:tc>
          <w:tcPr>
            <w:tcW w:w="400" w:type="dxa"/>
            <w:vAlign w:val="bottom"/>
            <w:gridSpan w:val="3"/>
          </w:tcPr>
          <w:p>
            <w:pPr>
              <w:spacing w:after="0"/>
              <w:rPr>
                <w:sz w:val="18"/>
                <w:szCs w:val="18"/>
                <w:color w:val="auto"/>
              </w:rPr>
            </w:pPr>
          </w:p>
        </w:tc>
        <w:tc>
          <w:tcPr>
            <w:tcW w:w="64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9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400" w:type="dxa"/>
            <w:vAlign w:val="bottom"/>
            <w:gridSpan w:val="3"/>
          </w:tcPr>
          <w:p>
            <w:pPr>
              <w:spacing w:after="0"/>
              <w:rPr>
                <w:sz w:val="18"/>
                <w:szCs w:val="18"/>
                <w:color w:val="auto"/>
              </w:rPr>
            </w:pPr>
          </w:p>
        </w:tc>
        <w:tc>
          <w:tcPr>
            <w:tcW w:w="17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80" w:type="dxa"/>
            <w:vAlign w:val="bottom"/>
            <w:tcBorders>
              <w:top w:val="single" w:sz="8" w:color="0000FF"/>
            </w:tcBorders>
            <w:gridSpan w:val="2"/>
          </w:tcPr>
          <w:p>
            <w:pPr>
              <w:spacing w:after="0"/>
              <w:rPr>
                <w:sz w:val="18"/>
                <w:szCs w:val="18"/>
                <w:color w:val="auto"/>
              </w:rPr>
            </w:pPr>
          </w:p>
        </w:tc>
        <w:tc>
          <w:tcPr>
            <w:tcW w:w="4980" w:type="dxa"/>
            <w:vAlign w:val="bottom"/>
            <w:gridSpan w:val="7"/>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560" w:type="dxa"/>
            <w:vAlign w:val="bottom"/>
            <w:gridSpan w:val="9"/>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5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380" w:type="dxa"/>
            <w:vAlign w:val="bottom"/>
            <w:gridSpan w:val="2"/>
          </w:tcPr>
          <w:p>
            <w:pPr>
              <w:spacing w:after="0"/>
              <w:rPr>
                <w:sz w:val="24"/>
                <w:szCs w:val="24"/>
                <w:color w:val="auto"/>
              </w:rPr>
            </w:pPr>
          </w:p>
        </w:tc>
        <w:tc>
          <w:tcPr>
            <w:tcW w:w="14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7880" w:type="dxa"/>
            <w:vAlign w:val="bottom"/>
            <w:gridSpan w:val="11"/>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1A.</w:t>
            </w:r>
          </w:p>
        </w:tc>
        <w:tc>
          <w:tcPr>
            <w:tcW w:w="9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20" w:type="dxa"/>
            <w:vAlign w:val="bottom"/>
            <w:gridSpan w:val="1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28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Exhibits</w:t>
            </w:r>
          </w:p>
        </w:tc>
        <w:tc>
          <w:tcPr>
            <w:tcW w:w="8420" w:type="dxa"/>
            <w:vAlign w:val="bottom"/>
            <w:gridSpan w:val="12"/>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000"/>
        </w:trPr>
        <w:tc>
          <w:tcPr>
            <w:tcW w:w="2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3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52"/>
        </w:trPr>
        <w:tc>
          <w:tcPr>
            <w:tcW w:w="84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June 30,</w:t>
            </w: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84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30,521</w:t>
            </w:r>
          </w:p>
        </w:tc>
      </w:tr>
      <w:tr>
        <w:trPr>
          <w:trHeight w:val="230"/>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2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127,995</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103,312</w:t>
            </w:r>
          </w:p>
        </w:tc>
      </w:tr>
      <w:tr>
        <w:trPr>
          <w:trHeight w:val="229"/>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recoverable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641</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w:t>
            </w:r>
          </w:p>
        </w:tc>
      </w:tr>
      <w:tr>
        <w:trPr>
          <w:trHeight w:val="229"/>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121,369</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88,569</w:t>
            </w:r>
          </w:p>
        </w:tc>
      </w:tr>
      <w:tr>
        <w:trPr>
          <w:trHeight w:val="230"/>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8,180</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11,275</w:t>
            </w:r>
          </w:p>
        </w:tc>
      </w:tr>
      <w:tr>
        <w:trPr>
          <w:trHeight w:val="229"/>
        </w:trPr>
        <w:tc>
          <w:tcPr>
            <w:tcW w:w="84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Current assets of discontinued operations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23"/>
        </w:trPr>
        <w:tc>
          <w:tcPr>
            <w:tcW w:w="8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285,798</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236,413</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2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510,596</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498,311</w:t>
            </w:r>
          </w:p>
        </w:tc>
      </w:tr>
      <w:tr>
        <w:trPr>
          <w:trHeight w:val="229"/>
        </w:trPr>
        <w:tc>
          <w:tcPr>
            <w:tcW w:w="8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(336,821)</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(327,930)</w:t>
            </w:r>
          </w:p>
        </w:tc>
      </w:tr>
      <w:tr>
        <w:trPr>
          <w:trHeight w:val="223"/>
        </w:trPr>
        <w:tc>
          <w:tcPr>
            <w:tcW w:w="8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2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173,775</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170,381</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leased assets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13,111</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13,847</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 net</w:t>
            </w:r>
          </w:p>
        </w:tc>
        <w:tc>
          <w:tcPr>
            <w:tcW w:w="2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12,879</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14,152</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70,608</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70,608</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12,220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15,723</w:t>
            </w:r>
          </w:p>
        </w:tc>
      </w:tr>
      <w:tr>
        <w:trPr>
          <w:trHeight w:val="230"/>
        </w:trPr>
        <w:tc>
          <w:tcPr>
            <w:tcW w:w="8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3,423</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r>
      <w:tr>
        <w:trPr>
          <w:trHeight w:val="230"/>
        </w:trPr>
        <w:tc>
          <w:tcPr>
            <w:tcW w:w="84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571,814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523,584</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174,646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123,760</w:t>
            </w:r>
          </w:p>
        </w:tc>
      </w:tr>
      <w:tr>
        <w:trPr>
          <w:trHeight w:val="230"/>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32,680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33,104</w:t>
            </w:r>
          </w:p>
        </w:tc>
      </w:tr>
      <w:tr>
        <w:trPr>
          <w:trHeight w:val="229"/>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liability, short-term</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2,205</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r>
      <w:tr>
        <w:trPr>
          <w:trHeight w:val="230"/>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1,362</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9,333</w:t>
            </w:r>
          </w:p>
        </w:tc>
      </w:tr>
      <w:tr>
        <w:trPr>
          <w:trHeight w:val="230"/>
        </w:trPr>
        <w:tc>
          <w:tcPr>
            <w:tcW w:w="84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3"/>
        </w:trPr>
        <w:tc>
          <w:tcPr>
            <w:tcW w:w="8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210,964</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168,548</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 long-term</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11,954</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12,831</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101,500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73,000</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benefit obligations, net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28,415</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78,265</w:t>
            </w:r>
          </w:p>
        </w:tc>
      </w:tr>
      <w:tr>
        <w:trPr>
          <w:trHeight w:val="230"/>
        </w:trPr>
        <w:tc>
          <w:tcPr>
            <w:tcW w:w="8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7,196</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6,218</w:t>
            </w:r>
          </w:p>
        </w:tc>
      </w:tr>
      <w:tr>
        <w:trPr>
          <w:trHeight w:val="223"/>
        </w:trPr>
        <w:tc>
          <w:tcPr>
            <w:tcW w:w="8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360,029</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338,862</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75"/>
        </w:trPr>
        <w:tc>
          <w:tcPr>
            <w:tcW w:w="844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 no par value (issued and outstanding 33,965,478 shares at June 30, 2022 and 33,736,629 shares</w:t>
            </w: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at December 31, 2021)</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56,911</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55,174</w:t>
            </w:r>
          </w:p>
        </w:tc>
      </w:tr>
      <w:tr>
        <w:trPr>
          <w:trHeight w:val="175"/>
        </w:trPr>
        <w:tc>
          <w:tcPr>
            <w:tcW w:w="844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 held in trust for savings restoration plan (110,564 shares at June 30, 2022 and 108,433 shares at</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2021)</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r>
      <w:tr>
        <w:trPr>
          <w:trHeight w:val="229"/>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(85,486)</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(85,792)</w:t>
            </w:r>
          </w:p>
        </w:tc>
      </w:tr>
      <w:tr>
        <w:trPr>
          <w:trHeight w:val="230"/>
        </w:trPr>
        <w:tc>
          <w:tcPr>
            <w:tcW w:w="8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Gain (loss) on derivative financial instruments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29"/>
        </w:trPr>
        <w:tc>
          <w:tcPr>
            <w:tcW w:w="8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Pension and other postretirement benefit adjustments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(59,519)</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(64,613)</w:t>
            </w:r>
          </w:p>
        </w:tc>
      </w:tr>
      <w:tr>
        <w:trPr>
          <w:trHeight w:val="230"/>
        </w:trPr>
        <w:tc>
          <w:tcPr>
            <w:tcW w:w="84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304,370</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281,187</w:t>
            </w:r>
          </w:p>
        </w:tc>
      </w:tr>
      <w:tr>
        <w:trPr>
          <w:trHeight w:val="223"/>
        </w:trPr>
        <w:tc>
          <w:tcPr>
            <w:tcW w:w="84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211,785</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184,722</w:t>
            </w:r>
          </w:p>
        </w:tc>
      </w:tr>
      <w:tr>
        <w:trPr>
          <w:trHeight w:val="230"/>
        </w:trPr>
        <w:tc>
          <w:tcPr>
            <w:tcW w:w="844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571,814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523,584</w:t>
            </w:r>
          </w:p>
        </w:tc>
      </w:tr>
    </w:tbl>
    <w:p>
      <w:pPr>
        <w:spacing w:after="0" w:line="1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ectPr>
          <w:pgSz w:w="11900" w:h="16838" w:orient="portrait"/>
          <w:cols w:equalWidth="0" w:num="1">
            <w:col w:w="11140"/>
          </w:cols>
          <w:pgMar w:left="320" w:top="603" w:right="439" w:bottom="1440" w:gutter="0" w:footer="0" w:header="0"/>
        </w:sectPr>
      </w:pP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03" w:right="4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2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720" w:type="dxa"/>
            <w:vAlign w:val="bottom"/>
            <w:tcBorders>
              <w:top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400" w:type="dxa"/>
            <w:vAlign w:val="bottom"/>
            <w:tcBorders>
              <w:top w:val="single" w:sz="8" w:color="auto"/>
            </w:tcBorders>
          </w:tcPr>
          <w:p>
            <w:pPr>
              <w:spacing w:after="0"/>
              <w:rPr>
                <w:sz w:val="21"/>
                <w:szCs w:val="21"/>
                <w:color w:val="auto"/>
              </w:rPr>
            </w:pPr>
          </w:p>
        </w:tc>
        <w:tc>
          <w:tcPr>
            <w:tcW w:w="2660" w:type="dxa"/>
            <w:vAlign w:val="bottom"/>
            <w:tcBorders>
              <w:top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4"/>
        </w:trPr>
        <w:tc>
          <w:tcPr>
            <w:tcW w:w="5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and other items: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274,363</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211,129</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510,929</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395,951</w:t>
            </w:r>
          </w:p>
        </w:tc>
      </w:tr>
      <w:tr>
        <w:trPr>
          <w:trHeight w:val="229"/>
        </w:trPr>
        <w:tc>
          <w:tcPr>
            <w:tcW w:w="52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1,261</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8,122</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994</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8,882</w:t>
            </w:r>
          </w:p>
        </w:tc>
      </w:tr>
      <w:tr>
        <w:trPr>
          <w:trHeight w:val="223"/>
        </w:trPr>
        <w:tc>
          <w:tcPr>
            <w:tcW w:w="5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275,624</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219,251</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511,923</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404,833</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218,088</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158,692</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401,348</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299,977</w:t>
            </w: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Freight</w:t>
            </w:r>
          </w:p>
        </w:tc>
        <w:tc>
          <w:tcPr>
            <w:tcW w:w="26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11,036</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7,044</w:t>
            </w:r>
          </w:p>
        </w:tc>
        <w:tc>
          <w:tcPr>
            <w:tcW w:w="4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19,118</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13,267</w:t>
            </w: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18,862</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20,275</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40,143</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38,659</w:t>
            </w: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1,754</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4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3,278</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w:t>
            </w: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identifiable intangibles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666</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1,329</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26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3,506</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4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6,982</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7,080</w:t>
            </w: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1,234</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2,020</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r>
      <w:tr>
        <w:trPr>
          <w:trHeight w:val="184"/>
        </w:trPr>
        <w:tc>
          <w:tcPr>
            <w:tcW w:w="520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Asset impairments and costs associated with exit and disposal</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4"/>
        </w:trPr>
        <w:tc>
          <w:tcPr>
            <w:tcW w:w="52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activities, net of adjustments</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23"/>
        </w:trPr>
        <w:tc>
          <w:tcPr>
            <w:tcW w:w="52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255,280</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192,800</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474,344</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365,667</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26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20,344</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26,451</w:t>
            </w:r>
          </w:p>
        </w:tc>
        <w:tc>
          <w:tcPr>
            <w:tcW w:w="4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37,579</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39,166</w:t>
            </w:r>
          </w:p>
        </w:tc>
      </w:tr>
      <w:tr>
        <w:trPr>
          <w:trHeight w:val="229"/>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5,556</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6,334</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8,820</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6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14,788</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20,728</w:t>
            </w:r>
          </w:p>
        </w:tc>
        <w:tc>
          <w:tcPr>
            <w:tcW w:w="4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31,245</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30,346</w:t>
            </w:r>
          </w:p>
        </w:tc>
      </w:tr>
      <w:tr>
        <w:trPr>
          <w:trHeight w:val="230"/>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14,869</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21,236</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31,292</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30,267</w:t>
            </w:r>
          </w:p>
        </w:tc>
      </w:tr>
      <w:tr>
        <w:trPr>
          <w:trHeight w:val="256"/>
        </w:trPr>
        <w:tc>
          <w:tcPr>
            <w:tcW w:w="5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Continuing operations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0.44</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0.93</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r>
      <w:tr>
        <w:trPr>
          <w:trHeight w:val="230"/>
        </w:trPr>
        <w:tc>
          <w:tcPr>
            <w:tcW w:w="5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0.44</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0.93</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Continuing operations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0.44</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0.93</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r>
      <w:tr>
        <w:trPr>
          <w:trHeight w:val="230"/>
        </w:trPr>
        <w:tc>
          <w:tcPr>
            <w:tcW w:w="5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0.44</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0.93</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Shares used to compute earnings (loss) per share: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33,814</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33,594</w:t>
            </w:r>
          </w:p>
        </w:tc>
        <w:tc>
          <w:tcPr>
            <w:tcW w:w="4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33,734</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33,500</w:t>
            </w: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33,854</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33,740</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33,776</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33,692</w:t>
            </w: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000" w:type="dxa"/>
            <w:vAlign w:val="bottom"/>
            <w:tcBorders>
              <w:top w:val="single" w:sz="8" w:color="auto"/>
            </w:tcBorders>
          </w:tcPr>
          <w:p>
            <w:pPr>
              <w:spacing w:after="0"/>
              <w:rPr>
                <w:sz w:val="21"/>
                <w:szCs w:val="21"/>
                <w:color w:val="auto"/>
              </w:rPr>
            </w:pPr>
          </w:p>
        </w:tc>
        <w:tc>
          <w:tcPr>
            <w:tcW w:w="224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w w:val="99"/>
              </w:rPr>
              <w:t>Three Months Ended June 30,</w:t>
            </w:r>
          </w:p>
        </w:tc>
      </w:tr>
      <w:tr>
        <w:trPr>
          <w:trHeight w:val="234"/>
        </w:trPr>
        <w:tc>
          <w:tcPr>
            <w:tcW w:w="9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14,869</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21,236</w:t>
            </w:r>
          </w:p>
        </w:tc>
      </w:tr>
      <w:tr>
        <w:trPr>
          <w:trHeight w:val="229"/>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76"/>
        </w:trPr>
        <w:tc>
          <w:tcPr>
            <w:tcW w:w="90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w w:val="99"/>
              </w:rPr>
              <w:t>Unrealized foreign currency translation adjustment (net of tax benefit of $482 in 2022 and net of tax expense of $463 in</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r>
      <w:tr>
        <w:trPr>
          <w:trHeight w:val="176"/>
        </w:trPr>
        <w:tc>
          <w:tcPr>
            <w:tcW w:w="90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Derivative financial instruments adjustment (net of tax benefit of $3,359 in 2022 and net of tax expense of $547 in</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(9,161)</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r>
      <w:tr>
        <w:trPr>
          <w:trHeight w:val="176"/>
        </w:trPr>
        <w:tc>
          <w:tcPr>
            <w:tcW w:w="90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w w:val="99"/>
              </w:rPr>
              <w:t>Amortization of prior service costs and net gains or losses (net of tax expense of $712 in 2022 and net of tax expense of</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90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$922 in 2021)</w:t>
            </w: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2,556</w:t>
            </w:r>
          </w:p>
        </w:tc>
        <w:tc>
          <w:tcPr>
            <w:tcW w:w="2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w:t>
            </w:r>
          </w:p>
        </w:tc>
      </w:tr>
      <w:tr>
        <w:trPr>
          <w:trHeight w:val="223"/>
        </w:trPr>
        <w:tc>
          <w:tcPr>
            <w:tcW w:w="90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(11,835)</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8,779</w:t>
            </w:r>
          </w:p>
        </w:tc>
      </w:tr>
      <w:tr>
        <w:trPr>
          <w:trHeight w:val="230"/>
        </w:trPr>
        <w:tc>
          <w:tcPr>
            <w:tcW w:w="9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3,034</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30,015</w:t>
            </w:r>
          </w:p>
        </w:tc>
      </w:tr>
      <w:tr>
        <w:trPr>
          <w:trHeight w:val="372"/>
        </w:trPr>
        <w:tc>
          <w:tcPr>
            <w:tcW w:w="9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spacing w:after="0"/>
              <w:rPr>
                <w:sz w:val="24"/>
                <w:szCs w:val="24"/>
                <w:color w:val="auto"/>
              </w:rPr>
            </w:pPr>
          </w:p>
        </w:tc>
      </w:tr>
      <w:tr>
        <w:trPr>
          <w:trHeight w:val="225"/>
        </w:trPr>
        <w:tc>
          <w:tcPr>
            <w:tcW w:w="9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w w:val="98"/>
              </w:rPr>
              <w:t>Six Months Ended June 30,</w:t>
            </w:r>
          </w:p>
        </w:tc>
      </w:tr>
      <w:tr>
        <w:trPr>
          <w:trHeight w:val="234"/>
        </w:trPr>
        <w:tc>
          <w:tcPr>
            <w:tcW w:w="9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31,292</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30,267</w:t>
            </w:r>
          </w:p>
        </w:tc>
      </w:tr>
      <w:tr>
        <w:trPr>
          <w:trHeight w:val="229"/>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76"/>
        </w:trPr>
        <w:tc>
          <w:tcPr>
            <w:tcW w:w="90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Unrealized foreign currency translation adjustment (net of tax expense of $246 in 2022 and net of tax expense of $191</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 2021)</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r>
      <w:tr>
        <w:trPr>
          <w:trHeight w:val="229"/>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financial instruments adjustment (net of tax benefit of $443 in 2022 and net of tax expense of $359 in 2021)</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r>
      <w:tr>
        <w:trPr>
          <w:trHeight w:val="175"/>
        </w:trPr>
        <w:tc>
          <w:tcPr>
            <w:tcW w:w="90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Amortization of prior service costs and net gains or losses (net of tax expense of $1,424 in 2022 and net of tax expense</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90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 $1,846 in 2021)</w:t>
            </w: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5,094</w:t>
            </w:r>
          </w:p>
        </w:tc>
        <w:tc>
          <w:tcPr>
            <w:tcW w:w="2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w:t>
            </w:r>
          </w:p>
        </w:tc>
      </w:tr>
      <w:tr>
        <w:trPr>
          <w:trHeight w:val="223"/>
        </w:trPr>
        <w:tc>
          <w:tcPr>
            <w:tcW w:w="90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2,169</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9,214</w:t>
            </w:r>
          </w:p>
        </w:tc>
      </w:tr>
      <w:tr>
        <w:trPr>
          <w:trHeight w:val="230"/>
        </w:trPr>
        <w:tc>
          <w:tcPr>
            <w:tcW w:w="9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33,461</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39,481</w:t>
            </w: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08088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0885" cy="17145"/>
                    </a:xfrm>
                    <a:prstGeom prst="rect">
                      <a:avLst/>
                    </a:prstGeom>
                    <a:noFill/>
                  </pic:spPr>
                </pic:pic>
              </a:graphicData>
            </a:graphic>
          </wp:anchor>
        </w:drawing>
      </w:r>
    </w:p>
    <w:p>
      <w:pPr>
        <w:spacing w:after="0" w:line="27" w:lineRule="exact"/>
        <w:rPr>
          <w:sz w:val="20"/>
          <w:szCs w:val="20"/>
          <w:color w:val="auto"/>
        </w:rPr>
      </w:pPr>
    </w:p>
    <w:p>
      <w:pPr>
        <w:jc w:val="center"/>
        <w:ind w:left="9220"/>
        <w:spacing w:after="0"/>
        <w:rPr>
          <w:sz w:val="20"/>
          <w:szCs w:val="20"/>
          <w:color w:val="auto"/>
        </w:rPr>
      </w:pPr>
      <w:r>
        <w:rPr>
          <w:rFonts w:ascii="Times New Roman" w:cs="Times New Roman" w:eastAsia="Times New Roman" w:hAnsi="Times New Roman"/>
          <w:sz w:val="18"/>
          <w:szCs w:val="18"/>
          <w:color w:val="auto"/>
        </w:rPr>
        <w:t>Six Months Ended June</w:t>
      </w:r>
    </w:p>
    <w:p>
      <w:pPr>
        <w:jc w:val="center"/>
        <w:ind w:left="9220"/>
        <w:spacing w:after="0"/>
        <w:rPr>
          <w:sz w:val="20"/>
          <w:szCs w:val="20"/>
          <w:color w:val="auto"/>
        </w:rPr>
      </w:pPr>
      <w:r>
        <w:rPr>
          <w:rFonts w:ascii="Times New Roman" w:cs="Times New Roman" w:eastAsia="Times New Roman" w:hAnsi="Times New Roman"/>
          <w:sz w:val="18"/>
          <w:szCs w:val="18"/>
          <w:color w:val="auto"/>
        </w:rPr>
        <w:t>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31,292</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30,267</w:t>
            </w:r>
          </w:p>
        </w:tc>
      </w:tr>
      <w:tr>
        <w:trPr>
          <w:trHeight w:val="229"/>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for noncash items:</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w:t>
            </w:r>
          </w:p>
        </w:tc>
        <w:tc>
          <w:tcPr>
            <w:tcW w:w="26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11,536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w:t>
            </w:r>
          </w:p>
        </w:tc>
      </w:tr>
      <w:tr>
        <w:trPr>
          <w:trHeight w:val="229"/>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identifiable intangibles</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1,329</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r>
      <w:tr>
        <w:trPr>
          <w:trHeight w:val="229"/>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Reduction of right-of-use lease asset</w:t>
            </w:r>
          </w:p>
        </w:tc>
        <w:tc>
          <w:tcPr>
            <w:tcW w:w="26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1,072</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r>
      <w:tr>
        <w:trPr>
          <w:trHeight w:val="230"/>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2,516</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w:t>
            </w:r>
          </w:p>
        </w:tc>
      </w:tr>
      <w:tr>
        <w:trPr>
          <w:trHeight w:val="229"/>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pension and post-retirement benefits</w:t>
            </w:r>
          </w:p>
        </w:tc>
        <w:tc>
          <w:tcPr>
            <w:tcW w:w="26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7,013</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7,080</w:t>
            </w:r>
          </w:p>
        </w:tc>
      </w:tr>
      <w:tr>
        <w:trPr>
          <w:trHeight w:val="229"/>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1,842</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r>
      <w:tr>
        <w:trPr>
          <w:trHeight w:val="230"/>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investment in kaléo</w:t>
            </w:r>
          </w:p>
        </w:tc>
        <w:tc>
          <w:tcPr>
            <w:tcW w:w="2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2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(24,172)</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(12,840)</w:t>
            </w:r>
          </w:p>
        </w:tc>
      </w:tr>
      <w:tr>
        <w:trPr>
          <w:trHeight w:val="229"/>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(31,495)</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(14,020)</w:t>
            </w:r>
          </w:p>
        </w:tc>
      </w:tr>
      <w:tr>
        <w:trPr>
          <w:trHeight w:val="229"/>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taxes recoverable/payable</w:t>
            </w:r>
          </w:p>
        </w:tc>
        <w:tc>
          <w:tcPr>
            <w:tcW w:w="2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w:t>
            </w:r>
          </w:p>
        </w:tc>
      </w:tr>
      <w:tr>
        <w:trPr>
          <w:trHeight w:val="230"/>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w:t>
            </w:r>
          </w:p>
        </w:tc>
      </w:tr>
      <w:tr>
        <w:trPr>
          <w:trHeight w:val="229"/>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47,388</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8,040</w:t>
            </w:r>
          </w:p>
        </w:tc>
      </w:tr>
      <w:tr>
        <w:trPr>
          <w:trHeight w:val="229"/>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Lease liability</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r>
      <w:tr>
        <w:trPr>
          <w:trHeight w:val="230"/>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and postretirement benefit plan contributions</w:t>
            </w:r>
          </w:p>
        </w:tc>
        <w:tc>
          <w:tcPr>
            <w:tcW w:w="2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(50,314)</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w:t>
            </w:r>
          </w:p>
        </w:tc>
      </w:tr>
      <w:tr>
        <w:trPr>
          <w:trHeight w:val="229"/>
        </w:trPr>
        <w:tc>
          <w:tcPr>
            <w:tcW w:w="67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26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1,781</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23"/>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(9,429)</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41,507</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2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(13,514)</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(11,324)</w:t>
            </w:r>
          </w:p>
        </w:tc>
      </w:tr>
      <w:tr>
        <w:trPr>
          <w:trHeight w:val="230"/>
        </w:trPr>
        <w:tc>
          <w:tcPr>
            <w:tcW w:w="67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sale of kaléo</w:t>
            </w:r>
          </w:p>
        </w:tc>
        <w:tc>
          <w:tcPr>
            <w:tcW w:w="26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1,406</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(12,108)</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(11,324)</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Borrowings</w:t>
            </w:r>
          </w:p>
        </w:tc>
        <w:tc>
          <w:tcPr>
            <w:tcW w:w="26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221,250</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34,000</w:t>
            </w:r>
          </w:p>
        </w:tc>
      </w:tr>
      <w:tr>
        <w:trPr>
          <w:trHeight w:val="229"/>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principal payments</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(192,750)</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(51,000)</w:t>
            </w:r>
          </w:p>
        </w:tc>
      </w:tr>
      <w:tr>
        <w:trPr>
          <w:trHeight w:val="230"/>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2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(8,135)</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(8,070)</w:t>
            </w:r>
          </w:p>
        </w:tc>
      </w:tr>
      <w:tr>
        <w:trPr>
          <w:trHeight w:val="230"/>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financing costs</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223"/>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18,724</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(24,155)</w:t>
            </w:r>
          </w:p>
        </w:tc>
      </w:tr>
      <w:tr>
        <w:trPr>
          <w:trHeight w:val="230"/>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2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 in cash &amp; cash equivalents</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w:t>
            </w:r>
          </w:p>
        </w:tc>
      </w:tr>
      <w:tr>
        <w:trPr>
          <w:trHeight w:val="229"/>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2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30,521</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11,846</w:t>
            </w:r>
          </w:p>
        </w:tc>
      </w:tr>
      <w:tr>
        <w:trPr>
          <w:trHeight w:val="230"/>
        </w:trPr>
        <w:tc>
          <w:tcPr>
            <w:tcW w:w="6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27,462</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18,298</w:t>
            </w: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887"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summarizes the changes in shareholders’ equity for the three month period ended June 30, 2022:</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90"/>
              <w:spacing w:after="0" w:line="202" w:lineRule="exact"/>
              <w:rPr>
                <w:sz w:val="20"/>
                <w:szCs w:val="20"/>
                <w:color w:val="auto"/>
              </w:rPr>
            </w:pPr>
            <w:r>
              <w:rPr>
                <w:rFonts w:ascii="Times New Roman" w:cs="Times New Roman" w:eastAsia="Times New Roman" w:hAnsi="Times New Roman"/>
                <w:sz w:val="18"/>
                <w:szCs w:val="18"/>
                <w:color w:val="auto"/>
                <w:w w:val="97"/>
              </w:rPr>
              <w:t>Trust for</w:t>
            </w:r>
          </w:p>
        </w:tc>
        <w:tc>
          <w:tcPr>
            <w:tcW w:w="15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Accumulated Other</w:t>
            </w: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rPr>
              <w:t>Savings</w:t>
            </w:r>
          </w:p>
        </w:tc>
        <w:tc>
          <w:tcPr>
            <w:tcW w:w="15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Common</w:t>
            </w:r>
          </w:p>
        </w:tc>
        <w:tc>
          <w:tcPr>
            <w:tcW w:w="220" w:type="dxa"/>
            <w:vAlign w:val="bottom"/>
          </w:tcPr>
          <w:p>
            <w:pPr>
              <w:spacing w:after="0"/>
              <w:rPr>
                <w:sz w:val="16"/>
                <w:szCs w:val="16"/>
                <w:color w:val="auto"/>
              </w:rPr>
            </w:pPr>
          </w:p>
        </w:tc>
        <w:tc>
          <w:tcPr>
            <w:tcW w:w="94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Retained</w:t>
            </w:r>
          </w:p>
        </w:tc>
        <w:tc>
          <w:tcPr>
            <w:tcW w:w="180" w:type="dxa"/>
            <w:vAlign w:val="bottom"/>
          </w:tcPr>
          <w:p>
            <w:pPr>
              <w:spacing w:after="0"/>
              <w:rPr>
                <w:sz w:val="16"/>
                <w:szCs w:val="16"/>
                <w:color w:val="auto"/>
              </w:rPr>
            </w:pPr>
          </w:p>
        </w:tc>
        <w:tc>
          <w:tcPr>
            <w:tcW w:w="104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color w:val="auto"/>
                <w:w w:val="98"/>
              </w:rPr>
              <w:t>Restoration</w:t>
            </w:r>
          </w:p>
        </w:tc>
        <w:tc>
          <w:tcPr>
            <w:tcW w:w="200" w:type="dxa"/>
            <w:vAlign w:val="bottom"/>
          </w:tcPr>
          <w:p>
            <w:pPr>
              <w:spacing w:after="0"/>
              <w:rPr>
                <w:sz w:val="16"/>
                <w:szCs w:val="16"/>
                <w:color w:val="auto"/>
              </w:rPr>
            </w:pPr>
          </w:p>
        </w:tc>
        <w:tc>
          <w:tcPr>
            <w:tcW w:w="136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Comprehensive</w:t>
            </w:r>
          </w:p>
        </w:tc>
        <w:tc>
          <w:tcPr>
            <w:tcW w:w="220" w:type="dxa"/>
            <w:vAlign w:val="bottom"/>
          </w:tcPr>
          <w:p>
            <w:pPr>
              <w:spacing w:after="0"/>
              <w:rPr>
                <w:sz w:val="16"/>
                <w:szCs w:val="16"/>
                <w:color w:val="auto"/>
              </w:rPr>
            </w:pPr>
          </w:p>
        </w:tc>
        <w:tc>
          <w:tcPr>
            <w:tcW w:w="122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99"/>
              </w:rPr>
              <w:t>Shareholders’</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Stock</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Earnings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Plan</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Income (Loss)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April 1, 2022</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55,953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293,563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211,868</w:t>
            </w: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14,869</w:t>
            </w:r>
          </w:p>
        </w:tc>
        <w:tc>
          <w:tcPr>
            <w:tcW w:w="1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14,869</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(9,161)</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(9,161)</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and net gains or losses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2,556</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($0.12 per share)</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1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958</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176"/>
        </w:trPr>
        <w:tc>
          <w:tcPr>
            <w:tcW w:w="4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Tredegar common stock purchased by trust for savings</w:t>
            </w: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restoration plan</w:t>
            </w: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2022</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56,911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304,370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(147,335)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211,785</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summarizes the changes in shareholders’ equity for the six month period ended June 30, 2022:</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90"/>
              <w:spacing w:after="0" w:line="202" w:lineRule="exact"/>
              <w:rPr>
                <w:sz w:val="20"/>
                <w:szCs w:val="20"/>
                <w:color w:val="auto"/>
              </w:rPr>
            </w:pPr>
            <w:r>
              <w:rPr>
                <w:rFonts w:ascii="Times New Roman" w:cs="Times New Roman" w:eastAsia="Times New Roman" w:hAnsi="Times New Roman"/>
                <w:sz w:val="18"/>
                <w:szCs w:val="18"/>
                <w:color w:val="auto"/>
                <w:w w:val="97"/>
              </w:rPr>
              <w:t>Trust for</w:t>
            </w:r>
          </w:p>
        </w:tc>
        <w:tc>
          <w:tcPr>
            <w:tcW w:w="15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Accumulated Other</w:t>
            </w: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Common</w:t>
            </w:r>
          </w:p>
        </w:tc>
        <w:tc>
          <w:tcPr>
            <w:tcW w:w="200" w:type="dxa"/>
            <w:vAlign w:val="bottom"/>
          </w:tcPr>
          <w:p>
            <w:pPr>
              <w:spacing w:after="0"/>
              <w:rPr>
                <w:sz w:val="15"/>
                <w:szCs w:val="15"/>
                <w:color w:val="auto"/>
              </w:rPr>
            </w:pPr>
          </w:p>
        </w:tc>
        <w:tc>
          <w:tcPr>
            <w:tcW w:w="9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Retained</w:t>
            </w:r>
          </w:p>
        </w:tc>
        <w:tc>
          <w:tcPr>
            <w:tcW w:w="18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rPr>
              <w:t>Savings</w:t>
            </w:r>
          </w:p>
        </w:tc>
        <w:tc>
          <w:tcPr>
            <w:tcW w:w="15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8"/>
              </w:rPr>
              <w:t>Restoration</w:t>
            </w:r>
          </w:p>
        </w:tc>
        <w:tc>
          <w:tcPr>
            <w:tcW w:w="200" w:type="dxa"/>
            <w:vAlign w:val="bottom"/>
          </w:tcPr>
          <w:p>
            <w:pPr>
              <w:spacing w:after="0"/>
              <w:rPr>
                <w:sz w:val="15"/>
                <w:szCs w:val="15"/>
                <w:color w:val="auto"/>
              </w:rPr>
            </w:pPr>
          </w:p>
        </w:tc>
        <w:tc>
          <w:tcPr>
            <w:tcW w:w="1360" w:type="dxa"/>
            <w:vAlign w:val="bottom"/>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Comprehensive</w:t>
            </w:r>
          </w:p>
        </w:tc>
        <w:tc>
          <w:tcPr>
            <w:tcW w:w="220" w:type="dxa"/>
            <w:vAlign w:val="bottom"/>
          </w:tcPr>
          <w:p>
            <w:pPr>
              <w:spacing w:after="0"/>
              <w:rPr>
                <w:sz w:val="15"/>
                <w:szCs w:val="15"/>
                <w:color w:val="auto"/>
              </w:rPr>
            </w:pPr>
          </w:p>
        </w:tc>
        <w:tc>
          <w:tcPr>
            <w:tcW w:w="122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Shareholders’</w:t>
            </w:r>
          </w:p>
        </w:tc>
        <w:tc>
          <w:tcPr>
            <w:tcW w:w="0" w:type="dxa"/>
            <w:vAlign w:val="bottom"/>
          </w:tcPr>
          <w:p>
            <w:pPr>
              <w:spacing w:after="0"/>
              <w:rPr>
                <w:sz w:val="1"/>
                <w:szCs w:val="1"/>
                <w:color w:val="auto"/>
              </w:rPr>
            </w:pPr>
          </w:p>
        </w:tc>
      </w:tr>
      <w:tr>
        <w:trPr>
          <w:trHeight w:val="243"/>
        </w:trPr>
        <w:tc>
          <w:tcPr>
            <w:tcW w:w="45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Stock</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Earnings</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Plan</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Income (Loss)</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 2022</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55,174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281,187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184,722</w:t>
            </w: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31,292</w:t>
            </w:r>
          </w:p>
        </w:tc>
        <w:tc>
          <w:tcPr>
            <w:tcW w:w="1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31,292</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4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and net gains or losses</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5,094</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($0.24 per share)</w:t>
            </w:r>
          </w:p>
        </w:tc>
        <w:tc>
          <w:tcPr>
            <w:tcW w:w="4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(8,135)</w:t>
            </w:r>
          </w:p>
        </w:tc>
        <w:tc>
          <w:tcPr>
            <w:tcW w:w="1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(8,135)</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2,133</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0" w:type="dxa"/>
            <w:vAlign w:val="bottom"/>
          </w:tcPr>
          <w:p>
            <w:pPr>
              <w:spacing w:after="0"/>
              <w:rPr>
                <w:sz w:val="1"/>
                <w:szCs w:val="1"/>
                <w:color w:val="auto"/>
              </w:rPr>
            </w:pPr>
          </w:p>
        </w:tc>
      </w:tr>
      <w:tr>
        <w:trPr>
          <w:trHeight w:val="175"/>
        </w:trPr>
        <w:tc>
          <w:tcPr>
            <w:tcW w:w="4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employee common stock for tax</w:t>
            </w: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withholdings</w:t>
            </w: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0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175"/>
        </w:trPr>
        <w:tc>
          <w:tcPr>
            <w:tcW w:w="4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Tredegar common stock purchased by trust for savings</w:t>
            </w: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restoration plan</w:t>
            </w:r>
          </w:p>
        </w:tc>
        <w:tc>
          <w:tcPr>
            <w:tcW w:w="4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June 30, 2022</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56,911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304,370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(147,335)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ind w:left="420"/>
        <w:spacing w:after="0"/>
        <w:rPr>
          <w:sz w:val="20"/>
          <w:szCs w:val="20"/>
          <w:color w:val="auto"/>
        </w:rPr>
      </w:pPr>
      <w:r>
        <w:rPr>
          <w:rFonts w:ascii="Times New Roman" w:cs="Times New Roman" w:eastAsia="Times New Roman" w:hAnsi="Times New Roman"/>
          <w:sz w:val="18"/>
          <w:szCs w:val="18"/>
          <w:color w:val="auto"/>
        </w:rPr>
        <w:t>The following summarizes the changes in shareholders’ equity for the three month period ended June 30, 2021: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90"/>
              <w:spacing w:after="0" w:line="202" w:lineRule="exact"/>
              <w:rPr>
                <w:sz w:val="20"/>
                <w:szCs w:val="20"/>
                <w:color w:val="auto"/>
              </w:rPr>
            </w:pPr>
            <w:r>
              <w:rPr>
                <w:rFonts w:ascii="Times New Roman" w:cs="Times New Roman" w:eastAsia="Times New Roman" w:hAnsi="Times New Roman"/>
                <w:sz w:val="18"/>
                <w:szCs w:val="18"/>
                <w:color w:val="auto"/>
                <w:w w:val="97"/>
              </w:rPr>
              <w:t>Trust for</w:t>
            </w:r>
          </w:p>
        </w:tc>
        <w:tc>
          <w:tcPr>
            <w:tcW w:w="158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Accumulated Other</w:t>
            </w: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rPr>
              <w:t>Savings</w:t>
            </w:r>
          </w:p>
        </w:tc>
        <w:tc>
          <w:tcPr>
            <w:tcW w:w="15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Common</w:t>
            </w:r>
          </w:p>
        </w:tc>
        <w:tc>
          <w:tcPr>
            <w:tcW w:w="220" w:type="dxa"/>
            <w:vAlign w:val="bottom"/>
          </w:tcPr>
          <w:p>
            <w:pPr>
              <w:spacing w:after="0"/>
              <w:rPr>
                <w:sz w:val="16"/>
                <w:szCs w:val="16"/>
                <w:color w:val="auto"/>
              </w:rPr>
            </w:pPr>
          </w:p>
        </w:tc>
        <w:tc>
          <w:tcPr>
            <w:tcW w:w="90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Retained</w:t>
            </w:r>
          </w:p>
        </w:tc>
        <w:tc>
          <w:tcPr>
            <w:tcW w:w="200" w:type="dxa"/>
            <w:vAlign w:val="bottom"/>
          </w:tcPr>
          <w:p>
            <w:pPr>
              <w:spacing w:after="0"/>
              <w:rPr>
                <w:sz w:val="16"/>
                <w:szCs w:val="16"/>
                <w:color w:val="auto"/>
              </w:rPr>
            </w:pPr>
          </w:p>
        </w:tc>
        <w:tc>
          <w:tcPr>
            <w:tcW w:w="104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color w:val="auto"/>
                <w:w w:val="98"/>
              </w:rPr>
              <w:t>Restoration</w:t>
            </w:r>
          </w:p>
        </w:tc>
        <w:tc>
          <w:tcPr>
            <w:tcW w:w="200" w:type="dxa"/>
            <w:vAlign w:val="bottom"/>
          </w:tcPr>
          <w:p>
            <w:pPr>
              <w:spacing w:after="0"/>
              <w:rPr>
                <w:sz w:val="16"/>
                <w:szCs w:val="16"/>
                <w:color w:val="auto"/>
              </w:rPr>
            </w:pPr>
          </w:p>
        </w:tc>
        <w:tc>
          <w:tcPr>
            <w:tcW w:w="138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Comprehensive</w:t>
            </w:r>
          </w:p>
        </w:tc>
        <w:tc>
          <w:tcPr>
            <w:tcW w:w="200" w:type="dxa"/>
            <w:vAlign w:val="bottom"/>
          </w:tcPr>
          <w:p>
            <w:pPr>
              <w:spacing w:after="0"/>
              <w:rPr>
                <w:sz w:val="16"/>
                <w:szCs w:val="16"/>
                <w:color w:val="auto"/>
              </w:rPr>
            </w:pPr>
          </w:p>
        </w:tc>
        <w:tc>
          <w:tcPr>
            <w:tcW w:w="12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9"/>
              </w:rPr>
              <w:t>Shareholders’</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Stock</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Earnings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Plan</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Income (Loss)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1, 2021</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51,557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244,496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(177,969)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115,987</w:t>
            </w: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21,236</w:t>
            </w:r>
          </w:p>
        </w:tc>
        <w:tc>
          <w:tcPr>
            <w:tcW w:w="2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21,236</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3,993</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1,468</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and net gains or losses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3,318</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($0.12 per share)</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2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1,383</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176"/>
        </w:trPr>
        <w:tc>
          <w:tcPr>
            <w:tcW w:w="4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Tredegar common stock purchased by trust for savings</w:t>
            </w: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restoration plan</w:t>
            </w: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2021</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52,940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261,699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(169,190)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143,340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summarizes the changes in shareholders’ equity for the six month period ended June 30, 2021: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90"/>
              <w:spacing w:after="0" w:line="202" w:lineRule="exact"/>
              <w:rPr>
                <w:sz w:val="20"/>
                <w:szCs w:val="20"/>
                <w:color w:val="auto"/>
              </w:rPr>
            </w:pPr>
            <w:r>
              <w:rPr>
                <w:rFonts w:ascii="Times New Roman" w:cs="Times New Roman" w:eastAsia="Times New Roman" w:hAnsi="Times New Roman"/>
                <w:sz w:val="18"/>
                <w:szCs w:val="18"/>
                <w:color w:val="auto"/>
                <w:w w:val="97"/>
              </w:rPr>
              <w:t>Trust for</w:t>
            </w:r>
          </w:p>
        </w:tc>
        <w:tc>
          <w:tcPr>
            <w:tcW w:w="158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Accumulated Other</w:t>
            </w: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Common</w:t>
            </w:r>
          </w:p>
        </w:tc>
        <w:tc>
          <w:tcPr>
            <w:tcW w:w="220" w:type="dxa"/>
            <w:vAlign w:val="bottom"/>
          </w:tcPr>
          <w:p>
            <w:pPr>
              <w:spacing w:after="0"/>
              <w:rPr>
                <w:sz w:val="15"/>
                <w:szCs w:val="15"/>
                <w:color w:val="auto"/>
              </w:rPr>
            </w:pPr>
          </w:p>
        </w:tc>
        <w:tc>
          <w:tcPr>
            <w:tcW w:w="9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Retained</w:t>
            </w:r>
          </w:p>
        </w:tc>
        <w:tc>
          <w:tcPr>
            <w:tcW w:w="20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rPr>
              <w:t>Savings</w:t>
            </w:r>
          </w:p>
        </w:tc>
        <w:tc>
          <w:tcPr>
            <w:tcW w:w="15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8"/>
              </w:rPr>
              <w:t>Restoration</w:t>
            </w:r>
          </w:p>
        </w:tc>
        <w:tc>
          <w:tcPr>
            <w:tcW w:w="200" w:type="dxa"/>
            <w:vAlign w:val="bottom"/>
          </w:tcPr>
          <w:p>
            <w:pPr>
              <w:spacing w:after="0"/>
              <w:rPr>
                <w:sz w:val="15"/>
                <w:szCs w:val="15"/>
                <w:color w:val="auto"/>
              </w:rPr>
            </w:pPr>
          </w:p>
        </w:tc>
        <w:tc>
          <w:tcPr>
            <w:tcW w:w="1380" w:type="dxa"/>
            <w:vAlign w:val="bottom"/>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Comprehensive</w:t>
            </w:r>
          </w:p>
        </w:tc>
        <w:tc>
          <w:tcPr>
            <w:tcW w:w="200" w:type="dxa"/>
            <w:vAlign w:val="bottom"/>
          </w:tcPr>
          <w:p>
            <w:pPr>
              <w:spacing w:after="0"/>
              <w:rPr>
                <w:sz w:val="15"/>
                <w:szCs w:val="15"/>
                <w:color w:val="auto"/>
              </w:rPr>
            </w:pPr>
          </w:p>
        </w:tc>
        <w:tc>
          <w:tcPr>
            <w:tcW w:w="12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Shareholders’</w:t>
            </w:r>
          </w:p>
        </w:tc>
        <w:tc>
          <w:tcPr>
            <w:tcW w:w="0" w:type="dxa"/>
            <w:vAlign w:val="bottom"/>
          </w:tcPr>
          <w:p>
            <w:pPr>
              <w:spacing w:after="0"/>
              <w:rPr>
                <w:sz w:val="1"/>
                <w:szCs w:val="1"/>
                <w:color w:val="auto"/>
              </w:rPr>
            </w:pPr>
          </w:p>
        </w:tc>
      </w:tr>
      <w:tr>
        <w:trPr>
          <w:trHeight w:val="243"/>
        </w:trPr>
        <w:tc>
          <w:tcPr>
            <w:tcW w:w="45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Stock</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Earnings</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Plan</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Income (Loss)</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50,066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239,480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(178,404)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109,055</w:t>
            </w: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30,267</w:t>
            </w:r>
          </w:p>
        </w:tc>
        <w:tc>
          <w:tcPr>
            <w:tcW w:w="2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30,267</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1,345</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1,232</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and net gains or losses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6,637</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($0.24 per share)</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(8,070)</w:t>
            </w:r>
          </w:p>
        </w:tc>
        <w:tc>
          <w:tcPr>
            <w:tcW w:w="2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(8,070)</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1,959</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upon exercise of stock options</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915</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175"/>
        </w:trPr>
        <w:tc>
          <w:tcPr>
            <w:tcW w:w="4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Tredegar common stock purchased by trust for savings</w:t>
            </w: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restoration plan</w:t>
            </w: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June 30, 2021</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52,940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261,699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(169,190)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143,340</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08"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In the opinion of management, the accompanying condensed consolidated financial statements of Tredegar Corporation and its subsidiaries (“Tredegar,” “the Company,” “we,” “us” or “our”) contain all adjustments necessary to state fairly, in all material respects, Tredegar’s condensed consolidated financial position as of June 30, 2022, the condensed consolidated results of operations for the three and six months ended June 30, 2022 and 2021, the condensed consolidated cash flows for the six months ended June 30, 2022 and 2021, and the condensed consolidated changes in shareholders’ equity for the six months ended June 30, 2022 and 2021, in accordance with U.S. generally accepted accounting principles (“GAAP”). All such adjustments, unless otherwise detailed in the notes to the condensed consolidated financial statements, are deemed to be of a normal, recurring nature.</w:t>
      </w:r>
    </w:p>
    <w:p>
      <w:pPr>
        <w:spacing w:after="0" w:line="52"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 Company operates on a calendar fiscal year except for the Aluminum Extrusions segment, which operates on a 52/53-week fiscal year basis. As such, the fiscal second quarter for 2022 and 2021 for this segment references 13-week periods ended June 26, 2022 and June 27, 2021. The Company does not believe the impact of reporting the results of this segment as stated above is material to the consolidated financial results. The Company may fund or receive cash from the Aluminum Extrusions segment based on Aluminum Extrusion’s cash flows from operations during the intervening period from Aluminum Extrusion’s fiscal quarter end and the Company’s fiscal quarter end. There was no intercompany funding with Aluminum Extrusions between June 26, 2022 and June 30, 2022.</w:t>
      </w:r>
    </w:p>
    <w:p>
      <w:pPr>
        <w:spacing w:after="0" w:line="66"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financial position data as of December 31, 2021 that is included herein was derived from the audited consolidated financial statements provided in the Company’s Annual Report on Form 10-K for the year ended December 31, 2021 (“2021 Form 10-K”) but does not include all disclosures required by GAAP. These financial statements should be read in conjunction with the consolidated financial statements and related notes included in the 2021 Form 10-K.</w:t>
      </w:r>
    </w:p>
    <w:p>
      <w:pPr>
        <w:spacing w:after="0" w:line="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results of operations for the three and six months ended June 30, 2022, are not necessarily indicative of the results to be expected for the full year.</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Adopted</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In March 2020, the FASB issued ASU 2020-04, which provides optional expedients and exceptions for applying GAAP to contracts, hedging relationships and other transactions affected by the discontinuation of the London Interbank Offered Rate or by another reference rate expected to be discontinued because of reference rate reform. The guidance was effective beginning March 12, 2020 and can be applied prospectively through December 31, 2022. In January 2021, the FASB issued ASU 2021-01, which clarified the scope and application of the original guidance. In the second quarter of 2022, the Company adopted ASU 2020-04, which did not have a material impact on the Company’s consolidated financial statements.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ACCOUNTS AND OTHER RECEIVABLES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June 30, 2022 and December 31, 2021, accounts receivable and other receivables, net include the following:</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780" w:type="dxa"/>
            <w:vAlign w:val="bottom"/>
            <w:tcBorders>
              <w:top w:val="single" w:sz="8" w:color="auto"/>
            </w:tcBorders>
          </w:tcPr>
          <w:p>
            <w:pPr>
              <w:spacing w:after="0"/>
              <w:rPr>
                <w:sz w:val="21"/>
                <w:szCs w:val="21"/>
                <w:color w:val="auto"/>
              </w:rPr>
            </w:pPr>
          </w:p>
        </w:tc>
        <w:tc>
          <w:tcPr>
            <w:tcW w:w="27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June 30,</w:t>
            </w: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7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receivables</w:t>
            </w:r>
          </w:p>
        </w:tc>
        <w:tc>
          <w:tcPr>
            <w:tcW w:w="2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126,441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102,090</w:t>
            </w:r>
          </w:p>
        </w:tc>
      </w:tr>
      <w:tr>
        <w:trPr>
          <w:trHeight w:val="230"/>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7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3,583</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w:t>
            </w:r>
          </w:p>
        </w:tc>
      </w:tr>
      <w:tr>
        <w:trPr>
          <w:trHeight w:val="223"/>
        </w:trPr>
        <w:tc>
          <w:tcPr>
            <w:tcW w:w="5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accounts and other receivables</w:t>
            </w:r>
          </w:p>
        </w:tc>
        <w:tc>
          <w:tcPr>
            <w:tcW w:w="2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130,024</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105,048</w:t>
            </w:r>
          </w:p>
        </w:tc>
      </w:tr>
      <w:tr>
        <w:trPr>
          <w:trHeight w:val="230"/>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bad debts</w:t>
            </w:r>
          </w:p>
        </w:tc>
        <w:tc>
          <w:tcPr>
            <w:tcW w:w="27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w:t>
            </w:r>
          </w:p>
        </w:tc>
      </w:tr>
      <w:tr>
        <w:trPr>
          <w:trHeight w:val="230"/>
        </w:trPr>
        <w:tc>
          <w:tcPr>
            <w:tcW w:w="57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accounts and other receivables, net</w:t>
            </w:r>
          </w:p>
        </w:tc>
        <w:tc>
          <w:tcPr>
            <w:tcW w:w="27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127,995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inventories are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700" w:type="dxa"/>
            <w:vAlign w:val="bottom"/>
            <w:tcBorders>
              <w:top w:val="single" w:sz="8" w:color="auto"/>
              <w:bottom w:val="single" w:sz="8" w:color="auto"/>
            </w:tcBorders>
          </w:tcPr>
          <w:p>
            <w:pPr>
              <w:spacing w:after="0"/>
              <w:rPr>
                <w:sz w:val="22"/>
                <w:szCs w:val="22"/>
                <w:color w:val="auto"/>
              </w:rPr>
            </w:pPr>
          </w:p>
        </w:tc>
        <w:tc>
          <w:tcPr>
            <w:tcW w:w="19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June 30, 2022</w:t>
            </w:r>
          </w:p>
        </w:tc>
        <w:tc>
          <w:tcPr>
            <w:tcW w:w="340" w:type="dxa"/>
            <w:vAlign w:val="bottom"/>
            <w:tcBorders>
              <w:top w:val="single" w:sz="8" w:color="auto"/>
              <w:bottom w:val="single" w:sz="8" w:color="auto"/>
            </w:tcBorders>
          </w:tcPr>
          <w:p>
            <w:pPr>
              <w:spacing w:after="0"/>
              <w:rPr>
                <w:sz w:val="22"/>
                <w:szCs w:val="22"/>
                <w:color w:val="auto"/>
              </w:rPr>
            </w:pPr>
          </w:p>
        </w:tc>
        <w:tc>
          <w:tcPr>
            <w:tcW w:w="2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7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30,486</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25,199</w:t>
            </w: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700" w:type="dxa"/>
            <w:vAlign w:val="bottom"/>
          </w:tcPr>
          <w:p>
            <w:pPr>
              <w:spacing w:after="0"/>
              <w:rPr>
                <w:sz w:val="19"/>
                <w:szCs w:val="19"/>
                <w:color w:val="auto"/>
              </w:rPr>
            </w:pP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16,284</w:t>
            </w:r>
          </w:p>
        </w:tc>
        <w:tc>
          <w:tcPr>
            <w:tcW w:w="3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11,955</w:t>
            </w: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70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54,294</w:t>
            </w:r>
          </w:p>
        </w:tc>
        <w:tc>
          <w:tcPr>
            <w:tcW w:w="3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32,958</w:t>
            </w:r>
          </w:p>
        </w:tc>
      </w:tr>
      <w:tr>
        <w:trPr>
          <w:trHeight w:val="230"/>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Stores, supplies and other</w:t>
            </w:r>
          </w:p>
        </w:tc>
        <w:tc>
          <w:tcPr>
            <w:tcW w:w="27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20,305</w:t>
            </w:r>
          </w:p>
        </w:tc>
        <w:tc>
          <w:tcPr>
            <w:tcW w:w="3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18,457</w:t>
            </w:r>
          </w:p>
        </w:tc>
      </w:tr>
      <w:tr>
        <w:trPr>
          <w:trHeight w:val="230"/>
        </w:trPr>
        <w:tc>
          <w:tcPr>
            <w:tcW w:w="42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7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121,369</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88,569</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PENSION AND OTHER POSTRETIREMENT BENEFITS</w:t>
      </w:r>
    </w:p>
    <w:p>
      <w:pPr>
        <w:spacing w:after="0" w:line="94"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Tredegar sponsors a noncontributory defined benefit (pension) plan covering certain current and former U.S. employees. As of January 31, 2018, the plan no longer accrued benefits associated with crediting employees for service, thereby freezing all future benefits under the plan. On February 10, 2022, Tredegar announced the initiation of a process to terminate and settle its frozen defined benefit pension plan, which could take up to 24 months to complete. In connection therewith, on February 9, 2022, the Company contributed $50 million to the pension plan (the “Special Contribution”). The Company estimates that, with the Special Contribution, there will be no required minimum contributions to the pension plan until final settlement.</w:t>
      </w:r>
    </w:p>
    <w:p>
      <w:pPr>
        <w:spacing w:after="0" w:line="62"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Tredegar also has a non-qualified supplemental pension plan covering certain employees. Effective December 31, 2005, further participation in this plan was terminated and benefit accruals for existing participants were frozen. Pension expense recognized for this plan was immaterial in the second quarter of 2022 and 2021, respectively. This information has been included in the pension benefit table below.</w:t>
      </w:r>
    </w:p>
    <w:p>
      <w:pPr>
        <w:spacing w:after="0" w:line="54" w:lineRule="exact"/>
        <w:rPr>
          <w:sz w:val="20"/>
          <w:szCs w:val="20"/>
          <w:color w:val="auto"/>
        </w:rPr>
      </w:pPr>
    </w:p>
    <w:p>
      <w:pPr>
        <w:ind w:right="580" w:firstLine="405"/>
        <w:spacing w:after="0" w:line="276" w:lineRule="auto"/>
        <w:rPr>
          <w:sz w:val="20"/>
          <w:szCs w:val="20"/>
          <w:color w:val="auto"/>
        </w:rPr>
      </w:pPr>
      <w:r>
        <w:rPr>
          <w:rFonts w:ascii="Times New Roman" w:cs="Times New Roman" w:eastAsia="Times New Roman" w:hAnsi="Times New Roman"/>
          <w:sz w:val="18"/>
          <w:szCs w:val="18"/>
          <w:color w:val="auto"/>
        </w:rPr>
        <w:t>The components of net periodic benefit cost for the pension and other postretirement benefit programs reflected in the condensed consolidated statements of income for the three and six months ended June 30, 2022 and 2021, are shown below:</w:t>
      </w:r>
    </w:p>
    <w:tbl>
      <w:tblPr>
        <w:tblLayout w:type="fixed"/>
        <w:tblInd w:w="0" w:type="dxa"/>
        <w:tblCellMar>
          <w:top w:w="0" w:type="dxa"/>
          <w:left w:w="0" w:type="dxa"/>
          <w:bottom w:w="0" w:type="dxa"/>
          <w:right w:w="0" w:type="dxa"/>
        </w:tblCellMar>
      </w:tblPr>
      <w:tr>
        <w:trPr>
          <w:trHeight w:val="184"/>
        </w:trPr>
        <w:tc>
          <w:tcPr>
            <w:tcW w:w="67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100" w:type="dxa"/>
            <w:vAlign w:val="bottom"/>
            <w:tcBorders>
              <w:top w:val="single" w:sz="8" w:color="auto"/>
            </w:tcBorders>
            <w:gridSpan w:val="3"/>
          </w:tcPr>
          <w:p>
            <w:pPr>
              <w:jc w:val="center"/>
              <w:ind w:right="30"/>
              <w:spacing w:after="0" w:line="184" w:lineRule="exact"/>
              <w:rPr>
                <w:sz w:val="20"/>
                <w:szCs w:val="20"/>
                <w:color w:val="auto"/>
              </w:rPr>
            </w:pPr>
            <w:r>
              <w:rPr>
                <w:rFonts w:ascii="Times New Roman" w:cs="Times New Roman" w:eastAsia="Times New Roman" w:hAnsi="Times New Roman"/>
                <w:sz w:val="18"/>
                <w:szCs w:val="18"/>
                <w:color w:val="auto"/>
                <w:w w:val="99"/>
              </w:rPr>
              <w:t>Other Post-Retirement</w:t>
            </w:r>
          </w:p>
        </w:tc>
      </w:tr>
      <w:tr>
        <w:trPr>
          <w:trHeight w:val="243"/>
        </w:trPr>
        <w:tc>
          <w:tcPr>
            <w:tcW w:w="6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Pension Benefits</w:t>
            </w:r>
          </w:p>
        </w:tc>
        <w:tc>
          <w:tcPr>
            <w:tcW w:w="120" w:type="dxa"/>
            <w:vAlign w:val="bottom"/>
          </w:tcPr>
          <w:p>
            <w:pPr>
              <w:spacing w:after="0"/>
              <w:rPr>
                <w:sz w:val="21"/>
                <w:szCs w:val="21"/>
                <w:color w:val="auto"/>
              </w:rPr>
            </w:pPr>
          </w:p>
        </w:tc>
        <w:tc>
          <w:tcPr>
            <w:tcW w:w="134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Benefits</w:t>
            </w:r>
          </w:p>
        </w:tc>
        <w:tc>
          <w:tcPr>
            <w:tcW w:w="760" w:type="dxa"/>
            <w:vAlign w:val="bottom"/>
          </w:tcPr>
          <w:p>
            <w:pPr>
              <w:spacing w:after="0"/>
              <w:rPr>
                <w:sz w:val="21"/>
                <w:szCs w:val="21"/>
                <w:color w:val="auto"/>
              </w:rPr>
            </w:pPr>
          </w:p>
        </w:tc>
      </w:tr>
      <w:tr>
        <w:trPr>
          <w:trHeight w:val="223"/>
        </w:trPr>
        <w:tc>
          <w:tcPr>
            <w:tcW w:w="6700" w:type="dxa"/>
            <w:vAlign w:val="bottom"/>
          </w:tcPr>
          <w:p>
            <w:pPr>
              <w:spacing w:after="0"/>
              <w:rPr>
                <w:sz w:val="19"/>
                <w:szCs w:val="19"/>
                <w:color w:val="auto"/>
              </w:rPr>
            </w:pPr>
          </w:p>
        </w:tc>
        <w:tc>
          <w:tcPr>
            <w:tcW w:w="2220" w:type="dxa"/>
            <w:vAlign w:val="bottom"/>
            <w:tcBorders>
              <w:top w:val="single" w:sz="8" w:color="auto"/>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00" w:type="dxa"/>
            <w:vAlign w:val="bottom"/>
          </w:tcPr>
          <w:p>
            <w:pPr>
              <w:spacing w:after="0"/>
              <w:rPr>
                <w:sz w:val="19"/>
                <w:szCs w:val="19"/>
                <w:color w:val="auto"/>
              </w:rPr>
            </w:pPr>
          </w:p>
        </w:tc>
        <w:tc>
          <w:tcPr>
            <w:tcW w:w="2220" w:type="dxa"/>
            <w:vAlign w:val="bottom"/>
            <w:tcBorders>
              <w:top w:val="single" w:sz="8" w:color="auto"/>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w w:val="99"/>
              </w:rPr>
              <w:t>Three Months Ended June 30,</w:t>
            </w:r>
          </w:p>
        </w:tc>
      </w:tr>
      <w:tr>
        <w:trPr>
          <w:trHeight w:val="223"/>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2,225</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(2,043)</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(gains) losses and net transition asset</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3,302</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6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3,484</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0"/>
        </w:trPr>
        <w:tc>
          <w:tcPr>
            <w:tcW w:w="6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0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color w:val="auto"/>
                <w:w w:val="99"/>
              </w:rPr>
              <w:t>Other Post-Retirement</w:t>
            </w:r>
          </w:p>
        </w:tc>
      </w:tr>
      <w:tr>
        <w:trPr>
          <w:trHeight w:val="243"/>
        </w:trPr>
        <w:tc>
          <w:tcPr>
            <w:tcW w:w="6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Pension Benefits</w:t>
            </w:r>
          </w:p>
        </w:tc>
        <w:tc>
          <w:tcPr>
            <w:tcW w:w="120" w:type="dxa"/>
            <w:vAlign w:val="bottom"/>
          </w:tcPr>
          <w:p>
            <w:pPr>
              <w:spacing w:after="0"/>
              <w:rPr>
                <w:sz w:val="21"/>
                <w:szCs w:val="21"/>
                <w:color w:val="auto"/>
              </w:rPr>
            </w:pPr>
          </w:p>
        </w:tc>
        <w:tc>
          <w:tcPr>
            <w:tcW w:w="134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Benefits</w:t>
            </w:r>
          </w:p>
        </w:tc>
        <w:tc>
          <w:tcPr>
            <w:tcW w:w="760" w:type="dxa"/>
            <w:vAlign w:val="bottom"/>
          </w:tcPr>
          <w:p>
            <w:pPr>
              <w:spacing w:after="0"/>
              <w:rPr>
                <w:sz w:val="21"/>
                <w:szCs w:val="21"/>
                <w:color w:val="auto"/>
              </w:rPr>
            </w:pPr>
          </w:p>
        </w:tc>
      </w:tr>
      <w:tr>
        <w:trPr>
          <w:trHeight w:val="223"/>
        </w:trPr>
        <w:tc>
          <w:tcPr>
            <w:tcW w:w="67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100" w:type="dxa"/>
            <w:vAlign w:val="bottom"/>
            <w:tcBorders>
              <w:top w:val="single" w:sz="8" w:color="auto"/>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w w:val="98"/>
              </w:rPr>
              <w:t>Six Months Ended June 30,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100" w:type="dxa"/>
            <w:vAlign w:val="bottom"/>
            <w:tcBorders>
              <w:top w:val="single" w:sz="8" w:color="auto"/>
              <w:bottom w:val="single" w:sz="8" w:color="auto"/>
            </w:tcBorders>
            <w:gridSpan w:val="3"/>
          </w:tcPr>
          <w:p>
            <w:pPr>
              <w:jc w:val="center"/>
              <w:ind w:right="30"/>
              <w:spacing w:after="0"/>
              <w:rPr>
                <w:sz w:val="20"/>
                <w:szCs w:val="20"/>
                <w:color w:val="auto"/>
              </w:rPr>
            </w:pPr>
            <w:r>
              <w:rPr>
                <w:rFonts w:ascii="Times New Roman" w:cs="Times New Roman" w:eastAsia="Times New Roman" w:hAnsi="Times New Roman"/>
                <w:sz w:val="18"/>
                <w:szCs w:val="18"/>
                <w:color w:val="auto"/>
                <w:w w:val="99"/>
              </w:rPr>
              <w:t>Six Months Ended June 30,</w:t>
            </w:r>
          </w:p>
        </w:tc>
      </w:tr>
      <w:tr>
        <w:trPr>
          <w:trHeight w:val="223"/>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4,450</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 w:type="dxa"/>
            <w:vAlign w:val="bottom"/>
          </w:tcPr>
          <w:p>
            <w:pPr>
              <w:spacing w:after="0"/>
              <w:rPr>
                <w:sz w:val="19"/>
                <w:szCs w:val="19"/>
                <w:color w:val="auto"/>
              </w:rPr>
            </w:pPr>
          </w:p>
        </w:tc>
        <w:tc>
          <w:tcPr>
            <w:tcW w:w="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(4,098)</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(gains) losses and net transition asset</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6,586</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6,938</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bl>
    <w:p>
      <w:pPr>
        <w:spacing w:after="0" w:line="157"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Pension and other postretirement liabilities were $29.1 million and $78.9 million at June 30, 2022 and December 31, 2021, respectively ($0.7 million included in “Accrued expenses” at June 30, 2022 and December 31, 2021, respectively, with the remainder included in “Pension and other postretirement benefit obligations, net” in the condensed consolidated balance sheets).</w:t>
      </w:r>
    </w:p>
    <w:p>
      <w:pPr>
        <w:spacing w:after="0" w:line="54"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Tredegar funds its other postretirement benefits on a claims-made basis; for 2022, the Company anticipates the amount will be consistent with amounts paid for the year ended December 31, 2021, or approximately $0.5 million.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5. OTHER INCOME (EXPENSE), NET</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income (expense), net consists of the following:</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02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2760" w:type="dxa"/>
            <w:vAlign w:val="bottom"/>
            <w:tcBorders>
              <w:top w:val="single" w:sz="8" w:color="auto"/>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60" w:type="dxa"/>
            <w:vAlign w:val="bottom"/>
            <w:tcBorders>
              <w:top w:val="single" w:sz="8" w:color="auto"/>
              <w:bottom w:val="single" w:sz="8" w:color="auto"/>
            </w:tcBorders>
          </w:tcPr>
          <w:p>
            <w:pPr>
              <w:spacing w:after="0"/>
              <w:rPr>
                <w:sz w:val="22"/>
                <w:szCs w:val="22"/>
                <w:color w:val="auto"/>
              </w:rPr>
            </w:pPr>
          </w:p>
        </w:tc>
        <w:tc>
          <w:tcPr>
            <w:tcW w:w="2660" w:type="dxa"/>
            <w:vAlign w:val="bottom"/>
            <w:tcBorders>
              <w:top w:val="single" w:sz="8" w:color="auto"/>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Six Months Ended June 30,</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Gain on investment in kaléo</w:t>
            </w:r>
            <w:r>
              <w:rPr>
                <w:rFonts w:ascii="Times New Roman" w:cs="Times New Roman" w:eastAsia="Times New Roman" w:hAnsi="Times New Roman"/>
                <w:sz w:val="23"/>
                <w:szCs w:val="23"/>
                <w:color w:val="auto"/>
                <w:vertAlign w:val="superscript"/>
              </w:rPr>
              <w:t>(a)</w:t>
            </w:r>
          </w:p>
        </w:tc>
        <w:tc>
          <w:tcPr>
            <w:tcW w:w="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1,406</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1,406</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184"/>
        </w:trPr>
        <w:tc>
          <w:tcPr>
            <w:tcW w:w="50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One-time tax credit in Brazil for unemployment/social security</w:t>
            </w: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0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insurance non-income taxes resulting from a favorable decision by</w:t>
            </w:r>
          </w:p>
        </w:tc>
        <w:tc>
          <w:tcPr>
            <w:tcW w:w="440" w:type="dxa"/>
            <w:vAlign w:val="bottom"/>
          </w:tcPr>
          <w:p>
            <w:pPr>
              <w:spacing w:after="0"/>
              <w:rPr>
                <w:sz w:val="15"/>
                <w:szCs w:val="15"/>
                <w:color w:val="auto"/>
              </w:rPr>
            </w:pPr>
          </w:p>
        </w:tc>
        <w:tc>
          <w:tcPr>
            <w:tcW w:w="1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5"/>
                <w:szCs w:val="15"/>
                <w:color w:val="auto"/>
              </w:rPr>
            </w:pPr>
          </w:p>
        </w:tc>
        <w:tc>
          <w:tcPr>
            <w:tcW w:w="11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8,486</w:t>
            </w:r>
          </w:p>
        </w:tc>
        <w:tc>
          <w:tcPr>
            <w:tcW w:w="360" w:type="dxa"/>
            <w:vAlign w:val="bottom"/>
          </w:tcPr>
          <w:p>
            <w:pPr>
              <w:spacing w:after="0"/>
              <w:rPr>
                <w:sz w:val="15"/>
                <w:szCs w:val="15"/>
                <w:color w:val="auto"/>
              </w:rPr>
            </w:pPr>
          </w:p>
        </w:tc>
        <w:tc>
          <w:tcPr>
            <w:tcW w:w="11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8,486</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Brazil's Supreme Court regarding the calculation of such tax</w:t>
            </w:r>
          </w:p>
        </w:tc>
        <w:tc>
          <w:tcPr>
            <w:tcW w:w="4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0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Transition service fees, net of corporate costs associated with the</w:t>
            </w:r>
          </w:p>
        </w:tc>
        <w:tc>
          <w:tcPr>
            <w:tcW w:w="4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divested Personal Care business</w:t>
            </w:r>
          </w:p>
        </w:tc>
        <w:tc>
          <w:tcPr>
            <w:tcW w:w="4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COVID-19-related expenses, net of relief </w:t>
            </w:r>
            <w:r>
              <w:rPr>
                <w:rFonts w:ascii="Times New Roman" w:cs="Times New Roman" w:eastAsia="Times New Roman" w:hAnsi="Times New Roman"/>
                <w:sz w:val="23"/>
                <w:szCs w:val="23"/>
                <w:color w:val="auto"/>
                <w:vertAlign w:val="superscript"/>
              </w:rPr>
              <w:t>(b)</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181"/>
        </w:trPr>
        <w:tc>
          <w:tcPr>
            <w:tcW w:w="50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Write-down of investment in Harbinger Capital Partners Special</w:t>
            </w:r>
          </w:p>
        </w:tc>
        <w:tc>
          <w:tcPr>
            <w:tcW w:w="4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2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Situations Fund</w:t>
            </w:r>
            <w:r>
              <w:rPr>
                <w:rFonts w:ascii="Times New Roman" w:cs="Times New Roman" w:eastAsia="Times New Roman" w:hAnsi="Times New Roman"/>
                <w:sz w:val="23"/>
                <w:szCs w:val="23"/>
                <w:color w:val="auto"/>
                <w:vertAlign w:val="superscript"/>
              </w:rPr>
              <w:t>(c)</w:t>
            </w:r>
          </w:p>
        </w:tc>
        <w:tc>
          <w:tcPr>
            <w:tcW w:w="4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1,261</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8,122</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994</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8,882</w:t>
            </w:r>
          </w:p>
        </w:tc>
        <w:tc>
          <w:tcPr>
            <w:tcW w:w="0" w:type="dxa"/>
            <w:vAlign w:val="bottom"/>
          </w:tcPr>
          <w:p>
            <w:pPr>
              <w:spacing w:after="0"/>
              <w:rPr>
                <w:sz w:val="1"/>
                <w:szCs w:val="1"/>
                <w:color w:val="auto"/>
              </w:rPr>
            </w:pPr>
          </w:p>
        </w:tc>
      </w:tr>
    </w:tbl>
    <w:p>
      <w:pPr>
        <w:ind w:left="240" w:hanging="214"/>
        <w:spacing w:after="0" w:line="234" w:lineRule="auto"/>
        <w:tabs>
          <w:tab w:leader="none" w:pos="2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May 2022, additional cash consideration of $1.4 million was received related to customary post-closing adjustments. See Note 12 for additional information.</w:t>
      </w:r>
    </w:p>
    <w:p>
      <w:pPr>
        <w:ind w:left="260" w:right="140" w:hanging="234"/>
        <w:spacing w:after="0" w:line="211" w:lineRule="auto"/>
        <w:tabs>
          <w:tab w:leader="none" w:pos="246"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associated with operating under COVID-19 conditions include employee overtime expenses associated with absenteeism, personal protective equipment supplies and facility maintenance.</w:t>
      </w:r>
    </w:p>
    <w:p>
      <w:pPr>
        <w:ind w:left="260" w:right="220" w:hanging="234"/>
        <w:spacing w:after="0" w:line="231" w:lineRule="auto"/>
        <w:tabs>
          <w:tab w:leader="none" w:pos="237"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unrealized loss on the Company’s investment in Harbinger Capital Partners Special Situations Fund L.P. that had a fair value of $0.2 million as of June 30, 2022 and $0.2 million as of December 31, 2021 reported in "Other assets" in the condensed consolidated balance sheet.</w:t>
      </w:r>
    </w:p>
    <w:p>
      <w:pPr>
        <w:spacing w:after="0" w:line="177"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In May 2021, the Brazil Supreme Court ruled in a leading case related to the amount of Brazilian value-added tax to exclude from the calculation of unemployment/social security insurance non-income taxes ("PIS/COFINS"). As a result, in the second quarter of 2021, the Company recorded a pre-tax gain of $8.5 million for certain excess PIS/COFINS paid from 2003 to 2021, plus applicable interest, which the Company applied to required Brazilian federal tax payments during 2021.</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EARNINGS PER SHARE</w:t>
      </w:r>
    </w:p>
    <w:p>
      <w:pPr>
        <w:spacing w:after="0" w:line="108"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(loss) from continuing and discontinued operations by the weighted average number of shares of common stock outstanding. Diluted earnings per share is computed by dividing net income (loss) from continuing and discontinued operations by the weighted average common and potentially dilutive common equivalent shares outstanding, determined as follows:</w:t>
      </w:r>
    </w:p>
    <w:tbl>
      <w:tblPr>
        <w:tblLayout w:type="fixed"/>
        <w:tblInd w:w="0" w:type="dxa"/>
        <w:tblCellMar>
          <w:top w:w="0" w:type="dxa"/>
          <w:left w:w="0" w:type="dxa"/>
          <w:bottom w:w="0" w:type="dxa"/>
          <w:right w:w="0" w:type="dxa"/>
        </w:tblCellMar>
      </w:tblPr>
      <w:tr>
        <w:trPr>
          <w:trHeight w:val="237"/>
        </w:trPr>
        <w:tc>
          <w:tcPr>
            <w:tcW w:w="5380" w:type="dxa"/>
            <w:vAlign w:val="bottom"/>
            <w:tcBorders>
              <w:top w:val="single" w:sz="8" w:color="auto"/>
            </w:tcBorders>
          </w:tcPr>
          <w:p>
            <w:pPr>
              <w:spacing w:after="0"/>
              <w:rPr>
                <w:sz w:val="20"/>
                <w:szCs w:val="20"/>
                <w:color w:val="auto"/>
              </w:rPr>
            </w:pPr>
          </w:p>
        </w:tc>
        <w:tc>
          <w:tcPr>
            <w:tcW w:w="3060" w:type="dxa"/>
            <w:vAlign w:val="bottom"/>
            <w:tcBorders>
              <w:top w:val="single" w:sz="8" w:color="auto"/>
            </w:tcBorders>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Three Months Ended</w:t>
            </w:r>
          </w:p>
        </w:tc>
        <w:tc>
          <w:tcPr>
            <w:tcW w:w="2800" w:type="dxa"/>
            <w:vAlign w:val="bottom"/>
            <w:tcBorders>
              <w:top w:val="single" w:sz="8" w:color="auto"/>
            </w:tcBorders>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0"/>
        </w:trPr>
        <w:tc>
          <w:tcPr>
            <w:tcW w:w="5380" w:type="dxa"/>
            <w:vAlign w:val="bottom"/>
          </w:tcPr>
          <w:p>
            <w:pPr>
              <w:spacing w:after="0"/>
              <w:rPr>
                <w:sz w:val="19"/>
                <w:szCs w:val="19"/>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June 30,</w:t>
            </w:r>
          </w:p>
        </w:tc>
        <w:tc>
          <w:tcPr>
            <w:tcW w:w="1320" w:type="dxa"/>
            <w:vAlign w:val="bottom"/>
          </w:tcPr>
          <w:p>
            <w:pPr>
              <w:spacing w:after="0"/>
              <w:rPr>
                <w:sz w:val="19"/>
                <w:szCs w:val="19"/>
                <w:color w:val="auto"/>
              </w:rPr>
            </w:pPr>
          </w:p>
        </w:tc>
        <w:tc>
          <w:tcPr>
            <w:tcW w:w="1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June 30,</w:t>
            </w:r>
          </w:p>
        </w:tc>
        <w:tc>
          <w:tcPr>
            <w:tcW w:w="1040" w:type="dxa"/>
            <w:vAlign w:val="bottom"/>
          </w:tcPr>
          <w:p>
            <w:pPr>
              <w:spacing w:after="0"/>
              <w:rPr>
                <w:sz w:val="19"/>
                <w:szCs w:val="19"/>
                <w:color w:val="auto"/>
              </w:rPr>
            </w:pPr>
          </w:p>
        </w:tc>
      </w:tr>
      <w:tr>
        <w:trPr>
          <w:trHeight w:val="234"/>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74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2022</w:t>
            </w:r>
          </w:p>
        </w:tc>
        <w:tc>
          <w:tcPr>
            <w:tcW w:w="13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2021</w:t>
            </w:r>
          </w:p>
        </w:tc>
        <w:tc>
          <w:tcPr>
            <w:tcW w:w="176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2022</w:t>
            </w: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169"/>
        </w:trPr>
        <w:tc>
          <w:tcPr>
            <w:tcW w:w="53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Weighted average shares outstanding used to compute basic earnings</w:t>
            </w:r>
          </w:p>
        </w:tc>
        <w:tc>
          <w:tcPr>
            <w:tcW w:w="17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4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w:t>
            </w:r>
          </w:p>
        </w:tc>
        <w:tc>
          <w:tcPr>
            <w:tcW w:w="17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33,814</w:t>
            </w:r>
          </w:p>
        </w:tc>
        <w:tc>
          <w:tcPr>
            <w:tcW w:w="13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33,594</w:t>
            </w:r>
          </w:p>
        </w:tc>
        <w:tc>
          <w:tcPr>
            <w:tcW w:w="17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33,734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33,500</w:t>
            </w:r>
          </w:p>
        </w:tc>
      </w:tr>
      <w:tr>
        <w:trPr>
          <w:trHeight w:val="175"/>
        </w:trPr>
        <w:tc>
          <w:tcPr>
            <w:tcW w:w="5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Incremental dilutive shares attributable to stock options and restricted</w:t>
            </w:r>
          </w:p>
        </w:tc>
        <w:tc>
          <w:tcPr>
            <w:tcW w:w="17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17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40</w:t>
            </w:r>
          </w:p>
        </w:tc>
        <w:tc>
          <w:tcPr>
            <w:tcW w:w="1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146</w:t>
            </w:r>
          </w:p>
        </w:tc>
        <w:tc>
          <w:tcPr>
            <w:tcW w:w="17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42</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30"/>
        </w:trPr>
        <w:tc>
          <w:tcPr>
            <w:tcW w:w="5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diluted earnings per share</w:t>
            </w:r>
          </w:p>
        </w:tc>
        <w:tc>
          <w:tcPr>
            <w:tcW w:w="174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33,854</w:t>
            </w:r>
          </w:p>
        </w:tc>
        <w:tc>
          <w:tcPr>
            <w:tcW w:w="13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33,740</w:t>
            </w:r>
          </w:p>
        </w:tc>
        <w:tc>
          <w:tcPr>
            <w:tcW w:w="176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33,776</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33,692</w:t>
            </w:r>
          </w:p>
        </w:tc>
      </w:tr>
    </w:tbl>
    <w:p>
      <w:pPr>
        <w:spacing w:after="0" w:line="157"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Incremental shares attributable to stock options and restricted stock are computed under the treasury stock method using the average market price during the related period. The average out-of-the-money options to purchase shares that were excluded from the calculation of incremental shares attributable to stock options and restricted stock were 2,525,104 and 2,501,406 for the three and six months ended June 30, 2022, respectively, and 996,400 and 703,958 for the three and six months ended June 30, 2021,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7. ACCUMULATED OTHER COMPREHENSIVE INCOME (LOSS)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changes in accumulated other comprehensive income (loss) by component for the three months ended June 30, 2022.</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8"/>
              </w:rPr>
              <w:t>Foreign Currency</w:t>
            </w:r>
          </w:p>
        </w:tc>
        <w:tc>
          <w:tcPr>
            <w:tcW w:w="2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Gain (Loss) on</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Pension &amp; Other</w:t>
            </w:r>
          </w:p>
        </w:tc>
        <w:tc>
          <w:tcPr>
            <w:tcW w:w="24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Total Accumulated Other</w:t>
            </w:r>
          </w:p>
        </w:tc>
        <w:tc>
          <w:tcPr>
            <w:tcW w:w="0" w:type="dxa"/>
            <w:vAlign w:val="bottom"/>
          </w:tcPr>
          <w:p>
            <w:pPr>
              <w:spacing w:after="0"/>
              <w:rPr>
                <w:sz w:val="1"/>
                <w:szCs w:val="1"/>
                <w:color w:val="auto"/>
              </w:rPr>
            </w:pPr>
          </w:p>
        </w:tc>
      </w:tr>
      <w:tr>
        <w:trPr>
          <w:trHeight w:val="180"/>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rPr>
              <w:t>Derivative Financial</w:t>
            </w:r>
          </w:p>
        </w:tc>
        <w:tc>
          <w:tcPr>
            <w:tcW w:w="200" w:type="dxa"/>
            <w:vAlign w:val="bottom"/>
          </w:tcPr>
          <w:p>
            <w:pPr>
              <w:spacing w:after="0"/>
              <w:rPr>
                <w:sz w:val="15"/>
                <w:szCs w:val="15"/>
                <w:color w:val="auto"/>
              </w:rPr>
            </w:pPr>
          </w:p>
        </w:tc>
        <w:tc>
          <w:tcPr>
            <w:tcW w:w="142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w w:val="99"/>
              </w:rPr>
              <w:t>Postretirement</w:t>
            </w:r>
          </w:p>
        </w:tc>
        <w:tc>
          <w:tcPr>
            <w:tcW w:w="24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Translation</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8"/>
              </w:rPr>
              <w:t>Instruments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Benefit Adjust</w:t>
            </w:r>
          </w:p>
        </w:tc>
        <w:tc>
          <w:tcPr>
            <w:tcW w:w="2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1,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(80,256)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6,831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(62,075)</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(135,500)</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(11,681)</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(17,393)</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482</w:t>
            </w: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3,110</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0" w:type="dxa"/>
            <w:vAlign w:val="bottom"/>
          </w:tcPr>
          <w:p>
            <w:pPr>
              <w:spacing w:after="0"/>
              <w:rPr>
                <w:sz w:val="1"/>
                <w:szCs w:val="1"/>
                <w:color w:val="auto"/>
              </w:rPr>
            </w:pPr>
          </w:p>
        </w:tc>
      </w:tr>
      <w:tr>
        <w:trPr>
          <w:trHeight w:val="22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Other comprehensive income (loss), net of tax</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(13,801)</w:t>
            </w:r>
          </w:p>
        </w:tc>
        <w:tc>
          <w:tcPr>
            <w:tcW w:w="0" w:type="dxa"/>
            <w:vAlign w:val="bottom"/>
          </w:tcPr>
          <w:p>
            <w:pPr>
              <w:spacing w:after="0"/>
              <w:rPr>
                <w:sz w:val="1"/>
                <w:szCs w:val="1"/>
                <w:color w:val="auto"/>
              </w:rPr>
            </w:pPr>
          </w:p>
        </w:tc>
      </w:tr>
      <w:tr>
        <w:trPr>
          <w:trHeight w:val="184"/>
        </w:trPr>
        <w:tc>
          <w:tcPr>
            <w:tcW w:w="34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3,268</w:t>
            </w:r>
          </w:p>
        </w:tc>
        <w:tc>
          <w:tcPr>
            <w:tcW w:w="24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178"/>
        </w:trPr>
        <w:tc>
          <w:tcPr>
            <w:tcW w:w="3480" w:type="dxa"/>
            <w:vAlign w:val="bottom"/>
            <w:shd w:val="clear" w:color="auto" w:fill="CCEEFF"/>
          </w:tcPr>
          <w:p>
            <w:pPr>
              <w:ind w:left="140"/>
              <w:spacing w:after="0" w:line="177"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net of tax</w:t>
            </w:r>
          </w:p>
        </w:tc>
        <w:tc>
          <w:tcPr>
            <w:tcW w:w="1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2,556</w:t>
            </w:r>
          </w:p>
        </w:tc>
        <w:tc>
          <w:tcPr>
            <w:tcW w:w="24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0" w:type="dxa"/>
            <w:vAlign w:val="bottom"/>
          </w:tcPr>
          <w:p>
            <w:pPr>
              <w:spacing w:after="0"/>
              <w:rPr>
                <w:sz w:val="1"/>
                <w:szCs w:val="1"/>
                <w:color w:val="auto"/>
              </w:rPr>
            </w:pPr>
          </w:p>
        </w:tc>
      </w:tr>
      <w:tr>
        <w:trPr>
          <w:trHeight w:val="178"/>
        </w:trPr>
        <w:tc>
          <w:tcPr>
            <w:tcW w:w="3480" w:type="dxa"/>
            <w:vAlign w:val="bottom"/>
          </w:tcPr>
          <w:p>
            <w:pPr>
              <w:ind w:left="240"/>
              <w:spacing w:after="0" w:line="177" w:lineRule="exact"/>
              <w:rPr>
                <w:sz w:val="20"/>
                <w:szCs w:val="20"/>
                <w:color w:val="auto"/>
              </w:rPr>
            </w:pPr>
            <w:r>
              <w:rPr>
                <w:rFonts w:ascii="Times New Roman" w:cs="Times New Roman" w:eastAsia="Times New Roman" w:hAnsi="Times New Roman"/>
                <w:sz w:val="18"/>
                <w:szCs w:val="18"/>
                <w:color w:val="auto"/>
              </w:rPr>
              <w:t>Other comprehensive income (loss), net of</w:t>
            </w: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tax</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(9,161)</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2,556</w:t>
            </w: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(11,835)</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(85,486)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(59,519)</w:t>
            </w:r>
          </w:p>
        </w:tc>
        <w:tc>
          <w:tcPr>
            <w:tcW w:w="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(147,335)</w:t>
            </w:r>
          </w:p>
        </w:tc>
        <w:tc>
          <w:tcPr>
            <w:tcW w:w="0" w:type="dxa"/>
            <w:vAlign w:val="bottom"/>
          </w:tcPr>
          <w:p>
            <w:pPr>
              <w:spacing w:after="0"/>
              <w:rPr>
                <w:sz w:val="1"/>
                <w:szCs w:val="1"/>
                <w:color w:val="auto"/>
              </w:rPr>
            </w:pPr>
          </w:p>
        </w:tc>
      </w:tr>
      <w:tr>
        <w:trPr>
          <w:trHeight w:val="405"/>
        </w:trPr>
        <w:tc>
          <w:tcPr>
            <w:tcW w:w="9120" w:type="dxa"/>
            <w:vAlign w:val="bottom"/>
            <w:gridSpan w:val="8"/>
          </w:tcPr>
          <w:p>
            <w:pPr>
              <w:ind w:left="420"/>
              <w:spacing w:after="0"/>
              <w:rPr>
                <w:sz w:val="20"/>
                <w:szCs w:val="20"/>
                <w:color w:val="auto"/>
              </w:rPr>
            </w:pPr>
            <w:r>
              <w:rPr>
                <w:rFonts w:ascii="Times New Roman" w:cs="Times New Roman" w:eastAsia="Times New Roman" w:hAnsi="Times New Roman"/>
                <w:sz w:val="18"/>
                <w:szCs w:val="18"/>
                <w:color w:val="auto"/>
              </w:rPr>
              <w:t>The changes in accumulated other comprehensive income (loss) by component for the six months ended June 30, 2022.</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3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8"/>
              </w:rPr>
              <w:t>Foreign Currency</w:t>
            </w:r>
          </w:p>
        </w:tc>
        <w:tc>
          <w:tcPr>
            <w:tcW w:w="240" w:type="dxa"/>
            <w:vAlign w:val="bottom"/>
          </w:tcPr>
          <w:p>
            <w:pPr>
              <w:spacing w:after="0"/>
              <w:rPr>
                <w:sz w:val="16"/>
                <w:szCs w:val="16"/>
                <w:color w:val="auto"/>
              </w:rPr>
            </w:pPr>
          </w:p>
        </w:tc>
        <w:tc>
          <w:tcPr>
            <w:tcW w:w="1760" w:type="dxa"/>
            <w:vAlign w:val="bottom"/>
          </w:tcPr>
          <w:p>
            <w:pPr>
              <w:jc w:val="center"/>
              <w:ind w:right="110"/>
              <w:spacing w:after="0" w:line="184" w:lineRule="exact"/>
              <w:rPr>
                <w:sz w:val="20"/>
                <w:szCs w:val="20"/>
                <w:color w:val="auto"/>
              </w:rPr>
            </w:pPr>
            <w:r>
              <w:rPr>
                <w:rFonts w:ascii="Times New Roman" w:cs="Times New Roman" w:eastAsia="Times New Roman" w:hAnsi="Times New Roman"/>
                <w:sz w:val="18"/>
                <w:szCs w:val="18"/>
                <w:color w:val="auto"/>
                <w:w w:val="99"/>
              </w:rPr>
              <w:t>Gain (Loss) on</w:t>
            </w:r>
          </w:p>
        </w:tc>
        <w:tc>
          <w:tcPr>
            <w:tcW w:w="200" w:type="dxa"/>
            <w:vAlign w:val="bottom"/>
          </w:tcPr>
          <w:p>
            <w:pPr>
              <w:spacing w:after="0"/>
              <w:rPr>
                <w:sz w:val="16"/>
                <w:szCs w:val="16"/>
                <w:color w:val="auto"/>
              </w:rPr>
            </w:pPr>
          </w:p>
        </w:tc>
        <w:tc>
          <w:tcPr>
            <w:tcW w:w="142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color w:val="auto"/>
                <w:w w:val="99"/>
              </w:rPr>
              <w:t>Pension &amp; Other</w:t>
            </w:r>
          </w:p>
        </w:tc>
        <w:tc>
          <w:tcPr>
            <w:tcW w:w="240" w:type="dxa"/>
            <w:vAlign w:val="bottom"/>
          </w:tcPr>
          <w:p>
            <w:pPr>
              <w:spacing w:after="0"/>
              <w:rPr>
                <w:sz w:val="16"/>
                <w:szCs w:val="16"/>
                <w:color w:val="auto"/>
              </w:rPr>
            </w:pPr>
          </w:p>
        </w:tc>
        <w:tc>
          <w:tcPr>
            <w:tcW w:w="21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Total Accumulated Other</w:t>
            </w:r>
          </w:p>
        </w:tc>
        <w:tc>
          <w:tcPr>
            <w:tcW w:w="0" w:type="dxa"/>
            <w:vAlign w:val="bottom"/>
          </w:tcPr>
          <w:p>
            <w:pPr>
              <w:spacing w:after="0"/>
              <w:rPr>
                <w:sz w:val="1"/>
                <w:szCs w:val="1"/>
                <w:color w:val="auto"/>
              </w:rPr>
            </w:pPr>
          </w:p>
        </w:tc>
      </w:tr>
      <w:tr>
        <w:trPr>
          <w:trHeight w:val="180"/>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rPr>
              <w:t>Derivative Financial</w:t>
            </w:r>
          </w:p>
        </w:tc>
        <w:tc>
          <w:tcPr>
            <w:tcW w:w="200" w:type="dxa"/>
            <w:vAlign w:val="bottom"/>
          </w:tcPr>
          <w:p>
            <w:pPr>
              <w:spacing w:after="0"/>
              <w:rPr>
                <w:sz w:val="15"/>
                <w:szCs w:val="15"/>
                <w:color w:val="auto"/>
              </w:rPr>
            </w:pPr>
          </w:p>
        </w:tc>
        <w:tc>
          <w:tcPr>
            <w:tcW w:w="142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w w:val="99"/>
              </w:rPr>
              <w:t>Postretirement</w:t>
            </w:r>
          </w:p>
        </w:tc>
        <w:tc>
          <w:tcPr>
            <w:tcW w:w="24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Translation</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8"/>
              </w:rPr>
              <w:t>Instruments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Benefit Adjust</w:t>
            </w:r>
          </w:p>
        </w:tc>
        <w:tc>
          <w:tcPr>
            <w:tcW w:w="2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(85,792)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(64,613)</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(149,504)</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9"/>
                <w:szCs w:val="19"/>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552</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2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Other comprehensive income (loss), net of tax</w:t>
            </w:r>
          </w:p>
        </w:tc>
        <w:tc>
          <w:tcPr>
            <w:tcW w:w="180" w:type="dxa"/>
            <w:vAlign w:val="bottom"/>
          </w:tcPr>
          <w:p>
            <w:pPr>
              <w:spacing w:after="0"/>
              <w:rPr>
                <w:sz w:val="19"/>
                <w:szCs w:val="19"/>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0" w:type="dxa"/>
            <w:vAlign w:val="bottom"/>
          </w:tcPr>
          <w:p>
            <w:pPr>
              <w:spacing w:after="0"/>
              <w:rPr>
                <w:sz w:val="1"/>
                <w:szCs w:val="1"/>
                <w:color w:val="auto"/>
              </w:rPr>
            </w:pPr>
          </w:p>
        </w:tc>
      </w:tr>
      <w:tr>
        <w:trPr>
          <w:trHeight w:val="184"/>
        </w:trPr>
        <w:tc>
          <w:tcPr>
            <w:tcW w:w="34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6,518</w:t>
            </w:r>
          </w:p>
        </w:tc>
        <w:tc>
          <w:tcPr>
            <w:tcW w:w="24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524</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178"/>
        </w:trPr>
        <w:tc>
          <w:tcPr>
            <w:tcW w:w="3480" w:type="dxa"/>
            <w:vAlign w:val="bottom"/>
            <w:shd w:val="clear" w:color="auto" w:fill="CCEEFF"/>
          </w:tcPr>
          <w:p>
            <w:pPr>
              <w:ind w:left="140"/>
              <w:spacing w:after="0" w:line="177"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net of tax</w:t>
            </w:r>
          </w:p>
        </w:tc>
        <w:tc>
          <w:tcPr>
            <w:tcW w:w="1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5,094</w:t>
            </w:r>
          </w:p>
        </w:tc>
        <w:tc>
          <w:tcPr>
            <w:tcW w:w="24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0" w:type="dxa"/>
            <w:vAlign w:val="bottom"/>
          </w:tcPr>
          <w:p>
            <w:pPr>
              <w:spacing w:after="0"/>
              <w:rPr>
                <w:sz w:val="1"/>
                <w:szCs w:val="1"/>
                <w:color w:val="auto"/>
              </w:rPr>
            </w:pPr>
          </w:p>
        </w:tc>
      </w:tr>
      <w:tr>
        <w:trPr>
          <w:trHeight w:val="178"/>
        </w:trPr>
        <w:tc>
          <w:tcPr>
            <w:tcW w:w="3480" w:type="dxa"/>
            <w:vAlign w:val="bottom"/>
          </w:tcPr>
          <w:p>
            <w:pPr>
              <w:ind w:left="240"/>
              <w:spacing w:after="0" w:line="177" w:lineRule="exact"/>
              <w:rPr>
                <w:sz w:val="20"/>
                <w:szCs w:val="20"/>
                <w:color w:val="auto"/>
              </w:rPr>
            </w:pPr>
            <w:r>
              <w:rPr>
                <w:rFonts w:ascii="Times New Roman" w:cs="Times New Roman" w:eastAsia="Times New Roman" w:hAnsi="Times New Roman"/>
                <w:sz w:val="18"/>
                <w:szCs w:val="18"/>
                <w:color w:val="auto"/>
              </w:rPr>
              <w:t>Other comprehensive income (loss), net of</w:t>
            </w: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tax</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5,094</w:t>
            </w: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(85,486)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(59,519)</w:t>
            </w:r>
          </w:p>
        </w:tc>
        <w:tc>
          <w:tcPr>
            <w:tcW w:w="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(147,335)</w:t>
            </w:r>
          </w:p>
        </w:tc>
        <w:tc>
          <w:tcPr>
            <w:tcW w:w="0" w:type="dxa"/>
            <w:vAlign w:val="bottom"/>
          </w:tcPr>
          <w:p>
            <w:pPr>
              <w:spacing w:after="0"/>
              <w:rPr>
                <w:sz w:val="1"/>
                <w:szCs w:val="1"/>
                <w:color w:val="auto"/>
              </w:rPr>
            </w:pPr>
          </w:p>
        </w:tc>
      </w:tr>
      <w:tr>
        <w:trPr>
          <w:trHeight w:val="864"/>
        </w:trPr>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ind w:left="420"/>
        <w:spacing w:after="0"/>
        <w:rPr>
          <w:sz w:val="20"/>
          <w:szCs w:val="20"/>
          <w:color w:val="auto"/>
        </w:rPr>
      </w:pPr>
      <w:r>
        <w:rPr>
          <w:rFonts w:ascii="Times New Roman" w:cs="Times New Roman" w:eastAsia="Times New Roman" w:hAnsi="Times New Roman"/>
          <w:sz w:val="18"/>
          <w:szCs w:val="18"/>
          <w:color w:val="auto"/>
        </w:rPr>
        <w:t>The changes in accumulated other comprehensive income (loss) by component for the three months ended June 30, 2021.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8"/>
              </w:rPr>
              <w:t>Foreign Currency</w:t>
            </w:r>
          </w:p>
        </w:tc>
        <w:tc>
          <w:tcPr>
            <w:tcW w:w="2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Gain (Loss) on</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Pension &amp; Other</w:t>
            </w:r>
          </w:p>
        </w:tc>
        <w:tc>
          <w:tcPr>
            <w:tcW w:w="24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Total Accumulated Other</w:t>
            </w:r>
          </w:p>
        </w:tc>
        <w:tc>
          <w:tcPr>
            <w:tcW w:w="0" w:type="dxa"/>
            <w:vAlign w:val="bottom"/>
          </w:tcPr>
          <w:p>
            <w:pPr>
              <w:spacing w:after="0"/>
              <w:rPr>
                <w:sz w:val="1"/>
                <w:szCs w:val="1"/>
                <w:color w:val="auto"/>
              </w:rPr>
            </w:pPr>
          </w:p>
        </w:tc>
      </w:tr>
      <w:tr>
        <w:trPr>
          <w:trHeight w:val="180"/>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rPr>
              <w:t>Derivative Financial</w:t>
            </w:r>
          </w:p>
        </w:tc>
        <w:tc>
          <w:tcPr>
            <w:tcW w:w="200" w:type="dxa"/>
            <w:vAlign w:val="bottom"/>
          </w:tcPr>
          <w:p>
            <w:pPr>
              <w:spacing w:after="0"/>
              <w:rPr>
                <w:sz w:val="15"/>
                <w:szCs w:val="15"/>
                <w:color w:val="auto"/>
              </w:rPr>
            </w:pPr>
          </w:p>
        </w:tc>
        <w:tc>
          <w:tcPr>
            <w:tcW w:w="142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w w:val="99"/>
              </w:rPr>
              <w:t>Postretirement</w:t>
            </w:r>
          </w:p>
        </w:tc>
        <w:tc>
          <w:tcPr>
            <w:tcW w:w="24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Translation</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8"/>
              </w:rPr>
              <w:t>Instruments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Benefit Adjust</w:t>
            </w:r>
          </w:p>
        </w:tc>
        <w:tc>
          <w:tcPr>
            <w:tcW w:w="2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1, 2021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(86,797)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(93,200)</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(177,969)</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9"/>
                <w:szCs w:val="19"/>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4,456</w:t>
            </w:r>
          </w:p>
        </w:tc>
        <w:tc>
          <w:tcPr>
            <w:tcW w:w="24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3,257</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2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Other comprehensive income (loss), net of tax</w:t>
            </w:r>
          </w:p>
        </w:tc>
        <w:tc>
          <w:tcPr>
            <w:tcW w:w="180" w:type="dxa"/>
            <w:vAlign w:val="bottom"/>
          </w:tcPr>
          <w:p>
            <w:pPr>
              <w:spacing w:after="0"/>
              <w:rPr>
                <w:sz w:val="19"/>
                <w:szCs w:val="19"/>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3,993</w:t>
            </w:r>
          </w:p>
        </w:tc>
        <w:tc>
          <w:tcPr>
            <w:tcW w:w="24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2,449</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0" w:type="dxa"/>
            <w:vAlign w:val="bottom"/>
          </w:tcPr>
          <w:p>
            <w:pPr>
              <w:spacing w:after="0"/>
              <w:rPr>
                <w:sz w:val="1"/>
                <w:szCs w:val="1"/>
                <w:color w:val="auto"/>
              </w:rPr>
            </w:pPr>
          </w:p>
        </w:tc>
      </w:tr>
      <w:tr>
        <w:trPr>
          <w:trHeight w:val="184"/>
        </w:trPr>
        <w:tc>
          <w:tcPr>
            <w:tcW w:w="34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4,240</w:t>
            </w:r>
          </w:p>
        </w:tc>
        <w:tc>
          <w:tcPr>
            <w:tcW w:w="24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260</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178"/>
        </w:trPr>
        <w:tc>
          <w:tcPr>
            <w:tcW w:w="3480" w:type="dxa"/>
            <w:vAlign w:val="bottom"/>
            <w:shd w:val="clear" w:color="auto" w:fill="CCEEFF"/>
          </w:tcPr>
          <w:p>
            <w:pPr>
              <w:ind w:left="140"/>
              <w:spacing w:after="0" w:line="177"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net of tax</w:t>
            </w:r>
          </w:p>
        </w:tc>
        <w:tc>
          <w:tcPr>
            <w:tcW w:w="1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3,318</w:t>
            </w:r>
          </w:p>
        </w:tc>
        <w:tc>
          <w:tcPr>
            <w:tcW w:w="24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0" w:type="dxa"/>
            <w:vAlign w:val="bottom"/>
          </w:tcPr>
          <w:p>
            <w:pPr>
              <w:spacing w:after="0"/>
              <w:rPr>
                <w:sz w:val="1"/>
                <w:szCs w:val="1"/>
                <w:color w:val="auto"/>
              </w:rPr>
            </w:pPr>
          </w:p>
        </w:tc>
      </w:tr>
      <w:tr>
        <w:trPr>
          <w:trHeight w:val="178"/>
        </w:trPr>
        <w:tc>
          <w:tcPr>
            <w:tcW w:w="3480" w:type="dxa"/>
            <w:vAlign w:val="bottom"/>
          </w:tcPr>
          <w:p>
            <w:pPr>
              <w:ind w:left="240"/>
              <w:spacing w:after="0" w:line="177" w:lineRule="exact"/>
              <w:rPr>
                <w:sz w:val="20"/>
                <w:szCs w:val="20"/>
                <w:color w:val="auto"/>
              </w:rPr>
            </w:pPr>
            <w:r>
              <w:rPr>
                <w:rFonts w:ascii="Times New Roman" w:cs="Times New Roman" w:eastAsia="Times New Roman" w:hAnsi="Times New Roman"/>
                <w:sz w:val="18"/>
                <w:szCs w:val="18"/>
                <w:color w:val="auto"/>
              </w:rPr>
              <w:t>Other comprehensive income (loss), net of</w:t>
            </w: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tax</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3,993</w:t>
            </w: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1,468</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3,318</w:t>
            </w: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8,779</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(82,804)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3,496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(89,882)</w:t>
            </w:r>
          </w:p>
        </w:tc>
        <w:tc>
          <w:tcPr>
            <w:tcW w:w="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(169,190)</w:t>
            </w:r>
          </w:p>
        </w:tc>
        <w:tc>
          <w:tcPr>
            <w:tcW w:w="0" w:type="dxa"/>
            <w:vAlign w:val="bottom"/>
          </w:tcPr>
          <w:p>
            <w:pPr>
              <w:spacing w:after="0"/>
              <w:rPr>
                <w:sz w:val="1"/>
                <w:szCs w:val="1"/>
                <w:color w:val="auto"/>
              </w:rPr>
            </w:pPr>
          </w:p>
        </w:tc>
      </w:tr>
      <w:tr>
        <w:trPr>
          <w:trHeight w:val="405"/>
        </w:trPr>
        <w:tc>
          <w:tcPr>
            <w:tcW w:w="9120" w:type="dxa"/>
            <w:vAlign w:val="bottom"/>
            <w:gridSpan w:val="8"/>
          </w:tcPr>
          <w:p>
            <w:pPr>
              <w:ind w:left="420"/>
              <w:spacing w:after="0"/>
              <w:rPr>
                <w:sz w:val="20"/>
                <w:szCs w:val="20"/>
                <w:color w:val="auto"/>
              </w:rPr>
            </w:pPr>
            <w:r>
              <w:rPr>
                <w:rFonts w:ascii="Times New Roman" w:cs="Times New Roman" w:eastAsia="Times New Roman" w:hAnsi="Times New Roman"/>
                <w:sz w:val="18"/>
                <w:szCs w:val="18"/>
                <w:color w:val="auto"/>
              </w:rPr>
              <w:t>The changes in accumulated other comprehensive income (loss) by component for the six months ended June 30, 2021.</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3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8"/>
              </w:rPr>
              <w:t>Foreign Currency</w:t>
            </w:r>
          </w:p>
        </w:tc>
        <w:tc>
          <w:tcPr>
            <w:tcW w:w="240" w:type="dxa"/>
            <w:vAlign w:val="bottom"/>
          </w:tcPr>
          <w:p>
            <w:pPr>
              <w:spacing w:after="0"/>
              <w:rPr>
                <w:sz w:val="16"/>
                <w:szCs w:val="16"/>
                <w:color w:val="auto"/>
              </w:rPr>
            </w:pPr>
          </w:p>
        </w:tc>
        <w:tc>
          <w:tcPr>
            <w:tcW w:w="1760" w:type="dxa"/>
            <w:vAlign w:val="bottom"/>
          </w:tcPr>
          <w:p>
            <w:pPr>
              <w:jc w:val="center"/>
              <w:ind w:right="110"/>
              <w:spacing w:after="0" w:line="184" w:lineRule="exact"/>
              <w:rPr>
                <w:sz w:val="20"/>
                <w:szCs w:val="20"/>
                <w:color w:val="auto"/>
              </w:rPr>
            </w:pPr>
            <w:r>
              <w:rPr>
                <w:rFonts w:ascii="Times New Roman" w:cs="Times New Roman" w:eastAsia="Times New Roman" w:hAnsi="Times New Roman"/>
                <w:sz w:val="18"/>
                <w:szCs w:val="18"/>
                <w:color w:val="auto"/>
                <w:w w:val="99"/>
              </w:rPr>
              <w:t>Gain (Loss) on</w:t>
            </w:r>
          </w:p>
        </w:tc>
        <w:tc>
          <w:tcPr>
            <w:tcW w:w="200" w:type="dxa"/>
            <w:vAlign w:val="bottom"/>
          </w:tcPr>
          <w:p>
            <w:pPr>
              <w:spacing w:after="0"/>
              <w:rPr>
                <w:sz w:val="16"/>
                <w:szCs w:val="16"/>
                <w:color w:val="auto"/>
              </w:rPr>
            </w:pPr>
          </w:p>
        </w:tc>
        <w:tc>
          <w:tcPr>
            <w:tcW w:w="142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color w:val="auto"/>
                <w:w w:val="99"/>
              </w:rPr>
              <w:t>Pension &amp; Other</w:t>
            </w:r>
          </w:p>
        </w:tc>
        <w:tc>
          <w:tcPr>
            <w:tcW w:w="240" w:type="dxa"/>
            <w:vAlign w:val="bottom"/>
          </w:tcPr>
          <w:p>
            <w:pPr>
              <w:spacing w:after="0"/>
              <w:rPr>
                <w:sz w:val="16"/>
                <w:szCs w:val="16"/>
                <w:color w:val="auto"/>
              </w:rPr>
            </w:pPr>
          </w:p>
        </w:tc>
        <w:tc>
          <w:tcPr>
            <w:tcW w:w="21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Total Accumulated Other</w:t>
            </w:r>
          </w:p>
        </w:tc>
        <w:tc>
          <w:tcPr>
            <w:tcW w:w="0" w:type="dxa"/>
            <w:vAlign w:val="bottom"/>
          </w:tcPr>
          <w:p>
            <w:pPr>
              <w:spacing w:after="0"/>
              <w:rPr>
                <w:sz w:val="1"/>
                <w:szCs w:val="1"/>
                <w:color w:val="auto"/>
              </w:rPr>
            </w:pPr>
          </w:p>
        </w:tc>
      </w:tr>
      <w:tr>
        <w:trPr>
          <w:trHeight w:val="180"/>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rPr>
              <w:t>Derivative Financial</w:t>
            </w:r>
          </w:p>
        </w:tc>
        <w:tc>
          <w:tcPr>
            <w:tcW w:w="200" w:type="dxa"/>
            <w:vAlign w:val="bottom"/>
          </w:tcPr>
          <w:p>
            <w:pPr>
              <w:spacing w:after="0"/>
              <w:rPr>
                <w:sz w:val="15"/>
                <w:szCs w:val="15"/>
                <w:color w:val="auto"/>
              </w:rPr>
            </w:pPr>
          </w:p>
        </w:tc>
        <w:tc>
          <w:tcPr>
            <w:tcW w:w="142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w w:val="99"/>
              </w:rPr>
              <w:t>Postretirement</w:t>
            </w:r>
          </w:p>
        </w:tc>
        <w:tc>
          <w:tcPr>
            <w:tcW w:w="24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Translation</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8"/>
              </w:rPr>
              <w:t>Instruments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Benefit Adjust</w:t>
            </w:r>
          </w:p>
        </w:tc>
        <w:tc>
          <w:tcPr>
            <w:tcW w:w="2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(84,149)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(96,519)</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(178,404)</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9"/>
                <w:szCs w:val="19"/>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1,536</w:t>
            </w:r>
          </w:p>
        </w:tc>
        <w:tc>
          <w:tcPr>
            <w:tcW w:w="24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3,488</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2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Other comprehensive income (loss), net of tax</w:t>
            </w:r>
          </w:p>
        </w:tc>
        <w:tc>
          <w:tcPr>
            <w:tcW w:w="180" w:type="dxa"/>
            <w:vAlign w:val="bottom"/>
          </w:tcPr>
          <w:p>
            <w:pPr>
              <w:spacing w:after="0"/>
              <w:rPr>
                <w:sz w:val="19"/>
                <w:szCs w:val="19"/>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1,345</w:t>
            </w:r>
          </w:p>
        </w:tc>
        <w:tc>
          <w:tcPr>
            <w:tcW w:w="24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2,722</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0" w:type="dxa"/>
            <w:vAlign w:val="bottom"/>
          </w:tcPr>
          <w:p>
            <w:pPr>
              <w:spacing w:after="0"/>
              <w:rPr>
                <w:sz w:val="1"/>
                <w:szCs w:val="1"/>
                <w:color w:val="auto"/>
              </w:rPr>
            </w:pPr>
          </w:p>
        </w:tc>
      </w:tr>
      <w:tr>
        <w:trPr>
          <w:trHeight w:val="184"/>
        </w:trPr>
        <w:tc>
          <w:tcPr>
            <w:tcW w:w="34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8,483</w:t>
            </w:r>
          </w:p>
        </w:tc>
        <w:tc>
          <w:tcPr>
            <w:tcW w:w="24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6,587</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406</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178"/>
        </w:trPr>
        <w:tc>
          <w:tcPr>
            <w:tcW w:w="3480" w:type="dxa"/>
            <w:vAlign w:val="bottom"/>
            <w:shd w:val="clear" w:color="auto" w:fill="CCEEFF"/>
          </w:tcPr>
          <w:p>
            <w:pPr>
              <w:ind w:left="140"/>
              <w:spacing w:after="0" w:line="177"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net of tax</w:t>
            </w:r>
          </w:p>
        </w:tc>
        <w:tc>
          <w:tcPr>
            <w:tcW w:w="1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6,637</w:t>
            </w:r>
          </w:p>
        </w:tc>
        <w:tc>
          <w:tcPr>
            <w:tcW w:w="24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0" w:type="dxa"/>
            <w:vAlign w:val="bottom"/>
          </w:tcPr>
          <w:p>
            <w:pPr>
              <w:spacing w:after="0"/>
              <w:rPr>
                <w:sz w:val="1"/>
                <w:szCs w:val="1"/>
                <w:color w:val="auto"/>
              </w:rPr>
            </w:pPr>
          </w:p>
        </w:tc>
      </w:tr>
      <w:tr>
        <w:trPr>
          <w:trHeight w:val="178"/>
        </w:trPr>
        <w:tc>
          <w:tcPr>
            <w:tcW w:w="3480" w:type="dxa"/>
            <w:vAlign w:val="bottom"/>
          </w:tcPr>
          <w:p>
            <w:pPr>
              <w:ind w:left="240"/>
              <w:spacing w:after="0" w:line="177" w:lineRule="exact"/>
              <w:rPr>
                <w:sz w:val="20"/>
                <w:szCs w:val="20"/>
                <w:color w:val="auto"/>
              </w:rPr>
            </w:pPr>
            <w:r>
              <w:rPr>
                <w:rFonts w:ascii="Times New Roman" w:cs="Times New Roman" w:eastAsia="Times New Roman" w:hAnsi="Times New Roman"/>
                <w:sz w:val="18"/>
                <w:szCs w:val="18"/>
                <w:color w:val="auto"/>
              </w:rPr>
              <w:t>Other comprehensive income (loss), net of</w:t>
            </w: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tax</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1,345</w:t>
            </w: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1,232</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6,637</w:t>
            </w: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9,214</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(82,804)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3,496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(89,882)</w:t>
            </w:r>
          </w:p>
        </w:tc>
        <w:tc>
          <w:tcPr>
            <w:tcW w:w="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(169,190)</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amounts reclassified out of accumulated other comprehensive income (loss) related to pension and other postretirement benefits is included in the computation of net periodic pension costs, see Note 4 for additional details.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w:t>
      </w:r>
    </w:p>
    <w:p>
      <w:pPr>
        <w:spacing w:after="0" w:line="108"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Tredegar uses derivative financial instruments for the purpose of hedging margin exposure from fixed-price forward sales contracts in Aluminum Extrusions and exposure from currency volatility that exists as part of ongoing business operations in Flexible Packaging Films. These derivative financial instruments are designated as and qualify as cash flow hedges and are recognized in the condensed consolidated balance sheet at fair value. If individual derivative instruments with the same counterparty can be settled on a net basis, the Company records the corresponding derivative fair values as a net asset or net liability.</w:t>
      </w:r>
    </w:p>
    <w:p>
      <w:pPr>
        <w:spacing w:after="0" w:line="62"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Aluminum Extrusions enters into fixed-price forward sales contracts with certain customers for the future sale of fixed quantities of aluminum extrusions at scheduled intervals. In order to hedge margin exposure created from the fixing of future sales prices relative to volatile raw material (aluminum) costs, Aluminum Extrusions enters into a combination of forward purchase commitments and futures contracts to acquire or hedge aluminum, based on the scheduled purchases for the firm sales commitments. The fixed-price firm sales commitments and related hedging instruments have durations generally no longer than 24 months. The notional amount of aluminum futures contracts that hedged future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ind w:right="220"/>
        <w:spacing w:after="0" w:line="282" w:lineRule="auto"/>
        <w:rPr>
          <w:sz w:val="20"/>
          <w:szCs w:val="20"/>
          <w:color w:val="auto"/>
        </w:rPr>
      </w:pPr>
      <w:r>
        <w:rPr>
          <w:rFonts w:ascii="Times New Roman" w:cs="Times New Roman" w:eastAsia="Times New Roman" w:hAnsi="Times New Roman"/>
          <w:sz w:val="18"/>
          <w:szCs w:val="18"/>
          <w:color w:val="auto"/>
        </w:rPr>
        <w:t>purchases of aluminum to meet fixed-price forward sales contract obligations was $32.7 million (19.1 million pounds of aluminum) at June 30, 2022 and $22.1 million (14.9 million pounds of aluminum) at December 31, 2021.</w:t>
      </w:r>
    </w:p>
    <w:p>
      <w:pPr>
        <w:spacing w:after="0" w:line="27" w:lineRule="exact"/>
        <w:rPr>
          <w:sz w:val="20"/>
          <w:szCs w:val="20"/>
          <w:color w:val="auto"/>
        </w:rPr>
      </w:pPr>
    </w:p>
    <w:p>
      <w:pPr>
        <w:ind w:right="40" w:firstLine="405"/>
        <w:spacing w:after="0" w:line="276" w:lineRule="auto"/>
        <w:rPr>
          <w:sz w:val="20"/>
          <w:szCs w:val="20"/>
          <w:color w:val="auto"/>
        </w:rPr>
      </w:pPr>
      <w:r>
        <w:rPr>
          <w:rFonts w:ascii="Times New Roman" w:cs="Times New Roman" w:eastAsia="Times New Roman" w:hAnsi="Times New Roman"/>
          <w:sz w:val="18"/>
          <w:szCs w:val="18"/>
          <w:color w:val="auto"/>
        </w:rPr>
        <w:t>The table below summarizes the location and gross amounts of aluminum futures contract fair values (Level 2) in the condensed consolidated balance sheets as of June 30, 2022 and December 31, 2021:</w:t>
      </w:r>
    </w:p>
    <w:tbl>
      <w:tblPr>
        <w:tblLayout w:type="fixed"/>
        <w:tblInd w:w="0" w:type="dxa"/>
        <w:tblCellMar>
          <w:top w:w="0" w:type="dxa"/>
          <w:left w:w="0" w:type="dxa"/>
          <w:bottom w:w="0" w:type="dxa"/>
          <w:right w:w="0" w:type="dxa"/>
        </w:tblCellMar>
      </w:tblPr>
      <w:tr>
        <w:trPr>
          <w:trHeight w:val="238"/>
        </w:trPr>
        <w:tc>
          <w:tcPr>
            <w:tcW w:w="5160" w:type="dxa"/>
            <w:vAlign w:val="bottom"/>
            <w:tcBorders>
              <w:top w:val="single" w:sz="8" w:color="auto"/>
            </w:tcBorders>
          </w:tcPr>
          <w:p>
            <w:pPr>
              <w:spacing w:after="0"/>
              <w:rPr>
                <w:sz w:val="20"/>
                <w:szCs w:val="20"/>
                <w:color w:val="auto"/>
              </w:rPr>
            </w:pPr>
          </w:p>
        </w:tc>
        <w:tc>
          <w:tcPr>
            <w:tcW w:w="202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99"/>
              </w:rPr>
              <w:t>June 30, 2022</w:t>
            </w: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2021</w:t>
            </w:r>
          </w:p>
        </w:tc>
        <w:tc>
          <w:tcPr>
            <w:tcW w:w="740" w:type="dxa"/>
            <w:vAlign w:val="bottom"/>
            <w:tcBorders>
              <w:top w:val="single" w:sz="8" w:color="auto"/>
              <w:bottom w:val="single" w:sz="8" w:color="auto"/>
            </w:tcBorders>
          </w:tcPr>
          <w:p>
            <w:pPr>
              <w:spacing w:after="0"/>
              <w:rPr>
                <w:sz w:val="20"/>
                <w:szCs w:val="20"/>
                <w:color w:val="auto"/>
              </w:rPr>
            </w:pPr>
          </w:p>
        </w:tc>
      </w:tr>
      <w:tr>
        <w:trPr>
          <w:trHeight w:val="178"/>
        </w:trPr>
        <w:tc>
          <w:tcPr>
            <w:tcW w:w="5160" w:type="dxa"/>
            <w:vAlign w:val="bottom"/>
          </w:tcPr>
          <w:p>
            <w:pPr>
              <w:spacing w:after="0"/>
              <w:rPr>
                <w:sz w:val="15"/>
                <w:szCs w:val="15"/>
                <w:color w:val="auto"/>
              </w:rPr>
            </w:pPr>
          </w:p>
        </w:tc>
        <w:tc>
          <w:tcPr>
            <w:tcW w:w="2020" w:type="dxa"/>
            <w:vAlign w:val="bottom"/>
          </w:tcPr>
          <w:p>
            <w:pPr>
              <w:jc w:val="center"/>
              <w:ind w:right="30"/>
              <w:spacing w:after="0" w:line="177" w:lineRule="exact"/>
              <w:rPr>
                <w:sz w:val="20"/>
                <w:szCs w:val="20"/>
                <w:color w:val="auto"/>
              </w:rPr>
            </w:pPr>
            <w:r>
              <w:rPr>
                <w:rFonts w:ascii="Times New Roman" w:cs="Times New Roman" w:eastAsia="Times New Roman" w:hAnsi="Times New Roman"/>
                <w:sz w:val="18"/>
                <w:szCs w:val="18"/>
                <w:color w:val="auto"/>
                <w:w w:val="99"/>
              </w:rPr>
              <w:t>Balance Sheet</w:t>
            </w:r>
          </w:p>
        </w:tc>
        <w:tc>
          <w:tcPr>
            <w:tcW w:w="180" w:type="dxa"/>
            <w:vAlign w:val="bottom"/>
          </w:tcPr>
          <w:p>
            <w:pPr>
              <w:spacing w:after="0"/>
              <w:rPr>
                <w:sz w:val="15"/>
                <w:szCs w:val="15"/>
                <w:color w:val="auto"/>
              </w:rPr>
            </w:pPr>
          </w:p>
        </w:tc>
        <w:tc>
          <w:tcPr>
            <w:tcW w:w="780" w:type="dxa"/>
            <w:vAlign w:val="bottom"/>
          </w:tcPr>
          <w:p>
            <w:pPr>
              <w:jc w:val="center"/>
              <w:ind w:right="90"/>
              <w:spacing w:after="0" w:line="177" w:lineRule="exact"/>
              <w:rPr>
                <w:sz w:val="20"/>
                <w:szCs w:val="20"/>
                <w:color w:val="auto"/>
              </w:rPr>
            </w:pPr>
            <w:r>
              <w:rPr>
                <w:rFonts w:ascii="Times New Roman" w:cs="Times New Roman" w:eastAsia="Times New Roman" w:hAnsi="Times New Roman"/>
                <w:sz w:val="18"/>
                <w:szCs w:val="18"/>
                <w:color w:val="auto"/>
                <w:w w:val="96"/>
              </w:rPr>
              <w:t>Fair</w:t>
            </w:r>
          </w:p>
        </w:tc>
        <w:tc>
          <w:tcPr>
            <w:tcW w:w="120" w:type="dxa"/>
            <w:vAlign w:val="bottom"/>
          </w:tcPr>
          <w:p>
            <w:pPr>
              <w:spacing w:after="0"/>
              <w:rPr>
                <w:sz w:val="15"/>
                <w:szCs w:val="15"/>
                <w:color w:val="auto"/>
              </w:rPr>
            </w:pPr>
          </w:p>
        </w:tc>
        <w:tc>
          <w:tcPr>
            <w:tcW w:w="18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Balance Sheet</w:t>
            </w:r>
          </w:p>
        </w:tc>
        <w:tc>
          <w:tcPr>
            <w:tcW w:w="380" w:type="dxa"/>
            <w:vAlign w:val="bottom"/>
          </w:tcPr>
          <w:p>
            <w:pPr>
              <w:spacing w:after="0"/>
              <w:rPr>
                <w:sz w:val="15"/>
                <w:szCs w:val="15"/>
                <w:color w:val="auto"/>
              </w:rPr>
            </w:pPr>
          </w:p>
        </w:tc>
        <w:tc>
          <w:tcPr>
            <w:tcW w:w="740" w:type="dxa"/>
            <w:vAlign w:val="bottom"/>
          </w:tcPr>
          <w:p>
            <w:pPr>
              <w:jc w:val="right"/>
              <w:ind w:right="250"/>
              <w:spacing w:after="0" w:line="177" w:lineRule="exact"/>
              <w:rPr>
                <w:sz w:val="20"/>
                <w:szCs w:val="20"/>
                <w:color w:val="auto"/>
              </w:rPr>
            </w:pPr>
            <w:r>
              <w:rPr>
                <w:rFonts w:ascii="Times New Roman" w:cs="Times New Roman" w:eastAsia="Times New Roman" w:hAnsi="Times New Roman"/>
                <w:sz w:val="18"/>
                <w:szCs w:val="18"/>
                <w:color w:val="auto"/>
              </w:rPr>
              <w:t>Fair</w:t>
            </w:r>
          </w:p>
        </w:tc>
      </w:tr>
      <w:tr>
        <w:trPr>
          <w:trHeight w:val="234"/>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Account</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2"/>
              </w:rPr>
              <w:t>Value</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Account</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Value</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2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184"/>
        </w:trPr>
        <w:tc>
          <w:tcPr>
            <w:tcW w:w="51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Asset derivatives:</w:t>
            </w:r>
          </w:p>
        </w:tc>
        <w:tc>
          <w:tcPr>
            <w:tcW w:w="202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color w:val="auto"/>
                <w:w w:val="99"/>
              </w:rPr>
              <w:t>Prepaid expenses and</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Prepaid expenses and</w:t>
            </w: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4"/>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2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r>
      <w:tr>
        <w:trPr>
          <w:trHeight w:val="184"/>
        </w:trPr>
        <w:tc>
          <w:tcPr>
            <w:tcW w:w="51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Liability derivatives:</w:t>
            </w:r>
          </w:p>
        </w:tc>
        <w:tc>
          <w:tcPr>
            <w:tcW w:w="2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34"/>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20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20" w:type="dxa"/>
            <w:vAlign w:val="bottom"/>
            <w:shd w:val="clear" w:color="auto" w:fill="CCEEFF"/>
          </w:tcPr>
          <w:p>
            <w:pPr>
              <w:spacing w:after="0"/>
              <w:rPr>
                <w:sz w:val="20"/>
                <w:szCs w:val="20"/>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Accrued expenses</w:t>
            </w: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184"/>
        </w:trPr>
        <w:tc>
          <w:tcPr>
            <w:tcW w:w="5160" w:type="dxa"/>
            <w:vAlign w:val="bottom"/>
          </w:tcPr>
          <w:p>
            <w:pPr>
              <w:spacing w:after="0"/>
              <w:rPr>
                <w:sz w:val="16"/>
                <w:szCs w:val="16"/>
                <w:color w:val="auto"/>
              </w:rPr>
            </w:pPr>
          </w:p>
        </w:tc>
        <w:tc>
          <w:tcPr>
            <w:tcW w:w="202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color w:val="auto"/>
              </w:rPr>
              <w:t>Other non-current</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Other non-current</w:t>
            </w: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4"/>
        </w:trPr>
        <w:tc>
          <w:tcPr>
            <w:tcW w:w="51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2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liabilities</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liabilities</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 (liability)</w:t>
            </w:r>
          </w:p>
        </w:tc>
        <w:tc>
          <w:tcPr>
            <w:tcW w:w="20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2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r>
    </w:tbl>
    <w:p>
      <w:pPr>
        <w:spacing w:after="0" w:line="171"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In the event that a counterparty to an aluminum fixed-price forward sales contract chooses not to take delivery of its aluminum extrusions, the customer is contractually obligated to compensate Aluminum Extrusions for any losses on the related aluminum futures and/or forward contracts through the date of cancellation.</w:t>
      </w:r>
    </w:p>
    <w:p>
      <w:pPr>
        <w:spacing w:after="0" w:line="41"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The Company's earnings are exposed to foreign currency exchange risk primarily through the translation of the financial statements of subsidiaries that have a functional currency other than the U.S. Dollar. The Company estimates that the net mismatch translation exposure for the Flexible Packaging Film's business unit in Brazil (“Terphane Ltda.”) of its sales and raw materials quoted or priced in U.S. Dollars and its variable conversion, fixed conversion and sales, general and administrative costs (before depreciation and amortization) quoted or priced in Brazilian Real ("R$") is annual net costs of R$150 million for the full year of 2022.</w:t>
      </w:r>
    </w:p>
    <w:p>
      <w:pPr>
        <w:spacing w:after="0" w:line="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Terphane Ltda. has the following outstanding foreign exchange average forward rate contracts to purchase Brazilian Real and sell U.S. Dollars: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2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Average Forward Rate</w:t>
            </w:r>
          </w:p>
        </w:tc>
        <w:tc>
          <w:tcPr>
            <w:tcW w:w="254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2380" w:type="dxa"/>
            <w:vAlign w:val="bottom"/>
            <w:tcBorders>
              <w:top w:val="single" w:sz="8" w:color="auto"/>
            </w:tcBorders>
          </w:tcPr>
          <w:p>
            <w:pPr>
              <w:jc w:val="center"/>
              <w:ind w:left="30"/>
              <w:spacing w:after="0" w:line="202" w:lineRule="exact"/>
              <w:rPr>
                <w:sz w:val="20"/>
                <w:szCs w:val="20"/>
                <w:color w:val="auto"/>
              </w:rPr>
            </w:pPr>
            <w:r>
              <w:rPr>
                <w:rFonts w:ascii="Times New Roman" w:cs="Times New Roman" w:eastAsia="Times New Roman" w:hAnsi="Times New Roman"/>
                <w:sz w:val="18"/>
                <w:szCs w:val="18"/>
                <w:color w:val="auto"/>
                <w:w w:val="99"/>
              </w:rPr>
              <w:t>Estimated % of Terphane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2040" w:type="dxa"/>
            <w:vAlign w:val="bottom"/>
            <w:vMerge w:val="continue"/>
          </w:tcPr>
          <w:p>
            <w:pPr>
              <w:spacing w:after="0"/>
              <w:rPr>
                <w:sz w:val="15"/>
                <w:szCs w:val="15"/>
                <w:color w:val="auto"/>
              </w:rPr>
            </w:pPr>
          </w:p>
        </w:tc>
        <w:tc>
          <w:tcPr>
            <w:tcW w:w="2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4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rPr>
              <w:t>Ltda. R$ Operating Cost</w:t>
            </w: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USD Notional Amount (000s)</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Contracted on USD/BRL</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 Equivalent Amount (000s)</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Applicable Month</w:t>
            </w:r>
          </w:p>
        </w:tc>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Exposure Hedged</w:t>
            </w:r>
          </w:p>
        </w:tc>
        <w:tc>
          <w:tcPr>
            <w:tcW w:w="0" w:type="dxa"/>
            <w:vAlign w:val="bottom"/>
          </w:tcPr>
          <w:p>
            <w:pPr>
              <w:spacing w:after="0"/>
              <w:rPr>
                <w:sz w:val="1"/>
                <w:szCs w:val="1"/>
                <w:color w:val="auto"/>
              </w:rPr>
            </w:pPr>
          </w:p>
        </w:tc>
      </w:tr>
      <w:tr>
        <w:trPr>
          <w:trHeight w:val="223"/>
        </w:trPr>
        <w:tc>
          <w:tcPr>
            <w:tcW w:w="2320" w:type="dxa"/>
            <w:vAlign w:val="bottom"/>
            <w:tcBorders>
              <w:top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$1,719</w:t>
            </w: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5.5200</w:t>
            </w:r>
          </w:p>
        </w:tc>
        <w:tc>
          <w:tcPr>
            <w:tcW w:w="2540" w:type="dxa"/>
            <w:vAlign w:val="bottom"/>
            <w:tcBorders>
              <w:top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R$9,489</w:t>
            </w: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Jul-22</w:t>
            </w:r>
          </w:p>
        </w:tc>
        <w:tc>
          <w:tcPr>
            <w:tcW w:w="238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$1,708</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5.5560</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R$9,490</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Aug-22</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$1,780</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5.5915</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R$9,953</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Sep-22</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$1,793</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5.6264</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R$10,088</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Oct-22</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$1,784</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5.6597</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R$10,097</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Nov-22</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$1,659</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5.6962</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R$9,450</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Dec-22</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$1,728</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5.4310</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R$9,385</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Jan-23</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$1,822</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5.4657</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R$9,959</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Feb-23</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$1,921</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5.4995</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R$10,565</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Mar-23</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$1,903</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5.5379</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R$10,539</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Apr-23</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$1,873</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5.5753</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R$10,443</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May-23</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$1,928</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5.6118</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R$10,820</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Jun-23</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$2,154</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5.6378</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R$12,144</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Jul-23</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$2,020</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5.6831</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R$11,480</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Aug-23</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$2,071</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5.7174</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R$11,841</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Sep-23</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$2,013</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5.7556</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R$11,586</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Oct-23</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$2,018</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5.7836</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R$11,671</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Nov-23</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$1,786</w:t>
            </w: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5.8312</w:t>
            </w:r>
          </w:p>
        </w:tc>
        <w:tc>
          <w:tcPr>
            <w:tcW w:w="25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R$10,414</w:t>
            </w: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Dec-23</w:t>
            </w:r>
          </w:p>
        </w:tc>
        <w:tc>
          <w:tcPr>
            <w:tcW w:w="23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$33,680</w:t>
            </w:r>
          </w:p>
        </w:tc>
        <w:tc>
          <w:tcPr>
            <w:tcW w:w="2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5.6239</w:t>
            </w:r>
          </w:p>
        </w:tc>
        <w:tc>
          <w:tcPr>
            <w:tcW w:w="254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R$189,414</w:t>
            </w:r>
          </w:p>
        </w:tc>
        <w:tc>
          <w:tcPr>
            <w:tcW w:w="1900" w:type="dxa"/>
            <w:vAlign w:val="bottom"/>
            <w:tcBorders>
              <w:bottom w:val="single" w:sz="8" w:color="auto"/>
            </w:tcBorders>
            <w:shd w:val="clear" w:color="auto" w:fill="CCEEFF"/>
          </w:tcPr>
          <w:p>
            <w:pPr>
              <w:spacing w:after="0"/>
              <w:rPr>
                <w:sz w:val="20"/>
                <w:szCs w:val="20"/>
                <w:color w:val="auto"/>
              </w:rPr>
            </w:pPr>
          </w:p>
        </w:tc>
        <w:tc>
          <w:tcPr>
            <w:tcW w:w="238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2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54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13</w:t>
            </w:r>
          </w:p>
        </w:tc>
        <w:tc>
          <w:tcPr>
            <w:tcW w:w="19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2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These foreign currency exchange contracts have been designated and qualify as cash flow hedges of Terphane Ltda.’s forecasted sales to customers quoted or priced in U.S. Dollars over that period. By changing the currency risk associated with these U.S. Dollar sales, the derivatives have the effect of offsetting operating costs quoted or priced in Brazilian Real and decreasing the net exposure to Brazilian Real in the condensed consolidated statements of income.</w:t>
      </w:r>
    </w:p>
    <w:p>
      <w:pPr>
        <w:spacing w:after="0" w:line="45" w:lineRule="exact"/>
        <w:rPr>
          <w:sz w:val="20"/>
          <w:szCs w:val="20"/>
          <w:color w:val="auto"/>
        </w:rPr>
      </w:pPr>
    </w:p>
    <w:p>
      <w:pPr>
        <w:ind w:right="100" w:firstLine="405"/>
        <w:spacing w:after="0" w:line="276" w:lineRule="auto"/>
        <w:rPr>
          <w:sz w:val="20"/>
          <w:szCs w:val="20"/>
          <w:color w:val="auto"/>
        </w:rPr>
      </w:pPr>
      <w:r>
        <w:rPr>
          <w:rFonts w:ascii="Times New Roman" w:cs="Times New Roman" w:eastAsia="Times New Roman" w:hAnsi="Times New Roman"/>
          <w:sz w:val="18"/>
          <w:szCs w:val="18"/>
          <w:color w:val="auto"/>
        </w:rPr>
        <w:t>The table below summarizes the location and gross amounts of foreign currency forward contract fair values (Level 2) in the condensed consolidated balance sheets as of June 30, 2022 and December 31, 2021:</w:t>
      </w:r>
    </w:p>
    <w:tbl>
      <w:tblPr>
        <w:tblLayout w:type="fixed"/>
        <w:tblInd w:w="0" w:type="dxa"/>
        <w:tblCellMar>
          <w:top w:w="0" w:type="dxa"/>
          <w:left w:w="0" w:type="dxa"/>
          <w:bottom w:w="0" w:type="dxa"/>
          <w:right w:w="0" w:type="dxa"/>
        </w:tblCellMar>
      </w:tblPr>
      <w:tr>
        <w:trPr>
          <w:trHeight w:val="238"/>
        </w:trPr>
        <w:tc>
          <w:tcPr>
            <w:tcW w:w="5160" w:type="dxa"/>
            <w:vAlign w:val="bottom"/>
            <w:tcBorders>
              <w:top w:val="single" w:sz="8" w:color="auto"/>
            </w:tcBorders>
          </w:tcPr>
          <w:p>
            <w:pPr>
              <w:spacing w:after="0"/>
              <w:rPr>
                <w:sz w:val="20"/>
                <w:szCs w:val="20"/>
                <w:color w:val="auto"/>
              </w:rPr>
            </w:pPr>
          </w:p>
        </w:tc>
        <w:tc>
          <w:tcPr>
            <w:tcW w:w="198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7"/>
              </w:rPr>
              <w:t>June 30, 2022</w:t>
            </w: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2021</w:t>
            </w:r>
          </w:p>
        </w:tc>
        <w:tc>
          <w:tcPr>
            <w:tcW w:w="760" w:type="dxa"/>
            <w:vAlign w:val="bottom"/>
            <w:tcBorders>
              <w:top w:val="single" w:sz="8" w:color="auto"/>
              <w:bottom w:val="single" w:sz="8" w:color="auto"/>
            </w:tcBorders>
          </w:tcPr>
          <w:p>
            <w:pPr>
              <w:spacing w:after="0"/>
              <w:rPr>
                <w:sz w:val="20"/>
                <w:szCs w:val="20"/>
                <w:color w:val="auto"/>
              </w:rPr>
            </w:pPr>
          </w:p>
        </w:tc>
      </w:tr>
      <w:tr>
        <w:trPr>
          <w:trHeight w:val="178"/>
        </w:trPr>
        <w:tc>
          <w:tcPr>
            <w:tcW w:w="5160" w:type="dxa"/>
            <w:vAlign w:val="bottom"/>
          </w:tcPr>
          <w:p>
            <w:pPr>
              <w:spacing w:after="0"/>
              <w:rPr>
                <w:sz w:val="15"/>
                <w:szCs w:val="15"/>
                <w:color w:val="auto"/>
              </w:rPr>
            </w:pPr>
          </w:p>
        </w:tc>
        <w:tc>
          <w:tcPr>
            <w:tcW w:w="1980" w:type="dxa"/>
            <w:vAlign w:val="bottom"/>
          </w:tcPr>
          <w:p>
            <w:pPr>
              <w:jc w:val="center"/>
              <w:ind w:right="30"/>
              <w:spacing w:after="0" w:line="177" w:lineRule="exact"/>
              <w:rPr>
                <w:sz w:val="20"/>
                <w:szCs w:val="20"/>
                <w:color w:val="auto"/>
              </w:rPr>
            </w:pPr>
            <w:r>
              <w:rPr>
                <w:rFonts w:ascii="Times New Roman" w:cs="Times New Roman" w:eastAsia="Times New Roman" w:hAnsi="Times New Roman"/>
                <w:sz w:val="18"/>
                <w:szCs w:val="18"/>
                <w:color w:val="auto"/>
                <w:w w:val="99"/>
              </w:rPr>
              <w:t>Balance Sheet</w:t>
            </w:r>
          </w:p>
        </w:tc>
        <w:tc>
          <w:tcPr>
            <w:tcW w:w="200" w:type="dxa"/>
            <w:vAlign w:val="bottom"/>
          </w:tcPr>
          <w:p>
            <w:pPr>
              <w:spacing w:after="0"/>
              <w:rPr>
                <w:sz w:val="15"/>
                <w:szCs w:val="15"/>
                <w:color w:val="auto"/>
              </w:rPr>
            </w:pPr>
          </w:p>
        </w:tc>
        <w:tc>
          <w:tcPr>
            <w:tcW w:w="780" w:type="dxa"/>
            <w:vAlign w:val="bottom"/>
          </w:tcPr>
          <w:p>
            <w:pPr>
              <w:jc w:val="center"/>
              <w:ind w:right="110"/>
              <w:spacing w:after="0" w:line="177" w:lineRule="exact"/>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5"/>
                <w:szCs w:val="15"/>
                <w:color w:val="auto"/>
              </w:rPr>
            </w:pPr>
          </w:p>
        </w:tc>
        <w:tc>
          <w:tcPr>
            <w:tcW w:w="1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Balance Sheet</w:t>
            </w:r>
          </w:p>
        </w:tc>
        <w:tc>
          <w:tcPr>
            <w:tcW w:w="380" w:type="dxa"/>
            <w:vAlign w:val="bottom"/>
          </w:tcPr>
          <w:p>
            <w:pPr>
              <w:spacing w:after="0"/>
              <w:rPr>
                <w:sz w:val="15"/>
                <w:szCs w:val="15"/>
                <w:color w:val="auto"/>
              </w:rPr>
            </w:pPr>
          </w:p>
        </w:tc>
        <w:tc>
          <w:tcPr>
            <w:tcW w:w="760" w:type="dxa"/>
            <w:vAlign w:val="bottom"/>
          </w:tcPr>
          <w:p>
            <w:pPr>
              <w:jc w:val="center"/>
              <w:ind w:right="170"/>
              <w:spacing w:after="0" w:line="177" w:lineRule="exact"/>
              <w:rPr>
                <w:sz w:val="20"/>
                <w:szCs w:val="20"/>
                <w:color w:val="auto"/>
              </w:rPr>
            </w:pPr>
            <w:r>
              <w:rPr>
                <w:rFonts w:ascii="Times New Roman" w:cs="Times New Roman" w:eastAsia="Times New Roman" w:hAnsi="Times New Roman"/>
                <w:sz w:val="18"/>
                <w:szCs w:val="18"/>
                <w:color w:val="auto"/>
              </w:rPr>
              <w:t>Fair</w:t>
            </w:r>
          </w:p>
        </w:tc>
      </w:tr>
      <w:tr>
        <w:trPr>
          <w:trHeight w:val="234"/>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Account</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Value</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Account</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184"/>
        </w:trPr>
        <w:tc>
          <w:tcPr>
            <w:tcW w:w="51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Asset derivatives:</w:t>
            </w:r>
          </w:p>
        </w:tc>
        <w:tc>
          <w:tcPr>
            <w:tcW w:w="198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color w:val="auto"/>
                <w:w w:val="99"/>
              </w:rPr>
              <w:t>Prepaid expenses and</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Prepaid expenses and</w:t>
            </w: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4"/>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9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9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Other assets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51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Liability derivatives:</w:t>
            </w:r>
          </w:p>
        </w:tc>
        <w:tc>
          <w:tcPr>
            <w:tcW w:w="1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4"/>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9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r>
      <w:tr>
        <w:trPr>
          <w:trHeight w:val="184"/>
        </w:trPr>
        <w:tc>
          <w:tcPr>
            <w:tcW w:w="5160" w:type="dxa"/>
            <w:vAlign w:val="bottom"/>
            <w:shd w:val="clear" w:color="auto" w:fill="CCEEFF"/>
          </w:tcPr>
          <w:p>
            <w:pPr>
              <w:spacing w:after="0"/>
              <w:rPr>
                <w:sz w:val="16"/>
                <w:szCs w:val="16"/>
                <w:color w:val="auto"/>
              </w:rPr>
            </w:pPr>
          </w:p>
        </w:tc>
        <w:tc>
          <w:tcPr>
            <w:tcW w:w="1980" w:type="dxa"/>
            <w:vAlign w:val="bottom"/>
            <w:shd w:val="clear" w:color="auto" w:fill="CCEEFF"/>
          </w:tcPr>
          <w:p>
            <w:pPr>
              <w:jc w:val="center"/>
              <w:ind w:right="30"/>
              <w:spacing w:after="0" w:line="184" w:lineRule="exact"/>
              <w:rPr>
                <w:sz w:val="20"/>
                <w:szCs w:val="20"/>
                <w:color w:val="auto"/>
              </w:rPr>
            </w:pPr>
            <w:r>
              <w:rPr>
                <w:rFonts w:ascii="Times New Roman" w:cs="Times New Roman" w:eastAsia="Times New Roman" w:hAnsi="Times New Roman"/>
                <w:sz w:val="18"/>
                <w:szCs w:val="18"/>
                <w:color w:val="auto"/>
              </w:rPr>
              <w:t>Other non-current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8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rPr>
              <w:t>Other non-current</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34"/>
        </w:trPr>
        <w:tc>
          <w:tcPr>
            <w:tcW w:w="51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98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liabilities</w:t>
            </w: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auto"/>
            </w:tcBorders>
            <w:shd w:val="clear" w:color="auto" w:fill="CCEEFF"/>
          </w:tcPr>
          <w:p>
            <w:pPr>
              <w:spacing w:after="0"/>
              <w:rPr>
                <w:sz w:val="20"/>
                <w:szCs w:val="20"/>
                <w:color w:val="auto"/>
              </w:rPr>
            </w:pPr>
          </w:p>
        </w:tc>
        <w:tc>
          <w:tcPr>
            <w:tcW w:w="18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liabilities</w:t>
            </w:r>
          </w:p>
        </w:tc>
        <w:tc>
          <w:tcPr>
            <w:tcW w:w="3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asset (liability)</w:t>
            </w:r>
          </w:p>
        </w:tc>
        <w:tc>
          <w:tcPr>
            <w:tcW w:w="1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w:t>
            </w:r>
          </w:p>
        </w:tc>
      </w:tr>
    </w:tbl>
    <w:p>
      <w:pPr>
        <w:spacing w:after="0" w:line="171" w:lineRule="exact"/>
        <w:rPr>
          <w:sz w:val="20"/>
          <w:szCs w:val="20"/>
          <w:color w:val="auto"/>
        </w:rPr>
      </w:pPr>
    </w:p>
    <w:p>
      <w:pPr>
        <w:ind w:right="280" w:firstLine="405"/>
        <w:spacing w:after="0" w:line="258" w:lineRule="auto"/>
        <w:rPr>
          <w:sz w:val="20"/>
          <w:szCs w:val="20"/>
          <w:color w:val="auto"/>
        </w:rPr>
      </w:pPr>
      <w:r>
        <w:rPr>
          <w:rFonts w:ascii="Times New Roman" w:cs="Times New Roman" w:eastAsia="Times New Roman" w:hAnsi="Times New Roman"/>
          <w:sz w:val="18"/>
          <w:szCs w:val="18"/>
          <w:color w:val="auto"/>
        </w:rPr>
        <w:t>These derivative contracts involve elements of market risk that are not reflected on the condensed consolidated balance sheet, including the risk of dealing with counterparties and their ability to meet the terms of the contracts. The counterparties to any forward purchase commitments are major aluminum brokers and suppliers, and the counterparties to any aluminum futures contracts are major financial institutions. Fixed-price forward sales contracts are only made available to the best and most credit-worthy customers. The counterparties to the Company’s foreign currency cash flow hedge contracts are major financial institutions.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 w:name="page16"/>
    <w:bookmarkEnd w:id="15"/>
    <w:p>
      <w:pPr>
        <w:ind w:right="80" w:firstLine="405"/>
        <w:spacing w:after="0" w:line="276" w:lineRule="auto"/>
        <w:rPr>
          <w:sz w:val="20"/>
          <w:szCs w:val="20"/>
          <w:color w:val="auto"/>
        </w:rPr>
      </w:pPr>
      <w:r>
        <w:rPr>
          <w:rFonts w:ascii="Times New Roman" w:cs="Times New Roman" w:eastAsia="Times New Roman" w:hAnsi="Times New Roman"/>
          <w:sz w:val="18"/>
          <w:szCs w:val="18"/>
          <w:color w:val="auto"/>
        </w:rPr>
        <w:t>The pre-tax effect on net income (loss) and other comprehensive income (loss) of derivative instruments classified as cash flow hedges and described in the previous paragraphs for the three and six month periods ended June 30, 2022 and 2021 is summarized in the table below:</w:t>
      </w:r>
    </w:p>
    <w:tbl>
      <w:tblPr>
        <w:tblLayout w:type="fixed"/>
        <w:tblInd w:w="0" w:type="dxa"/>
        <w:tblCellMar>
          <w:top w:w="0" w:type="dxa"/>
          <w:left w:w="0" w:type="dxa"/>
          <w:bottom w:w="0" w:type="dxa"/>
          <w:right w:w="0" w:type="dxa"/>
        </w:tblCellMar>
      </w:tblPr>
      <w:tr>
        <w:trPr>
          <w:trHeight w:val="238"/>
        </w:trPr>
        <w:tc>
          <w:tcPr>
            <w:tcW w:w="53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2240" w:type="dxa"/>
            <w:vAlign w:val="bottom"/>
            <w:tcBorders>
              <w:top w:val="single" w:sz="8" w:color="auto"/>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Cash Flow Derivative Hedges</w:t>
            </w:r>
          </w:p>
        </w:tc>
        <w:tc>
          <w:tcPr>
            <w:tcW w:w="64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6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3"/>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rPr>
              <w:t>Aluminum Futures</w:t>
            </w:r>
          </w:p>
        </w:tc>
        <w:tc>
          <w:tcPr>
            <w:tcW w:w="1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rPr>
              <w:t>Contracts</w:t>
            </w:r>
          </w:p>
        </w:tc>
        <w:tc>
          <w:tcPr>
            <w:tcW w:w="1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5"/>
          </w:tcPr>
          <w:p>
            <w:pPr>
              <w:ind w:left="800"/>
              <w:spacing w:after="0"/>
              <w:rPr>
                <w:sz w:val="20"/>
                <w:szCs w:val="20"/>
                <w:color w:val="auto"/>
              </w:rPr>
            </w:pPr>
            <w:r>
              <w:rPr>
                <w:rFonts w:ascii="Times New Roman" w:cs="Times New Roman" w:eastAsia="Times New Roman" w:hAnsi="Times New Roman"/>
                <w:sz w:val="18"/>
                <w:szCs w:val="18"/>
                <w:color w:val="auto"/>
              </w:rPr>
              <w:t>Foreign Currency Forwards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2022</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2021</w:t>
            </w:r>
          </w:p>
        </w:tc>
        <w:tc>
          <w:tcPr>
            <w:tcW w:w="16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8"/>
                <w:szCs w:val="18"/>
                <w:color w:val="auto"/>
                <w:w w:val="94"/>
              </w:rPr>
              <w:t>2021</w:t>
            </w:r>
          </w:p>
        </w:tc>
        <w:tc>
          <w:tcPr>
            <w:tcW w:w="0" w:type="dxa"/>
            <w:vAlign w:val="bottom"/>
          </w:tcPr>
          <w:p>
            <w:pPr>
              <w:spacing w:after="0"/>
              <w:rPr>
                <w:sz w:val="1"/>
                <w:szCs w:val="1"/>
                <w:color w:val="auto"/>
              </w:rPr>
            </w:pPr>
          </w:p>
        </w:tc>
      </w:tr>
      <w:tr>
        <w:trPr>
          <w:trHeight w:val="169"/>
        </w:trPr>
        <w:tc>
          <w:tcPr>
            <w:tcW w:w="53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Amount of pre-tax gain (loss) recognized in other comprehensive</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60" w:type="dxa"/>
            <w:vAlign w:val="bottom"/>
            <w:tcBorders>
              <w:right w:val="single" w:sz="8" w:color="auto"/>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176"/>
        </w:trPr>
        <w:tc>
          <w:tcPr>
            <w:tcW w:w="5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Location of gain (loss) reclassified from accumulated other</w:t>
            </w:r>
          </w:p>
        </w:tc>
        <w:tc>
          <w:tcPr>
            <w:tcW w:w="160" w:type="dxa"/>
            <w:vAlign w:val="bottom"/>
          </w:tcPr>
          <w:p>
            <w:pPr>
              <w:spacing w:after="0"/>
              <w:rPr>
                <w:sz w:val="15"/>
                <w:szCs w:val="15"/>
                <w:color w:val="auto"/>
              </w:rPr>
            </w:pPr>
          </w:p>
        </w:tc>
        <w:tc>
          <w:tcPr>
            <w:tcW w:w="82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8"/>
              </w:rPr>
              <w:t>Cost of</w:t>
            </w:r>
          </w:p>
        </w:tc>
        <w:tc>
          <w:tcPr>
            <w:tcW w:w="200" w:type="dxa"/>
            <w:vAlign w:val="bottom"/>
          </w:tcPr>
          <w:p>
            <w:pPr>
              <w:spacing w:after="0"/>
              <w:rPr>
                <w:sz w:val="15"/>
                <w:szCs w:val="15"/>
                <w:color w:val="auto"/>
              </w:rPr>
            </w:pPr>
          </w:p>
        </w:tc>
        <w:tc>
          <w:tcPr>
            <w:tcW w:w="7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Cost of</w:t>
            </w: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Cost of</w:t>
            </w:r>
          </w:p>
        </w:tc>
        <w:tc>
          <w:tcPr>
            <w:tcW w:w="96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rPr>
              <w:t>Selling,</w:t>
            </w:r>
          </w:p>
        </w:tc>
        <w:tc>
          <w:tcPr>
            <w:tcW w:w="140" w:type="dxa"/>
            <w:vAlign w:val="bottom"/>
          </w:tcPr>
          <w:p>
            <w:pPr>
              <w:spacing w:after="0"/>
              <w:rPr>
                <w:sz w:val="15"/>
                <w:szCs w:val="15"/>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Cost of</w:t>
            </w:r>
          </w:p>
        </w:tc>
        <w:tc>
          <w:tcPr>
            <w:tcW w:w="300" w:type="dxa"/>
            <w:vAlign w:val="bottom"/>
          </w:tcPr>
          <w:p>
            <w:pPr>
              <w:spacing w:after="0"/>
              <w:rPr>
                <w:sz w:val="15"/>
                <w:szCs w:val="15"/>
                <w:color w:val="auto"/>
              </w:rPr>
            </w:pPr>
          </w:p>
        </w:tc>
        <w:tc>
          <w:tcPr>
            <w:tcW w:w="86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Selling,</w:t>
            </w:r>
          </w:p>
        </w:tc>
        <w:tc>
          <w:tcPr>
            <w:tcW w:w="0" w:type="dxa"/>
            <w:vAlign w:val="bottom"/>
          </w:tcPr>
          <w:p>
            <w:pPr>
              <w:spacing w:after="0"/>
              <w:rPr>
                <w:sz w:val="1"/>
                <w:szCs w:val="1"/>
                <w:color w:val="auto"/>
              </w:rPr>
            </w:pPr>
          </w:p>
        </w:tc>
      </w:tr>
      <w:tr>
        <w:trPr>
          <w:trHeight w:val="176"/>
        </w:trPr>
        <w:tc>
          <w:tcPr>
            <w:tcW w:w="5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comprehensive income (loss) into net income (effective portion)</w:t>
            </w: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96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rPr>
              <w:t>general &amp;</w:t>
            </w:r>
          </w:p>
        </w:tc>
        <w:tc>
          <w:tcPr>
            <w:tcW w:w="1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general &amp;</w:t>
            </w:r>
          </w:p>
        </w:tc>
        <w:tc>
          <w:tcPr>
            <w:tcW w:w="0" w:type="dxa"/>
            <w:vAlign w:val="bottom"/>
          </w:tcPr>
          <w:p>
            <w:pPr>
              <w:spacing w:after="0"/>
              <w:rPr>
                <w:sz w:val="1"/>
                <w:szCs w:val="1"/>
                <w:color w:val="auto"/>
              </w:rPr>
            </w:pPr>
          </w:p>
        </w:tc>
      </w:tr>
      <w:tr>
        <w:trPr>
          <w:trHeight w:val="239"/>
        </w:trPr>
        <w:tc>
          <w:tcPr>
            <w:tcW w:w="5320" w:type="dxa"/>
            <w:vAlign w:val="bottom"/>
          </w:tcPr>
          <w:p>
            <w:pPr>
              <w:spacing w:after="0"/>
              <w:rPr>
                <w:sz w:val="20"/>
                <w:szCs w:val="20"/>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goods sold</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goods sold</w:t>
            </w:r>
          </w:p>
        </w:tc>
        <w:tc>
          <w:tcPr>
            <w:tcW w:w="160" w:type="dxa"/>
            <w:vAlign w:val="bottom"/>
            <w:tcBorders>
              <w:right w:val="single" w:sz="8" w:color="auto"/>
            </w:tcBorders>
          </w:tcPr>
          <w:p>
            <w:pPr>
              <w:spacing w:after="0"/>
              <w:rPr>
                <w:sz w:val="20"/>
                <w:szCs w:val="20"/>
                <w:color w:val="auto"/>
              </w:rPr>
            </w:pPr>
          </w:p>
        </w:tc>
        <w:tc>
          <w:tcPr>
            <w:tcW w:w="98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goods sold</w:t>
            </w:r>
          </w:p>
        </w:tc>
        <w:tc>
          <w:tcPr>
            <w:tcW w:w="9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admin</w:t>
            </w:r>
          </w:p>
        </w:tc>
        <w:tc>
          <w:tcPr>
            <w:tcW w:w="108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color w:val="auto"/>
              </w:rPr>
              <w:t>goods sold</w:t>
            </w:r>
          </w:p>
        </w:tc>
        <w:tc>
          <w:tcPr>
            <w:tcW w:w="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admin</w:t>
            </w:r>
          </w:p>
        </w:tc>
        <w:tc>
          <w:tcPr>
            <w:tcW w:w="0" w:type="dxa"/>
            <w:vAlign w:val="bottom"/>
          </w:tcPr>
          <w:p>
            <w:pPr>
              <w:spacing w:after="0"/>
              <w:rPr>
                <w:sz w:val="1"/>
                <w:szCs w:val="1"/>
                <w:color w:val="auto"/>
              </w:rPr>
            </w:pPr>
          </w:p>
        </w:tc>
      </w:tr>
      <w:tr>
        <w:trPr>
          <w:trHeight w:val="180"/>
        </w:trPr>
        <w:tc>
          <w:tcPr>
            <w:tcW w:w="53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Amount of pre-tax gain (loss) reclassified from accumulated other</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to net income (effective portion)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60" w:type="dxa"/>
            <w:vAlign w:val="bottom"/>
            <w:tcBorders>
              <w:bottom w:val="single" w:sz="8" w:color="auto"/>
              <w:right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15 $</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532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16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Six Months Ended June 30,</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3"/>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rPr>
              <w:t>Aluminum Futures</w:t>
            </w:r>
          </w:p>
        </w:tc>
        <w:tc>
          <w:tcPr>
            <w:tcW w:w="1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rPr>
              <w:t>Contracts</w:t>
            </w:r>
          </w:p>
        </w:tc>
        <w:tc>
          <w:tcPr>
            <w:tcW w:w="1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5"/>
          </w:tcPr>
          <w:p>
            <w:pPr>
              <w:ind w:left="800"/>
              <w:spacing w:after="0"/>
              <w:rPr>
                <w:sz w:val="20"/>
                <w:szCs w:val="20"/>
                <w:color w:val="auto"/>
              </w:rPr>
            </w:pPr>
            <w:r>
              <w:rPr>
                <w:rFonts w:ascii="Times New Roman" w:cs="Times New Roman" w:eastAsia="Times New Roman" w:hAnsi="Times New Roman"/>
                <w:sz w:val="18"/>
                <w:szCs w:val="18"/>
                <w:color w:val="auto"/>
              </w:rPr>
              <w:t>Foreign Currency Forwards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2022</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2021</w:t>
            </w:r>
          </w:p>
        </w:tc>
        <w:tc>
          <w:tcPr>
            <w:tcW w:w="16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8"/>
                <w:szCs w:val="18"/>
                <w:color w:val="auto"/>
                <w:w w:val="94"/>
              </w:rPr>
              <w:t>2021</w:t>
            </w:r>
          </w:p>
        </w:tc>
        <w:tc>
          <w:tcPr>
            <w:tcW w:w="0" w:type="dxa"/>
            <w:vAlign w:val="bottom"/>
          </w:tcPr>
          <w:p>
            <w:pPr>
              <w:spacing w:after="0"/>
              <w:rPr>
                <w:sz w:val="1"/>
                <w:szCs w:val="1"/>
                <w:color w:val="auto"/>
              </w:rPr>
            </w:pPr>
          </w:p>
        </w:tc>
      </w:tr>
      <w:tr>
        <w:trPr>
          <w:trHeight w:val="169"/>
        </w:trPr>
        <w:tc>
          <w:tcPr>
            <w:tcW w:w="532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8"/>
                <w:szCs w:val="18"/>
                <w:color w:val="auto"/>
              </w:rPr>
              <w:t>Amount of pre-tax gain (loss) recognized in other comprehensive</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60" w:type="dxa"/>
            <w:vAlign w:val="bottom"/>
            <w:tcBorders>
              <w:right w:val="single" w:sz="8" w:color="auto"/>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2,063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176"/>
        </w:trPr>
        <w:tc>
          <w:tcPr>
            <w:tcW w:w="53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Location of gain (loss) reclassified from accumulated other</w:t>
            </w:r>
          </w:p>
        </w:tc>
        <w:tc>
          <w:tcPr>
            <w:tcW w:w="160" w:type="dxa"/>
            <w:vAlign w:val="bottom"/>
          </w:tcPr>
          <w:p>
            <w:pPr>
              <w:spacing w:after="0"/>
              <w:rPr>
                <w:sz w:val="15"/>
                <w:szCs w:val="15"/>
                <w:color w:val="auto"/>
              </w:rPr>
            </w:pPr>
          </w:p>
        </w:tc>
        <w:tc>
          <w:tcPr>
            <w:tcW w:w="82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8"/>
              </w:rPr>
              <w:t>Cost of</w:t>
            </w:r>
          </w:p>
        </w:tc>
        <w:tc>
          <w:tcPr>
            <w:tcW w:w="200" w:type="dxa"/>
            <w:vAlign w:val="bottom"/>
          </w:tcPr>
          <w:p>
            <w:pPr>
              <w:spacing w:after="0"/>
              <w:rPr>
                <w:sz w:val="15"/>
                <w:szCs w:val="15"/>
                <w:color w:val="auto"/>
              </w:rPr>
            </w:pPr>
          </w:p>
        </w:tc>
        <w:tc>
          <w:tcPr>
            <w:tcW w:w="7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Cost of</w:t>
            </w: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Cost of</w:t>
            </w:r>
          </w:p>
        </w:tc>
        <w:tc>
          <w:tcPr>
            <w:tcW w:w="96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rPr>
              <w:t>Selling,</w:t>
            </w:r>
          </w:p>
        </w:tc>
        <w:tc>
          <w:tcPr>
            <w:tcW w:w="140" w:type="dxa"/>
            <w:vAlign w:val="bottom"/>
          </w:tcPr>
          <w:p>
            <w:pPr>
              <w:spacing w:after="0"/>
              <w:rPr>
                <w:sz w:val="15"/>
                <w:szCs w:val="15"/>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Cost of</w:t>
            </w:r>
          </w:p>
        </w:tc>
        <w:tc>
          <w:tcPr>
            <w:tcW w:w="300" w:type="dxa"/>
            <w:vAlign w:val="bottom"/>
          </w:tcPr>
          <w:p>
            <w:pPr>
              <w:spacing w:after="0"/>
              <w:rPr>
                <w:sz w:val="15"/>
                <w:szCs w:val="15"/>
                <w:color w:val="auto"/>
              </w:rPr>
            </w:pPr>
          </w:p>
        </w:tc>
        <w:tc>
          <w:tcPr>
            <w:tcW w:w="86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Selling,</w:t>
            </w:r>
          </w:p>
        </w:tc>
        <w:tc>
          <w:tcPr>
            <w:tcW w:w="0" w:type="dxa"/>
            <w:vAlign w:val="bottom"/>
          </w:tcPr>
          <w:p>
            <w:pPr>
              <w:spacing w:after="0"/>
              <w:rPr>
                <w:sz w:val="1"/>
                <w:szCs w:val="1"/>
                <w:color w:val="auto"/>
              </w:rPr>
            </w:pPr>
          </w:p>
        </w:tc>
      </w:tr>
      <w:tr>
        <w:trPr>
          <w:trHeight w:val="175"/>
        </w:trPr>
        <w:tc>
          <w:tcPr>
            <w:tcW w:w="53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comprehensive income (loss) into net income (effective portion)</w:t>
            </w: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96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rPr>
              <w:t>general &amp;</w:t>
            </w:r>
          </w:p>
        </w:tc>
        <w:tc>
          <w:tcPr>
            <w:tcW w:w="1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general &amp;</w:t>
            </w:r>
          </w:p>
        </w:tc>
        <w:tc>
          <w:tcPr>
            <w:tcW w:w="0" w:type="dxa"/>
            <w:vAlign w:val="bottom"/>
          </w:tcPr>
          <w:p>
            <w:pPr>
              <w:spacing w:after="0"/>
              <w:rPr>
                <w:sz w:val="1"/>
                <w:szCs w:val="1"/>
                <w:color w:val="auto"/>
              </w:rPr>
            </w:pPr>
          </w:p>
        </w:tc>
      </w:tr>
      <w:tr>
        <w:trPr>
          <w:trHeight w:val="239"/>
        </w:trPr>
        <w:tc>
          <w:tcPr>
            <w:tcW w:w="5320" w:type="dxa"/>
            <w:vAlign w:val="bottom"/>
          </w:tcPr>
          <w:p>
            <w:pPr>
              <w:spacing w:after="0"/>
              <w:rPr>
                <w:sz w:val="20"/>
                <w:szCs w:val="20"/>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goods sold</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goods sold</w:t>
            </w:r>
          </w:p>
        </w:tc>
        <w:tc>
          <w:tcPr>
            <w:tcW w:w="160" w:type="dxa"/>
            <w:vAlign w:val="bottom"/>
            <w:tcBorders>
              <w:right w:val="single" w:sz="8" w:color="auto"/>
            </w:tcBorders>
          </w:tcPr>
          <w:p>
            <w:pPr>
              <w:spacing w:after="0"/>
              <w:rPr>
                <w:sz w:val="20"/>
                <w:szCs w:val="20"/>
                <w:color w:val="auto"/>
              </w:rPr>
            </w:pPr>
          </w:p>
        </w:tc>
        <w:tc>
          <w:tcPr>
            <w:tcW w:w="98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goods sold</w:t>
            </w:r>
          </w:p>
        </w:tc>
        <w:tc>
          <w:tcPr>
            <w:tcW w:w="9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admin</w:t>
            </w:r>
          </w:p>
        </w:tc>
        <w:tc>
          <w:tcPr>
            <w:tcW w:w="108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color w:val="auto"/>
              </w:rPr>
              <w:t>goods sold</w:t>
            </w:r>
          </w:p>
        </w:tc>
        <w:tc>
          <w:tcPr>
            <w:tcW w:w="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admin</w:t>
            </w:r>
          </w:p>
        </w:tc>
        <w:tc>
          <w:tcPr>
            <w:tcW w:w="0" w:type="dxa"/>
            <w:vAlign w:val="bottom"/>
          </w:tcPr>
          <w:p>
            <w:pPr>
              <w:spacing w:after="0"/>
              <w:rPr>
                <w:sz w:val="1"/>
                <w:szCs w:val="1"/>
                <w:color w:val="auto"/>
              </w:rPr>
            </w:pPr>
          </w:p>
        </w:tc>
      </w:tr>
      <w:tr>
        <w:trPr>
          <w:trHeight w:val="180"/>
        </w:trPr>
        <w:tc>
          <w:tcPr>
            <w:tcW w:w="5320" w:type="dxa"/>
            <w:vAlign w:val="bottom"/>
            <w:shd w:val="clear" w:color="auto" w:fill="CCEEFF"/>
          </w:tcPr>
          <w:p>
            <w:pPr>
              <w:ind w:left="180"/>
              <w:spacing w:after="0" w:line="180" w:lineRule="exact"/>
              <w:rPr>
                <w:sz w:val="20"/>
                <w:szCs w:val="20"/>
                <w:color w:val="auto"/>
              </w:rPr>
            </w:pPr>
            <w:r>
              <w:rPr>
                <w:rFonts w:ascii="Times New Roman" w:cs="Times New Roman" w:eastAsia="Times New Roman" w:hAnsi="Times New Roman"/>
                <w:sz w:val="18"/>
                <w:szCs w:val="18"/>
                <w:color w:val="auto"/>
              </w:rPr>
              <w:t>Amount of pre-tax gain (loss) reclassified from accumulated other</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 (loss) to net income (effective portion)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60" w:type="dxa"/>
            <w:vAlign w:val="bottom"/>
            <w:tcBorders>
              <w:bottom w:val="single" w:sz="8" w:color="auto"/>
              <w:right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30 $</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669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33</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As of June 30, 2022, the Company expects $1.0 million of unrealized after-tax losses on aluminum and foreign currency derivative instruments reported in accumulated other comprehensive income (loss) to be reclassified to earnings within the next 12 months. For the three and six month periods ended June 30, 2022 and 2021, net gains or losses realized, from previously unrealized net gains or losses on hedges that had been discontinued, were not material.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94"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Tredegar recorded tax expense of $6.3 million on pre-tax income from continuing operations of $37.6 million in the first six months of 2022. Therefore, the effective tax rate in the first six months of 2022 was 16.9%, compared to 22.5% in the first six months of 2021. The decrease in the effective tax rate for continuing operations is primarily due to a discrete benefit recorded in the first quarter of 2022 resulting from the implementation of new U.S. tax regulations associated with foreign tax credits published by the U.S. Treasury and Internal Revenue Service on January 4, 2022. These regulations overhaul various components of the foreign tax credit regime including the determination of creditable foreign taxes and limit the amount of foreign taxes that are creditable against U.S. income taxes. As the result of these regulations, future Brazilian income tax will be deductible, but not creditable, in the U.S. The accounting rules require a reduction of the U.S. deferred tax liability previously established related to anticipated future income from Brazil. The tax effect of the reduction of the U.S. deferred tax liability resulted in the discrete tax benefit described above. This one-time discrete benefit is expected to reduce the effective tax rate for the remainder of 2022, which will be offset by an expected increase to the effective tax rate as the result of Brazilian income tax no longer being creditable in the U.S. for the foreseeable future. Total deferred tax assets declined during the second quarter of 2022 compared to December 31, 2021 primarily due to changes in other comprehensive income and the projected utilization of foreign tax credits partially offset by the change in the deferred tax liability discussed above.</w:t>
      </w:r>
    </w:p>
    <w:p>
      <w:pPr>
        <w:spacing w:after="0" w:line="68"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Tredegar accrues U.S. federal income taxes on unremitted earnings of foreign subsidiaries where required. However, due to changes in the taxation of dividends under the U.S. Tax Cuts and Jobs Act of 2017, Tredegar will only record U.S. federal income taxes on unremitted earnings of its foreign subsidiaries where Tredegar cannot take steps to eliminate any potential tax on future distributions from its foreign subsidiaries.</w:t>
      </w:r>
    </w:p>
    <w:p>
      <w:pPr>
        <w:spacing w:after="0" w:line="54"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The Brazilian federal statutory income tax rate is a composite of 34.0% (25.0% of income tax and 9.0% of social contribution on income). Terphane Ltda.’s manufacturing facility in Brazil is the beneficiary of certain income tax incentives that allow for a reduction in the statutory Brazilian federal income tax rate to 15.25% levied on the operating profit on certain of</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ind w:right="160"/>
        <w:spacing w:after="0" w:line="282" w:lineRule="auto"/>
        <w:rPr>
          <w:sz w:val="20"/>
          <w:szCs w:val="20"/>
          <w:color w:val="auto"/>
        </w:rPr>
      </w:pPr>
      <w:r>
        <w:rPr>
          <w:rFonts w:ascii="Times New Roman" w:cs="Times New Roman" w:eastAsia="Times New Roman" w:hAnsi="Times New Roman"/>
          <w:sz w:val="18"/>
          <w:szCs w:val="18"/>
          <w:color w:val="auto"/>
        </w:rPr>
        <w:t>its products. The incentives have been granted for a 13-year period, from the commencement date of January 1, 2015. The benefit from the tax incentives was $2.6 million in the first six months of 2022 and $5.9 million in 2021.</w:t>
      </w:r>
    </w:p>
    <w:p>
      <w:pPr>
        <w:spacing w:after="0" w:line="27"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Tredegar and its subsidiaries file income tax returns in the U.S., various states, and jurisdictions outside the U.S. With exceptions for some U.S. states and non-U.S. jurisdictions, Tredegar and its subsidiaries as of June 30, 2022 are no longer subject to U.S. federal, state or non-U.S. income tax examinations by tax authorities for years before 2018.</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BUSINESS SEGMENTS</w:t>
      </w:r>
    </w:p>
    <w:p>
      <w:pPr>
        <w:spacing w:after="0" w:line="108"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The Company’s business segments are Aluminum Extrusions, PE Films, and Flexible Packaging Films. Information by business segment is reported below. There are no accounting transactions between segments and no allocations to segments.</w:t>
      </w:r>
    </w:p>
    <w:p>
      <w:pPr>
        <w:spacing w:after="0" w:line="40"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Company’s reportable segments are based on its method of internal reporting, which is generally segregated by differences in products. Accounting standards for presentation of segments require an approach based on the way the Company organizes the segments for making operating decisions and how the chief operating decision maker (“CODM”) assesses performance. EBITDA from ongoing operations is the key profitability measure used by the CODM (Tredegar’s President and Chief Executive Officer) for purposes of assessing financial performance. The Company uses sales less freight (“net sales”) from continuing operations as its measure of revenues from external customers at the segment level. This measure is separately included in the financial information regularly provided to the CODM.</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7" w:name="page18"/>
    <w:bookmarkEnd w:id="17"/>
    <w:p>
      <w:pPr>
        <w:ind w:left="420"/>
        <w:spacing w:after="0"/>
        <w:rPr>
          <w:sz w:val="20"/>
          <w:szCs w:val="20"/>
          <w:color w:val="auto"/>
        </w:rPr>
      </w:pPr>
      <w:r>
        <w:rPr>
          <w:rFonts w:ascii="Times New Roman" w:cs="Times New Roman" w:eastAsia="Times New Roman" w:hAnsi="Times New Roman"/>
          <w:sz w:val="18"/>
          <w:szCs w:val="18"/>
          <w:color w:val="auto"/>
        </w:rPr>
        <w:t>The following table presents net sales and EBITDA from ongoing operations by segment for the three and six months ended June 30, 2022 and 2021: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3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740" w:type="dxa"/>
            <w:vAlign w:val="bottom"/>
            <w:tcBorders>
              <w:top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60" w:type="dxa"/>
            <w:vAlign w:val="bottom"/>
            <w:tcBorders>
              <w:top w:val="single" w:sz="8" w:color="auto"/>
            </w:tcBorders>
          </w:tcPr>
          <w:p>
            <w:pPr>
              <w:spacing w:after="0"/>
              <w:rPr>
                <w:sz w:val="21"/>
                <w:szCs w:val="21"/>
                <w:color w:val="auto"/>
              </w:rPr>
            </w:pPr>
          </w:p>
        </w:tc>
        <w:tc>
          <w:tcPr>
            <w:tcW w:w="2660" w:type="dxa"/>
            <w:vAlign w:val="bottom"/>
            <w:tcBorders>
              <w:top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4"/>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190,308</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139,281</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348,417</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257,405</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31,424</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31,430</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62,555</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59,384</w:t>
            </w:r>
          </w:p>
        </w:tc>
      </w:tr>
      <w:tr>
        <w:trPr>
          <w:trHeight w:val="229"/>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41,595</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33,374</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80,839</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65,895</w:t>
            </w:r>
          </w:p>
        </w:tc>
      </w:tr>
      <w:tr>
        <w:trPr>
          <w:trHeight w:val="223"/>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263,327</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204,085</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491,811</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382,684</w:t>
            </w:r>
          </w:p>
        </w:tc>
      </w:tr>
      <w:tr>
        <w:trPr>
          <w:trHeight w:val="229"/>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Add back freight</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11,036</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7,044</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19,118</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13,267</w:t>
            </w:r>
          </w:p>
        </w:tc>
      </w:tr>
      <w:tr>
        <w:trPr>
          <w:trHeight w:val="230"/>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as shown in the condensed consolidated statements of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274,363</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211,129</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510,929</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395,951</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 from Ongoing Operations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Ongoing operations: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21,895</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19,723</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45,814</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33,024</w:t>
            </w:r>
          </w:p>
        </w:tc>
      </w:tr>
      <w:tr>
        <w:trPr>
          <w:trHeight w:val="230"/>
        </w:trPr>
        <w:tc>
          <w:tcPr>
            <w:tcW w:w="5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(8,430)</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(8,162)</w:t>
            </w:r>
          </w:p>
        </w:tc>
      </w:tr>
      <w:tr>
        <w:trPr>
          <w:trHeight w:val="223"/>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17,726</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15,691</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37,384</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24,862</w:t>
            </w:r>
          </w:p>
        </w:tc>
      </w:tr>
      <w:tr>
        <w:trPr>
          <w:trHeight w:val="230"/>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w:t>
            </w:r>
          </w:p>
        </w:tc>
        <w:tc>
          <w:tcPr>
            <w:tcW w:w="1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Ongoing operations: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7,065</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9,001</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14,112</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16,213</w:t>
            </w:r>
          </w:p>
        </w:tc>
      </w:tr>
      <w:tr>
        <w:trPr>
          <w:trHeight w:val="229"/>
        </w:trPr>
        <w:tc>
          <w:tcPr>
            <w:tcW w:w="5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w:t>
            </w:r>
          </w:p>
        </w:tc>
      </w:tr>
      <w:tr>
        <w:trPr>
          <w:trHeight w:val="223"/>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5,506</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7,330</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10,958</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13,123</w:t>
            </w:r>
          </w:p>
        </w:tc>
      </w:tr>
      <w:tr>
        <w:trPr>
          <w:trHeight w:val="229"/>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Ongoing operations: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7,631</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8,277</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12,665</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17,901</w:t>
            </w:r>
          </w:p>
        </w:tc>
      </w:tr>
      <w:tr>
        <w:trPr>
          <w:trHeight w:val="229"/>
        </w:trPr>
        <w:tc>
          <w:tcPr>
            <w:tcW w:w="5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23"/>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7,048</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7,771</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11,533</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16,929</w:t>
            </w:r>
          </w:p>
        </w:tc>
      </w:tr>
      <w:tr>
        <w:trPr>
          <w:trHeight w:val="229"/>
        </w:trPr>
        <w:tc>
          <w:tcPr>
            <w:tcW w:w="5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8,452</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8,414</w:t>
            </w: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30,209</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38,847</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59,553</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62,990</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1,234</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891</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2,020</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investment in kaléo</w:t>
            </w:r>
          </w:p>
        </w:tc>
        <w:tc>
          <w:tcPr>
            <w:tcW w:w="1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1,406</w:t>
            </w:r>
          </w:p>
        </w:tc>
        <w:tc>
          <w:tcPr>
            <w:tcW w:w="3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36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1,406</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option-based compensation costs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675</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882</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29"/>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 net</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9,789</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11,055</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20,510</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21,917</w:t>
            </w: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20,344</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26,451</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37,579</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39,166</w:t>
            </w:r>
          </w:p>
        </w:tc>
      </w:tr>
      <w:tr>
        <w:trPr>
          <w:trHeight w:val="230"/>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5,556</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5,723</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6,334</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8,820</w:t>
            </w: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14,788</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20,728</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31,245</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30,346</w:t>
            </w:r>
          </w:p>
        </w:tc>
      </w:tr>
      <w:tr>
        <w:trPr>
          <w:trHeight w:val="230"/>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508</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14,869</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21,236</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31,292</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30,267</w:t>
            </w:r>
          </w:p>
        </w:tc>
      </w:tr>
      <w:tr>
        <w:trPr>
          <w:trHeight w:val="864"/>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 w:name="page19"/>
    <w:bookmarkEnd w:id="18"/>
    <w:p>
      <w:pPr>
        <w:ind w:left="420"/>
        <w:spacing w:after="0"/>
        <w:rPr>
          <w:sz w:val="20"/>
          <w:szCs w:val="20"/>
          <w:color w:val="auto"/>
        </w:rPr>
      </w:pPr>
      <w:r>
        <w:rPr>
          <w:rFonts w:ascii="Times New Roman" w:cs="Times New Roman" w:eastAsia="Times New Roman" w:hAnsi="Times New Roman"/>
          <w:sz w:val="18"/>
          <w:szCs w:val="18"/>
          <w:color w:val="auto"/>
        </w:rPr>
        <w:t>The following table presents identifiable assets by segment at June 30, 2022 and December 31, 2021: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980" w:type="dxa"/>
            <w:vAlign w:val="bottom"/>
            <w:tcBorders>
              <w:top w:val="single" w:sz="8" w:color="auto"/>
              <w:bottom w:val="single" w:sz="8" w:color="auto"/>
            </w:tcBorders>
          </w:tcPr>
          <w:p>
            <w:pPr>
              <w:spacing w:after="0"/>
              <w:rPr>
                <w:sz w:val="22"/>
                <w:szCs w:val="22"/>
                <w:color w:val="auto"/>
              </w:rPr>
            </w:pPr>
          </w:p>
        </w:tc>
        <w:tc>
          <w:tcPr>
            <w:tcW w:w="17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June 30, 2022</w:t>
            </w:r>
          </w:p>
        </w:tc>
        <w:tc>
          <w:tcPr>
            <w:tcW w:w="26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2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318,534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280,521</w:t>
            </w: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29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115,797</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113,613</w:t>
            </w:r>
          </w:p>
        </w:tc>
      </w:tr>
      <w:tr>
        <w:trPr>
          <w:trHeight w:val="229"/>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29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92,060</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75,269</w:t>
            </w:r>
          </w:p>
        </w:tc>
      </w:tr>
      <w:tr>
        <w:trPr>
          <w:trHeight w:val="223"/>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29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526,391</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469,403</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corporate</w:t>
            </w:r>
          </w:p>
        </w:tc>
        <w:tc>
          <w:tcPr>
            <w:tcW w:w="29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17,810</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23,482</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9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27,462</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30,521</w:t>
            </w:r>
          </w:p>
        </w:tc>
      </w:tr>
      <w:tr>
        <w:trPr>
          <w:trHeight w:val="230"/>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9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30"/>
        </w:trPr>
        <w:tc>
          <w:tcPr>
            <w:tcW w:w="4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571,814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523,584</w:t>
            </w:r>
          </w:p>
        </w:tc>
      </w:tr>
    </w:tbl>
    <w:p>
      <w:pPr>
        <w:spacing w:after="0" w:line="157"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disaggregate the Company’s revenue by geographic area and product group for the three and six months ended June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Net Sales by Geographic Area (a)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9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40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4"/>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213,955</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156,719</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396,092</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289,616</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Exports from the United States to:</w:t>
            </w:r>
          </w:p>
        </w:tc>
        <w:tc>
          <w:tcPr>
            <w:tcW w:w="1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3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1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14,680</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17,158</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27,145</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30,520</w:t>
            </w:r>
          </w:p>
        </w:tc>
      </w:tr>
      <w:tr>
        <w:trPr>
          <w:trHeight w:val="230"/>
        </w:trPr>
        <w:tc>
          <w:tcPr>
            <w:tcW w:w="3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Latin America</w:t>
            </w:r>
          </w:p>
        </w:tc>
        <w:tc>
          <w:tcPr>
            <w:tcW w:w="148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1,245</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4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2,686</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r>
      <w:tr>
        <w:trPr>
          <w:trHeight w:val="229"/>
        </w:trPr>
        <w:tc>
          <w:tcPr>
            <w:tcW w:w="3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Canada</w:t>
            </w:r>
          </w:p>
        </w:tc>
        <w:tc>
          <w:tcPr>
            <w:tcW w:w="1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4,173</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8,366</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10,038</w:t>
            </w:r>
          </w:p>
        </w:tc>
      </w:tr>
      <w:tr>
        <w:trPr>
          <w:trHeight w:val="229"/>
        </w:trPr>
        <w:tc>
          <w:tcPr>
            <w:tcW w:w="3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148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1,085</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4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2,448</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outside the United States:</w:t>
            </w:r>
          </w:p>
        </w:tc>
        <w:tc>
          <w:tcPr>
            <w:tcW w:w="1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39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Brazil</w:t>
            </w:r>
          </w:p>
        </w:tc>
        <w:tc>
          <w:tcPr>
            <w:tcW w:w="1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28,189</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23,221</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55,074</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48,070</w:t>
            </w:r>
          </w:p>
        </w:tc>
      </w:tr>
      <w:tr>
        <w:trPr>
          <w:trHeight w:val="230"/>
        </w:trPr>
        <w:tc>
          <w:tcPr>
            <w:tcW w:w="39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263,327</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204,085</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491,811</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382,684</w:t>
            </w:r>
          </w:p>
        </w:tc>
      </w:tr>
    </w:tbl>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 Export sales relate entirely to PE Films. Operations in Brazil relate entirely to Flexible Packaging Films.</w:t>
      </w:r>
    </w:p>
    <w:p>
      <w:pPr>
        <w:spacing w:after="0" w:line="208"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Company’s facilities in Pottsville, PA (“PV”) and Guangzhou, China (“GZ”) have a tolling arrangement whereby certain surface protection films are manufactured in GZ for a fee with raw materials supplied from PV that are then shipped by GZ directly to customers principally in the Asian market, but paid by customers directly to PV. Amounts associated with this intercompany tolling arrangement are reported in the table above as export sales from the U.S. to Asia, and include net sales of $5.3 million and $10.8 million in the second quarters of 2022 and 2021, respectively, and $11.7 million and $17.7 million in the first six months of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t>Net Sales by Product Group</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40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4"/>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1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Nonresidential building &amp; construction</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99,302</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70,122</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180,223</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127,350</w:t>
            </w:r>
          </w:p>
        </w:tc>
      </w:tr>
      <w:tr>
        <w:trPr>
          <w:trHeight w:val="229"/>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Consumer durables</w:t>
            </w:r>
          </w:p>
        </w:tc>
        <w:tc>
          <w:tcPr>
            <w:tcW w:w="1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18,805</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35,695</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26,738</w:t>
            </w:r>
          </w:p>
        </w:tc>
      </w:tr>
      <w:tr>
        <w:trPr>
          <w:trHeight w:val="230"/>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Automotive</w:t>
            </w:r>
          </w:p>
        </w:tc>
        <w:tc>
          <w:tcPr>
            <w:tcW w:w="128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14,473</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11,185</w:t>
            </w:r>
          </w:p>
        </w:tc>
        <w:tc>
          <w:tcPr>
            <w:tcW w:w="4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28,314</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22,600</w:t>
            </w:r>
          </w:p>
        </w:tc>
      </w:tr>
      <w:tr>
        <w:trPr>
          <w:trHeight w:val="229"/>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 building &amp; construction</w:t>
            </w:r>
          </w:p>
        </w:tc>
        <w:tc>
          <w:tcPr>
            <w:tcW w:w="1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20,948</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13,893</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37,413</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26,601</w:t>
            </w:r>
          </w:p>
        </w:tc>
      </w:tr>
      <w:tr>
        <w:trPr>
          <w:trHeight w:val="230"/>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Electrical</w:t>
            </w:r>
          </w:p>
        </w:tc>
        <w:tc>
          <w:tcPr>
            <w:tcW w:w="128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9,687</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9,572</w:t>
            </w:r>
          </w:p>
        </w:tc>
        <w:tc>
          <w:tcPr>
            <w:tcW w:w="4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16,974</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16,752</w:t>
            </w:r>
          </w:p>
        </w:tc>
      </w:tr>
      <w:tr>
        <w:trPr>
          <w:trHeight w:val="229"/>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Machinery &amp; equipment</w:t>
            </w:r>
          </w:p>
        </w:tc>
        <w:tc>
          <w:tcPr>
            <w:tcW w:w="1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15,929</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10,654</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28,874</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19,579</w:t>
            </w:r>
          </w:p>
        </w:tc>
      </w:tr>
      <w:tr>
        <w:trPr>
          <w:trHeight w:val="229"/>
        </w:trPr>
        <w:tc>
          <w:tcPr>
            <w:tcW w:w="42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1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11,164</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10,269</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20,924</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17,785</w:t>
            </w:r>
          </w:p>
        </w:tc>
      </w:tr>
      <w:tr>
        <w:trPr>
          <w:trHeight w:val="223"/>
        </w:trPr>
        <w:tc>
          <w:tcPr>
            <w:tcW w:w="4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Subtotal</w:t>
            </w:r>
          </w:p>
        </w:tc>
        <w:tc>
          <w:tcPr>
            <w:tcW w:w="1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190,308</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139,281</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348,417</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257,405</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1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Surface protection films</w:t>
            </w:r>
          </w:p>
        </w:tc>
        <w:tc>
          <w:tcPr>
            <w:tcW w:w="1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23,674</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24,490</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45,822</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45,091</w:t>
            </w:r>
          </w:p>
        </w:tc>
      </w:tr>
      <w:tr>
        <w:trPr>
          <w:trHeight w:val="229"/>
        </w:trPr>
        <w:tc>
          <w:tcPr>
            <w:tcW w:w="42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Packaging</w:t>
            </w:r>
          </w:p>
        </w:tc>
        <w:tc>
          <w:tcPr>
            <w:tcW w:w="1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7,750</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16,733</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14,293</w:t>
            </w:r>
          </w:p>
        </w:tc>
      </w:tr>
      <w:tr>
        <w:trPr>
          <w:trHeight w:val="223"/>
        </w:trPr>
        <w:tc>
          <w:tcPr>
            <w:tcW w:w="4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Subtotal</w:t>
            </w:r>
          </w:p>
        </w:tc>
        <w:tc>
          <w:tcPr>
            <w:tcW w:w="1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31,424</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31,430</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62,555</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59,384</w:t>
            </w:r>
          </w:p>
        </w:tc>
      </w:tr>
      <w:tr>
        <w:trPr>
          <w:trHeight w:val="229"/>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1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41,595</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33,374</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80,839</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65,895</w:t>
            </w:r>
          </w:p>
        </w:tc>
      </w:tr>
      <w:tr>
        <w:trPr>
          <w:trHeight w:val="230"/>
        </w:trPr>
        <w:tc>
          <w:tcPr>
            <w:tcW w:w="42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263,327</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204,085</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491,811</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382,684</w:t>
            </w:r>
          </w:p>
        </w:tc>
      </w:tr>
    </w:tbl>
    <w:p>
      <w:pPr>
        <w:spacing w:after="0" w:line="153" w:lineRule="exact"/>
        <w:rPr>
          <w:sz w:val="20"/>
          <w:szCs w:val="20"/>
          <w:color w:val="auto"/>
        </w:rPr>
      </w:pPr>
    </w:p>
    <w:p>
      <w:pPr>
        <w:ind w:right="9640" w:firstLine="8"/>
        <w:spacing w:after="0" w:line="383" w:lineRule="auto"/>
        <w:tabs>
          <w:tab w:leader="none" w:pos="26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DIVESTITURES </w:t>
      </w:r>
      <w:r>
        <w:rPr>
          <w:rFonts w:ascii="Times New Roman" w:cs="Times New Roman" w:eastAsia="Times New Roman" w:hAnsi="Times New Roman"/>
          <w:sz w:val="17"/>
          <w:szCs w:val="17"/>
          <w:i w:val="1"/>
          <w:iCs w:val="1"/>
          <w:color w:val="auto"/>
        </w:rPr>
        <w:t>Personal Care Films</w:t>
      </w:r>
    </w:p>
    <w:p>
      <w:pPr>
        <w:spacing w:after="0" w:line="1" w:lineRule="exact"/>
        <w:rPr>
          <w:sz w:val="20"/>
          <w:szCs w:val="20"/>
          <w:color w:val="auto"/>
        </w:rPr>
      </w:pPr>
    </w:p>
    <w:p>
      <w:pPr>
        <w:ind w:right="100" w:firstLine="405"/>
        <w:spacing w:after="0" w:line="289" w:lineRule="auto"/>
        <w:rPr>
          <w:sz w:val="20"/>
          <w:szCs w:val="20"/>
          <w:color w:val="auto"/>
        </w:rPr>
      </w:pPr>
      <w:r>
        <w:rPr>
          <w:rFonts w:ascii="Times New Roman" w:cs="Times New Roman" w:eastAsia="Times New Roman" w:hAnsi="Times New Roman"/>
          <w:sz w:val="17"/>
          <w:szCs w:val="17"/>
          <w:color w:val="auto"/>
        </w:rPr>
        <w:t>In 2020, the Company completed the sale of Personal Care Films for an aggregate purchase price of $60.5 million, subject to customary adjustments. The Company agreed to provide certain transition services related to finance, human resources and information technology ("IT") that ended during the second quarter of 2021, resulting in final cash proceeds of $64.1 million. Personal Care Films was previously reported in the PE Films segment.</w:t>
      </w:r>
    </w:p>
    <w:p>
      <w:pPr>
        <w:spacing w:after="0" w:line="23" w:lineRule="exact"/>
        <w:rPr>
          <w:sz w:val="20"/>
          <w:szCs w:val="20"/>
          <w:color w:val="auto"/>
        </w:rPr>
      </w:pPr>
    </w:p>
    <w:p>
      <w:pPr>
        <w:ind w:right="120" w:firstLine="405"/>
        <w:spacing w:after="0" w:line="276" w:lineRule="auto"/>
        <w:rPr>
          <w:sz w:val="20"/>
          <w:szCs w:val="20"/>
          <w:color w:val="auto"/>
        </w:rPr>
      </w:pPr>
      <w:r>
        <w:rPr>
          <w:rFonts w:ascii="Times New Roman" w:cs="Times New Roman" w:eastAsia="Times New Roman" w:hAnsi="Times New Roman"/>
          <w:sz w:val="18"/>
          <w:szCs w:val="18"/>
          <w:color w:val="auto"/>
        </w:rPr>
        <w:t>The following table summarizes the financial results of discontinued operations reflected in the condensed consolidated statements of income for the three and six months ended June 30, 2022 and 2021:</w:t>
      </w:r>
    </w:p>
    <w:tbl>
      <w:tblPr>
        <w:tblLayout w:type="fixed"/>
        <w:tblInd w:w="0" w:type="dxa"/>
        <w:tblCellMar>
          <w:top w:w="0" w:type="dxa"/>
          <w:left w:w="0" w:type="dxa"/>
          <w:bottom w:w="0" w:type="dxa"/>
          <w:right w:w="0" w:type="dxa"/>
        </w:tblCellMar>
      </w:tblPr>
      <w:tr>
        <w:trPr>
          <w:trHeight w:val="233"/>
        </w:trPr>
        <w:tc>
          <w:tcPr>
            <w:tcW w:w="4720" w:type="dxa"/>
            <w:vAlign w:val="bottom"/>
            <w:tcBorders>
              <w:top w:val="single" w:sz="8" w:color="auto"/>
            </w:tcBorders>
          </w:tcPr>
          <w:p>
            <w:pPr>
              <w:spacing w:after="0"/>
              <w:rPr>
                <w:sz w:val="20"/>
                <w:szCs w:val="20"/>
                <w:color w:val="auto"/>
              </w:rPr>
            </w:pPr>
          </w:p>
        </w:tc>
        <w:tc>
          <w:tcPr>
            <w:tcW w:w="3040" w:type="dxa"/>
            <w:vAlign w:val="bottom"/>
            <w:tcBorders>
              <w:top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420" w:type="dxa"/>
            <w:vAlign w:val="bottom"/>
            <w:tcBorders>
              <w:top w:val="single" w:sz="8" w:color="auto"/>
            </w:tcBorders>
          </w:tcPr>
          <w:p>
            <w:pPr>
              <w:spacing w:after="0"/>
              <w:rPr>
                <w:sz w:val="20"/>
                <w:szCs w:val="20"/>
                <w:color w:val="auto"/>
              </w:rPr>
            </w:pPr>
          </w:p>
        </w:tc>
        <w:tc>
          <w:tcPr>
            <w:tcW w:w="3060" w:type="dxa"/>
            <w:vAlign w:val="bottom"/>
            <w:tcBorders>
              <w:top w:val="single" w:sz="8" w:color="auto"/>
            </w:tcBorders>
            <w:gridSpan w:val="3"/>
          </w:tcPr>
          <w:p>
            <w:pPr>
              <w:jc w:val="center"/>
              <w:ind w:right="270"/>
              <w:spacing w:after="0"/>
              <w:rPr>
                <w:sz w:val="20"/>
                <w:szCs w:val="20"/>
                <w:color w:val="auto"/>
              </w:rPr>
            </w:pPr>
            <w:r>
              <w:rPr>
                <w:rFonts w:ascii="Times New Roman" w:cs="Times New Roman" w:eastAsia="Times New Roman" w:hAnsi="Times New Roman"/>
                <w:sz w:val="18"/>
                <w:szCs w:val="18"/>
                <w:color w:val="auto"/>
                <w:w w:val="99"/>
              </w:rPr>
              <w:t>Six Months Ended June 30,</w:t>
            </w:r>
          </w:p>
        </w:tc>
      </w:tr>
      <w:tr>
        <w:trPr>
          <w:trHeight w:val="234"/>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8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(81)</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6"/>
              </w:rPr>
              <w:t>169</w:t>
            </w: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9"/>
              </w:rPr>
              <w:t>(37)</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r>
      <w:tr>
        <w:trPr>
          <w:trHeight w:val="181"/>
        </w:trPr>
        <w:tc>
          <w:tcPr>
            <w:tcW w:w="472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Adjustment to the fair value estimates used in the</w:t>
            </w: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38"/>
        </w:trPr>
        <w:tc>
          <w:tcPr>
            <w:tcW w:w="4720" w:type="dxa"/>
            <w:vAlign w:val="bottom"/>
            <w:tcBorders>
              <w:bottom w:val="single" w:sz="8" w:color="auto"/>
            </w:tcBorders>
          </w:tcPr>
          <w:p>
            <w:pPr>
              <w:ind w:left="360"/>
              <w:spacing w:after="0" w:line="237" w:lineRule="exact"/>
              <w:rPr>
                <w:sz w:val="20"/>
                <w:szCs w:val="20"/>
                <w:color w:val="auto"/>
              </w:rPr>
            </w:pPr>
            <w:r>
              <w:rPr>
                <w:rFonts w:ascii="Times New Roman" w:cs="Times New Roman" w:eastAsia="Times New Roman" w:hAnsi="Times New Roman"/>
                <w:sz w:val="18"/>
                <w:szCs w:val="18"/>
                <w:color w:val="auto"/>
              </w:rPr>
              <w:t>disposal of Personal Care Films</w:t>
            </w:r>
            <w:r>
              <w:rPr>
                <w:rFonts w:ascii="Times New Roman" w:cs="Times New Roman" w:eastAsia="Times New Roman" w:hAnsi="Times New Roman"/>
                <w:sz w:val="23"/>
                <w:szCs w:val="23"/>
                <w:color w:val="auto"/>
                <w:vertAlign w:val="superscript"/>
              </w:rPr>
              <w:t>(a)</w:t>
            </w:r>
          </w:p>
        </w:tc>
        <w:tc>
          <w:tcPr>
            <w:tcW w:w="1480" w:type="dxa"/>
            <w:vAlign w:val="bottom"/>
            <w:tcBorders>
              <w:bottom w:val="single" w:sz="8" w:color="auto"/>
            </w:tcBorders>
          </w:tcPr>
          <w:p>
            <w:pPr>
              <w:jc w:val="center"/>
              <w:ind w:left="97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7"/>
              </w:rPr>
              <w:t>(819)</w:t>
            </w:r>
          </w:p>
        </w:tc>
        <w:tc>
          <w:tcPr>
            <w:tcW w:w="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23"/>
        </w:trPr>
        <w:tc>
          <w:tcPr>
            <w:tcW w:w="47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(81)</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7"/>
              </w:rPr>
              <w:t>(650)</w:t>
            </w:r>
          </w:p>
        </w:tc>
        <w:tc>
          <w:tcPr>
            <w:tcW w:w="4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9"/>
              </w:rPr>
              <w:t>(37)</w:t>
            </w:r>
          </w:p>
        </w:tc>
        <w:tc>
          <w:tcPr>
            <w:tcW w:w="4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178"/>
        </w:trPr>
        <w:tc>
          <w:tcPr>
            <w:tcW w:w="47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Income (loss) from discontinued operations before income</w:t>
            </w: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34"/>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148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81</w:t>
            </w:r>
          </w:p>
        </w:tc>
        <w:tc>
          <w:tcPr>
            <w:tcW w:w="380" w:type="dxa"/>
            <w:vAlign w:val="bottom"/>
          </w:tcPr>
          <w:p>
            <w:pPr>
              <w:spacing w:after="0"/>
              <w:rPr>
                <w:sz w:val="20"/>
                <w:szCs w:val="20"/>
                <w:color w:val="auto"/>
              </w:rPr>
            </w:pPr>
          </w:p>
        </w:tc>
        <w:tc>
          <w:tcPr>
            <w:tcW w:w="11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6"/>
              </w:rPr>
              <w:t>650</w:t>
            </w:r>
          </w:p>
        </w:tc>
        <w:tc>
          <w:tcPr>
            <w:tcW w:w="420" w:type="dxa"/>
            <w:vAlign w:val="bottom"/>
          </w:tcPr>
          <w:p>
            <w:pPr>
              <w:spacing w:after="0"/>
              <w:rPr>
                <w:sz w:val="20"/>
                <w:szCs w:val="20"/>
                <w:color w:val="auto"/>
              </w:rPr>
            </w:pPr>
          </w:p>
        </w:tc>
        <w:tc>
          <w:tcPr>
            <w:tcW w:w="12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37</w:t>
            </w:r>
          </w:p>
        </w:tc>
        <w:tc>
          <w:tcPr>
            <w:tcW w:w="4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80" w:type="dxa"/>
            <w:vAlign w:val="bottom"/>
            <w:tcBorders>
              <w:bottom w:val="single" w:sz="8" w:color="auto"/>
            </w:tcBorders>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6"/>
              </w:rPr>
              <w:t>142</w:t>
            </w:r>
          </w:p>
        </w:tc>
        <w:tc>
          <w:tcPr>
            <w:tcW w:w="4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9"/>
              </w:rPr>
              <w:t>(10)</w:t>
            </w:r>
          </w:p>
        </w:tc>
        <w:tc>
          <w:tcPr>
            <w:tcW w:w="4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2"/>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Income (loss) from discontinued operations, net of tax   </w:t>
            </w:r>
            <w:r>
              <w:rPr>
                <w:rFonts w:ascii="Times New Roman" w:cs="Times New Roman" w:eastAsia="Times New Roman" w:hAnsi="Times New Roman"/>
                <w:sz w:val="18"/>
                <w:szCs w:val="18"/>
                <w:color w:val="auto"/>
              </w:rPr>
              <w:t>$</w:t>
            </w:r>
          </w:p>
        </w:tc>
        <w:tc>
          <w:tcPr>
            <w:tcW w:w="148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81</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6"/>
              </w:rPr>
              <w:t>508</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47</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260" w:right="40" w:hanging="234"/>
        <w:spacing w:after="0" w:line="250" w:lineRule="auto"/>
        <w:tabs>
          <w:tab w:leader="none" w:pos="26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net increase to the estimated fair value of Personal Care Films primarily due to lower costs associated with IT transition-related services to provide the seller developed assets, which did not exist at the time of the sale, to support the seller's IT infrastructure.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20" w:name="page21"/>
    <w:bookmarkEnd w:id="20"/>
    <w:p>
      <w:pPr>
        <w:ind w:right="80" w:firstLine="405"/>
        <w:spacing w:after="0" w:line="276" w:lineRule="auto"/>
        <w:rPr>
          <w:sz w:val="20"/>
          <w:szCs w:val="20"/>
          <w:color w:val="auto"/>
        </w:rPr>
      </w:pPr>
      <w:r>
        <w:rPr>
          <w:rFonts w:ascii="Times New Roman" w:cs="Times New Roman" w:eastAsia="Times New Roman" w:hAnsi="Times New Roman"/>
          <w:sz w:val="18"/>
          <w:szCs w:val="18"/>
          <w:color w:val="auto"/>
        </w:rPr>
        <w:t>The assets and liabilities of the discontinued operations reflected in the condensed consolidated balance sheets as of June 30, 2022 and December 31, 2021, respectively, were as follows:</w:t>
      </w:r>
    </w:p>
    <w:tbl>
      <w:tblPr>
        <w:tblLayout w:type="fixed"/>
        <w:tblInd w:w="0" w:type="dxa"/>
        <w:tblCellMar>
          <w:top w:w="0" w:type="dxa"/>
          <w:left w:w="0" w:type="dxa"/>
          <w:bottom w:w="0" w:type="dxa"/>
          <w:right w:w="0" w:type="dxa"/>
        </w:tblCellMar>
      </w:tblPr>
      <w:tr>
        <w:trPr>
          <w:trHeight w:val="233"/>
        </w:trPr>
        <w:tc>
          <w:tcPr>
            <w:tcW w:w="5220" w:type="dxa"/>
            <w:vAlign w:val="bottom"/>
            <w:tcBorders>
              <w:top w:val="single" w:sz="8" w:color="auto"/>
            </w:tcBorders>
          </w:tcPr>
          <w:p>
            <w:pPr>
              <w:spacing w:after="0"/>
              <w:rPr>
                <w:sz w:val="20"/>
                <w:szCs w:val="20"/>
                <w:color w:val="auto"/>
              </w:rPr>
            </w:pPr>
          </w:p>
        </w:tc>
        <w:tc>
          <w:tcPr>
            <w:tcW w:w="3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June 30,</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5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Prepaid expenses and other </w:t>
            </w:r>
            <w:r>
              <w:rPr>
                <w:rFonts w:ascii="Times New Roman" w:cs="Times New Roman" w:eastAsia="Times New Roman" w:hAnsi="Times New Roman"/>
                <w:sz w:val="23"/>
                <w:szCs w:val="23"/>
                <w:color w:val="auto"/>
                <w:vertAlign w:val="superscript"/>
              </w:rPr>
              <w:t>(a)</w:t>
            </w:r>
          </w:p>
        </w:tc>
        <w:tc>
          <w:tcPr>
            <w:tcW w:w="3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57"/>
        </w:trPr>
        <w:tc>
          <w:tcPr>
            <w:tcW w:w="522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7"/>
        </w:trPr>
        <w:tc>
          <w:tcPr>
            <w:tcW w:w="522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Accrued expenses </w:t>
            </w:r>
            <w:r>
              <w:rPr>
                <w:rFonts w:ascii="Times New Roman" w:cs="Times New Roman" w:eastAsia="Times New Roman" w:hAnsi="Times New Roman"/>
                <w:sz w:val="23"/>
                <w:szCs w:val="23"/>
                <w:color w:val="auto"/>
                <w:vertAlign w:val="superscript"/>
              </w:rPr>
              <w:t>(a)</w:t>
            </w:r>
          </w:p>
        </w:tc>
        <w:tc>
          <w:tcPr>
            <w:tcW w:w="3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bl>
    <w:p>
      <w:pPr>
        <w:ind w:left="260" w:right="100" w:hanging="234"/>
        <w:spacing w:after="0" w:line="251" w:lineRule="auto"/>
        <w:tabs>
          <w:tab w:leader="none" w:pos="237"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condensed consolidated balance sheet of discontinued operations as of June 30, 2022 includes $0.2 million of other receivables related to the settlement of customary post-closing adjustments and other miscellaneous accrued expenses of $0.1 million. The condensed consolidated balance sheet of discontinued operations as of December 31, 2021 includes $0.2 million of other receivables related to the settlement of customary post-closing adjustments and other miscellaneous accrued expenses of $0.2 million.</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significant operating and investing cash flow information for discontinued operations: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020" w:type="dxa"/>
            <w:vAlign w:val="bottom"/>
            <w:tcBorders>
              <w:top w:val="single" w:sz="8" w:color="auto"/>
            </w:tcBorders>
          </w:tcPr>
          <w:p>
            <w:pPr>
              <w:spacing w:after="0"/>
              <w:rPr>
                <w:sz w:val="21"/>
                <w:szCs w:val="21"/>
                <w:color w:val="auto"/>
              </w:rPr>
            </w:pPr>
          </w:p>
        </w:tc>
        <w:tc>
          <w:tcPr>
            <w:tcW w:w="6220" w:type="dxa"/>
            <w:vAlign w:val="bottom"/>
            <w:tcBorders>
              <w:top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4"/>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48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2022</w:t>
            </w: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48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5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4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INVESTMENTS</w:t>
      </w:r>
    </w:p>
    <w:p>
      <w:pPr>
        <w:spacing w:after="0" w:line="108"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In August 2007 and December 2008, the Company made an aggregate investment of $7.5 million in kaleo, Inc. (“kaléo”), a privately held specialty pharmaceutical company dedicated to building innovative solutions for serious and life-threatening medical conditions. Tredegar historically accounted for its investment in kaléo under the fair value option. At the time of the initial investment, the Company elected the fair value option of accounting since its investment objectives were similar to those of venture capitalists, which typically do not have controlling financial interests. kaléo’s stock is not publicly traded.</w:t>
      </w:r>
    </w:p>
    <w:p>
      <w:pPr>
        <w:spacing w:after="0" w:line="62"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In the first six months ended June 30, 2021, a pre-tax gain of $0.9 million was recognized on the Company’s investment in kaléo, which included a $0.3 million dividend received from kaléo. On December 27, 2021, the Company completed the sale of its investment interests in kaléo (Series A-3 Preferred Stock, Series B Preferred Stock and common stock) and received closing cash proceeds of $47.1 million. Subsequently, in May 2022, additional cash consideration of $1.4 million was received related to customary post-closing adjustments, which is reported in “Other income (expense), net” in the condensed consolidated statements of income.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13. DEBT</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June 29, 2022, Tredegar entered into a Second Amended and Restated Credit Agreement (the “Credit Agreement”) that replaced its existing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$375 million five-year, secured revolving credit facility that was due to expire on June 28, 2024. The Credit Agreement is a five-year, revolving, secured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facility that permits aggregate borrowings of $375 million and matures on June 29, 2027.</w:t>
      </w:r>
    </w:p>
    <w:p>
      <w:pPr>
        <w:spacing w:after="0" w:line="85"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Borrowings under the Credit Agreement bear an interest rate equal to Secured Overnight Financing Rate ("SOFR") plus a credit spread adjustment of 10 basis points ("Adjusted Term SOFR Rate") and an amount depending on the type of borrowing and commitment fees charged on the unused amount under the Credit Agreement at various Total Net Leverage Ratio levels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Pricing Under the Credit Agreement (Basis Points)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60" w:type="dxa"/>
            <w:vAlign w:val="bottom"/>
            <w:tcBorders>
              <w:top w:val="single" w:sz="8" w:color="auto"/>
            </w:tcBorders>
          </w:tcPr>
          <w:p>
            <w:pPr>
              <w:spacing w:after="0"/>
              <w:rPr>
                <w:sz w:val="14"/>
                <w:szCs w:val="14"/>
                <w:color w:val="auto"/>
              </w:rPr>
            </w:pPr>
          </w:p>
        </w:tc>
        <w:tc>
          <w:tcPr>
            <w:tcW w:w="474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Term Benchmark</w:t>
            </w:r>
          </w:p>
        </w:tc>
        <w:tc>
          <w:tcPr>
            <w:tcW w:w="134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Commitment</w:t>
            </w:r>
          </w:p>
        </w:tc>
      </w:tr>
      <w:tr>
        <w:trPr>
          <w:trHeight w:val="24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Leverage Ratio</w:t>
            </w:r>
          </w:p>
        </w:tc>
        <w:tc>
          <w:tcPr>
            <w:tcW w:w="47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Spread</w:t>
            </w: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Fee</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 1.0x</w:t>
            </w:r>
          </w:p>
        </w:tc>
        <w:tc>
          <w:tcPr>
            <w:tcW w:w="4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&gt;1.0x but &lt;=2.0x</w:t>
            </w:r>
          </w:p>
        </w:tc>
        <w:tc>
          <w:tcPr>
            <w:tcW w:w="4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162.5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&gt;2.0x but &lt;=3.0x</w:t>
            </w:r>
          </w:p>
        </w:tc>
        <w:tc>
          <w:tcPr>
            <w:tcW w:w="4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175.0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&gt;3.0x but &lt;=3.5x</w:t>
            </w:r>
          </w:p>
        </w:tc>
        <w:tc>
          <w:tcPr>
            <w:tcW w:w="4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187.5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6"/>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&gt;3.5x</w:t>
            </w:r>
          </w:p>
        </w:tc>
        <w:tc>
          <w:tcPr>
            <w:tcW w:w="47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200.0</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184"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At June 30, 2022, $101.5 million of the outstanding debt was principally priced at an interest rate equal to the Adjusted Term SOFR Rate plus the applicable credit spread of 150.0 basis points. Prior to the Credit Agreement, the interest rate was based on London Inter-Bank Offered Rate plus an applicable credit spread.</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primary restrictive covenants in the Credit Agreement include:</w:t>
      </w:r>
    </w:p>
    <w:p>
      <w:pPr>
        <w:spacing w:after="0" w:line="90" w:lineRule="exact"/>
        <w:rPr>
          <w:sz w:val="20"/>
          <w:szCs w:val="20"/>
          <w:color w:val="auto"/>
        </w:rPr>
      </w:pPr>
    </w:p>
    <w:p>
      <w:pPr>
        <w:ind w:left="820" w:hanging="407"/>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Leverage Ratio of 4.00x;</w:t>
      </w:r>
    </w:p>
    <w:p>
      <w:pPr>
        <w:spacing w:after="0" w:line="10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Coverage Ratio of 3.00x; and</w:t>
      </w:r>
    </w:p>
    <w:p>
      <w:pPr>
        <w:spacing w:after="0" w:line="103" w:lineRule="exact"/>
        <w:rPr>
          <w:rFonts w:ascii="Times New Roman" w:cs="Times New Roman" w:eastAsia="Times New Roman" w:hAnsi="Times New Roman"/>
          <w:sz w:val="18"/>
          <w:szCs w:val="18"/>
          <w:color w:val="auto"/>
        </w:rPr>
      </w:pPr>
    </w:p>
    <w:p>
      <w:pPr>
        <w:ind w:left="820" w:right="140" w:hanging="407"/>
        <w:spacing w:after="0" w:line="261"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Unlimited payments for dividends and stock repurchases during the term of the Credit Agreement so long as the Total Net Leverage Ratio is equal to or less than 2.00x, and otherwise restrictions on payments for dividends and stock repurchases for the term of the Credit Agreement at $75 million (provided that the $75 million basket will reset at the end of each fiscal quarter when the Total Net Leverage ratio is less than or equal to 2.00x).</w:t>
      </w:r>
    </w:p>
    <w:p>
      <w:pPr>
        <w:spacing w:after="0" w:line="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Under the Credit Agreement:</w:t>
      </w:r>
    </w:p>
    <w:p>
      <w:pPr>
        <w:spacing w:after="0" w:line="104" w:lineRule="exact"/>
        <w:rPr>
          <w:sz w:val="20"/>
          <w:szCs w:val="20"/>
          <w:color w:val="auto"/>
        </w:rPr>
      </w:pPr>
    </w:p>
    <w:p>
      <w:pPr>
        <w:ind w:left="820" w:right="440" w:hanging="407"/>
        <w:spacing w:after="0" w:line="282"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Leverage Ratio is defined as the ratio of (a)(i) total indebtedness minus (ii) liquidity (the lesser of $50,000,000 and the aggregate amount of cash and cash equivalents) to (b) EBITDA (as defined in Credit Agreement "Credit EBITDA"); and</w:t>
      </w:r>
    </w:p>
    <w:p>
      <w:pPr>
        <w:spacing w:after="0" w:line="4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Coverage Ratio is defined as the ratio of (a) Credit EBITDA to (b) interest expense.</w:t>
      </w:r>
    </w:p>
    <w:p>
      <w:pPr>
        <w:spacing w:after="0" w:line="90"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Credit Agreement is secured by substantially all of the Company’s and its domestic subsidiaries’ assets, including equity in certain material first-tier foreign subsidiaries. Tredegar was in compliance with all of its debt covenants as of June 30, 2022. Noncompliance with any of the debt covenants may have a material adverse effect on its financial condition or liquidity, in the event such noncompliance cannot be cured or should the Company be unable to obtain a waiver from the lenders. Renegotiation of the covenant through an amendment to the Credit Agreement may effectively cure the noncompliance, but may have an effect on its financial condition or liquidity depending upon how the covenant is renegotiated.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 w:name="page23"/>
    <w:bookmarkEnd w:id="22"/>
    <w:p>
      <w:pPr>
        <w:jc w:val="right"/>
        <w:ind w:right="3640"/>
        <w:spacing w:after="0" w:line="354"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u w:val="single" w:color="auto"/>
          <w:color w:val="auto"/>
        </w:rPr>
        <w:t>Forward-looking and Cautionary Statements</w:t>
      </w:r>
    </w:p>
    <w:p>
      <w:pPr>
        <w:spacing w:after="0" w:line="1"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Some of the information contained in this Quarterly Report on Form 10-Q ("Form 10-Q") may constitute “forward-looking statements” within the meaning of the “safe harbor” provisions of the Private Securities Litigation Reform Act of 1995. When the Company uses the words “believe,” “estimate,” “anticipate,” “appear to,” “expect,” “project,” “plan,” “likely,” “may” and similar expressions, it does so to identify forward-looking statements. Such statements are based on the Company's then current expectations and are subject to a number of risks and uncertainties that could cause actual results to differ materially from those addressed in the forward-looking statements. It is possible that the Company's actual results and financial condition may differ, possibly materially, from the anticipated results and financial condition indicated in or implied by these forward-looking statements. In addition, the Company's current projections for its businesses could be materially affected by the highly uncertain impact of the COVID-19 pandemic. As a consequence, the Company's results could differ materially from its projections, depending on, among other things, the ultimate impact of the pandemic on employees, supply chains, customers and the U.S. and world economies. Accordingly, you should not place undue reliance on these forward-looking statements. Factors that could cause actual results to differ materially from expectations include, without limitation, the following:</w:t>
      </w:r>
    </w:p>
    <w:p>
      <w:pPr>
        <w:spacing w:after="0" w:line="7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gain of sales to significant customers on which the Company’s business is highly dependent;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sales to new customers to replace lost business;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efficiently manufacture and deliver new products at competitive prices;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Company’s customers to achieve success or maintain market share;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 rights;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doing business in countries outside the U.S. that affect our international operations;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regulatory factors concerning the Company’s products;</w:t>
      </w:r>
    </w:p>
    <w:p>
      <w:pPr>
        <w:spacing w:after="0" w:line="10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economic conditions in countries in which the Company does business, including rising inflation and the effects of the Russian invasion of Ukraine;</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manufacturers, including manufacturers in lower-cost countries and manufacturers benefiting from government subsidies;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fluctuations in foreign exchange rates;</w:t>
      </w:r>
    </w:p>
    <w:p>
      <w:pPr>
        <w:spacing w:after="0" w:line="1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movement of pension plan assets and liabilities up through initiating hedging activities to fix underfunding amounts and assumptions thereafter relating to differences between the ultimate settlement benefit obligation and the projected benefit obligation, census data, administrative costs, the effectiveness of hedging activities and discounts required to liquidate non-public securities held by the plan;</w:t>
      </w:r>
    </w:p>
    <w:p>
      <w:pPr>
        <w:spacing w:after="0" w:line="40" w:lineRule="exact"/>
        <w:rPr>
          <w:rFonts w:ascii="Times New Roman" w:cs="Times New Roman" w:eastAsia="Times New Roman" w:hAnsi="Times New Roman"/>
          <w:sz w:val="18"/>
          <w:szCs w:val="18"/>
          <w:color w:val="auto"/>
          <w:strike w:val="1"/>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operating costs incurred by the Company’s business units, including, for example, the cost of raw materials and energy;</w:t>
      </w:r>
    </w:p>
    <w:p>
      <w:pPr>
        <w:spacing w:after="0" w:line="103"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identify, complete or integrate strategic acquisitions; failure to realize the expected benefits of such acquisitions and assumption of unanticipated risks in such acquisitions;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Company’s manufacturing facilities, including those resulting from labor shortages;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continue to attract, develop and retain certain key officers or employees;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epidemics on employees, production and the global economy, such as the COVID-19 pandemic;</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information technology system failure or breach;</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imposition of tariffs and sanctions on imported aluminum ingot used by Bonnell Aluminum;</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tariffs, duties or other trade restrictions imposed as a result of trade tensions between the U.S. and other countries;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anti-dumping duties on products imported to Brazil that compete with products produced by Flexible Packaging;</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and maintain effective internal control over financial reporting;</w:t>
      </w:r>
    </w:p>
    <w:p>
      <w:pPr>
        <w:spacing w:after="0" w:line="10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and the other factors discussed in the reports Tredegar files with or furnishes to the Securities and Exchange Commission (the “SEC”) from time to time, including the risks and important factors set forth in additional detail in Part I, Item 1A of Tredegar’s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3" w:name="page24"/>
    <w:bookmarkEnd w:id="23"/>
    <w:p>
      <w:pPr>
        <w:ind w:right="480"/>
        <w:spacing w:after="0" w:line="282" w:lineRule="auto"/>
        <w:rPr>
          <w:sz w:val="20"/>
          <w:szCs w:val="20"/>
          <w:color w:val="auto"/>
        </w:rPr>
      </w:pPr>
      <w:r>
        <w:rPr>
          <w:rFonts w:ascii="Times New Roman" w:cs="Times New Roman" w:eastAsia="Times New Roman" w:hAnsi="Times New Roman"/>
          <w:sz w:val="18"/>
          <w:szCs w:val="18"/>
          <w:color w:val="auto"/>
        </w:rPr>
        <w:t>Annual Report on Form 10-K for the year ended December 31, 2021 (the “2021 Form 10-K”). Readers are urged to review and consider carefully the disclosures Tredegar makes in its filings with the SEC.</w:t>
      </w:r>
    </w:p>
    <w:p>
      <w:pPr>
        <w:spacing w:after="0" w:line="27" w:lineRule="exact"/>
        <w:rPr>
          <w:sz w:val="20"/>
          <w:szCs w:val="20"/>
          <w:color w:val="auto"/>
        </w:rPr>
      </w:pPr>
    </w:p>
    <w:p>
      <w:pPr>
        <w:ind w:right="480" w:firstLine="405"/>
        <w:spacing w:after="0" w:line="312" w:lineRule="auto"/>
        <w:rPr>
          <w:sz w:val="20"/>
          <w:szCs w:val="20"/>
          <w:color w:val="auto"/>
        </w:rPr>
      </w:pPr>
      <w:r>
        <w:rPr>
          <w:rFonts w:ascii="Times New Roman" w:cs="Times New Roman" w:eastAsia="Times New Roman" w:hAnsi="Times New Roman"/>
          <w:sz w:val="17"/>
          <w:szCs w:val="17"/>
          <w:color w:val="auto"/>
        </w:rPr>
        <w:t>Tredegar does not undertake, and expressly disclaims any duty, to update any forward-looking statement to reflect any change in management’s expectations or any change in conditions, assumptions or circumstances on which such statements are based, except as required by applicable law.</w:t>
      </w:r>
    </w:p>
    <w:p>
      <w:pPr>
        <w:spacing w:after="0" w:line="18"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References herein to “Tredegar,” “the Company,” “we,” “us” and “our” are to Tredegar Corporation and its subsidiaries, collectively, unless the context otherwise indicates or requires.</w:t>
      </w:r>
    </w:p>
    <w:p>
      <w:pPr>
        <w:spacing w:after="0" w:line="40"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Unless otherwise stated or indicated, all comparisons are to the prior year period. References to "Notes" are to notes to our condensed consolidated financial statements found in Part I, Item 1 of this Form 10-Q.</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108" w:lineRule="exact"/>
        <w:rPr>
          <w:sz w:val="20"/>
          <w:szCs w:val="20"/>
          <w:color w:val="auto"/>
        </w:rPr>
      </w:pPr>
    </w:p>
    <w:p>
      <w:pPr>
        <w:ind w:right="220" w:firstLine="405"/>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makes a number of estimates and assumptions relating to the reporting of results of operations and financial position in the preparation of financial statements in conformity with GAAP. The Company believes the estimates, assumptions and judgments described in the section “Management’s Discussion and Analysis of Financial Condition and Results of Operations – Critical Accounting Policies and Estimates” in the 2021 Form 10-K have the greatest potential impact on our financial statements, so Tredegar considers these to be its critical accounting policies. Since December 31, 2021, there have been no changes in these policies that have had a material impact on our results of operations or financial position.</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Business Overview</w:t>
      </w:r>
    </w:p>
    <w:p>
      <w:pPr>
        <w:spacing w:after="0" w:line="94"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Tredegar Corporation is an industrial manufacturer with three primary businesses: custom aluminum extrusions for the North American building and construction ("B&amp;C"), automotive and specialty end-use markets through its Aluminum Extrusions segment; surface protection films for high-technology applications in the global electronics industry through its PE Films segment; and specialized polyester films primarily for the Latin American flexible packaging market through its Flexible Packaging Films segment. With approximately 2,400 employees, the Company operates manufacturing facilities in North America, South America, and Asia.</w:t>
      </w:r>
    </w:p>
    <w:p>
      <w:pPr>
        <w:spacing w:after="0" w:line="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Earnings before interest, taxes, depreciation and amortization ("EBITDA") from ongoing operations is the measure of segment profit and loss used by Tredegar’s chief operating decision maker ("CODM") for purposes of assessing financial performance. The Company uses sales less freight (“net sales”) from continuing operations as its measure of revenues from external customers at the segment level. This measure is separately included in the financial information regularly provided to the CODM.</w:t>
      </w:r>
    </w:p>
    <w:p>
      <w:pPr>
        <w:spacing w:after="0" w:line="5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Earnings before interest and taxes ("EBIT") from ongoing operations is a non-GAAP financial measure included in the reconciliation of segment financial information to consolidated results for the Company. It is not intended to represent the stand-alone results for Tredegar's ongoing operations under generally accepted accounting standards in the United States ("GAAP") and should not be considered as an alternative to net income as defined by GAAP. We believe that EBIT is a widely understood and utilized metric that is meaningful to certain investors and that including this financial metric in the reconciliation of management’s performance metric, EBITDA from ongoing operations, provides useful information to those investors that primarily utilize EBIT to analyze the Company’s core operations.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Financial Results Highlights</w:t>
      </w:r>
    </w:p>
    <w:p>
      <w:pPr>
        <w:spacing w:after="0" w:line="108"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Second quarter 2022 net income from continuing operations was $14.8 million ($0.44 per diluted share) compared with net income from continuing operations of $20.7 million ($0.61 per diluted share) in the second quarter of 2021.</w:t>
      </w:r>
    </w:p>
    <w:p>
      <w:pPr>
        <w:spacing w:after="0" w:line="40"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from ongoing operations for Aluminum Extrusions of $21.9 million was $2.2 million higher than the second quarter of 2021</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from ongoing operations for PE Films of $7.1 million was $1.9 million lower than the second quarter of 2021</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from ongoing operations for Flexible Packaging Films of $7.6 million was $0.6 million lower than the second quarter of 2021</w:t>
      </w:r>
    </w:p>
    <w:p>
      <w:pPr>
        <w:spacing w:after="0" w:line="104"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 xml:space="preserve">All three of the Company's business segments continue to manage through supply chain disruptions and inflationary cost pressures, including raw material cost increases, shortages, transportation cost increases and delays. Refer to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below for additional information on raw material price trends. The Company attempts to mitigate the effects of increased costs through price increases and contractual pass-through provisions. At Bonnell Aluminum, labor shortages associated with the COVID-19 operating environment have resulted in production challenges and inefficiencies. However, current bookings and backlog remain at high levels.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4" w:name="page25"/>
    <w:bookmarkEnd w:id="24"/>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 xml:space="preserve">Other losses related to asset impairments and costs associated with exit and disposal activities for continuing operations were not material for the three ended June 30, 2022 and 2021, respectively. Gains and losses associated with plant shutdowns, asset impairments, restructurings and other items are described in </w:t>
      </w:r>
      <w:r>
        <w:rPr>
          <w:rFonts w:ascii="Times New Roman" w:cs="Times New Roman" w:eastAsia="Times New Roman" w:hAnsi="Times New Roman"/>
          <w:sz w:val="18"/>
          <w:szCs w:val="18"/>
          <w:b w:val="1"/>
          <w:bCs w:val="1"/>
          <w:i w:val="1"/>
          <w:iCs w:val="1"/>
          <w:color w:val="auto"/>
        </w:rPr>
        <w:t>Results of Operations</w:t>
      </w:r>
      <w:r>
        <w:rPr>
          <w:rFonts w:ascii="Times New Roman" w:cs="Times New Roman" w:eastAsia="Times New Roman" w:hAnsi="Times New Roman"/>
          <w:sz w:val="18"/>
          <w:szCs w:val="18"/>
          <w:color w:val="auto"/>
        </w:rPr>
        <w:t xml:space="preserve"> below.</w:t>
      </w:r>
    </w:p>
    <w:p>
      <w:pPr>
        <w:spacing w:after="0" w:line="3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Second Quarter of 2022 Compared with the Second Quarter of 2021</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a bridge of consolidated net income (loss) from continuing operations from second quarter of 2021 to second quarter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with related management's discussion and analysis below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 for the three months ended June 30, 2021</w:t>
            </w:r>
          </w:p>
        </w:tc>
        <w:tc>
          <w:tcPr>
            <w:tcW w:w="15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20,728</w:t>
            </w:r>
          </w:p>
        </w:tc>
      </w:tr>
      <w:tr>
        <w:trPr>
          <w:trHeight w:val="229"/>
        </w:trPr>
        <w:tc>
          <w:tcPr>
            <w:tcW w:w="8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5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5,723</w:t>
            </w:r>
          </w:p>
        </w:tc>
      </w:tr>
      <w:tr>
        <w:trPr>
          <w:trHeight w:val="223"/>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for the three months ended June 30, 2021</w:t>
            </w:r>
          </w:p>
        </w:tc>
        <w:tc>
          <w:tcPr>
            <w:tcW w:w="1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26,451</w:t>
            </w:r>
          </w:p>
        </w:tc>
      </w:tr>
      <w:tr>
        <w:trPr>
          <w:trHeight w:val="229"/>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income from increases (decreases) in the following items:</w:t>
            </w:r>
          </w:p>
        </w:tc>
        <w:tc>
          <w:tcPr>
            <w:tcW w:w="15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8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w:t>
            </w:r>
          </w:p>
        </w:tc>
        <w:tc>
          <w:tcPr>
            <w:tcW w:w="1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63,234</w:t>
            </w:r>
          </w:p>
        </w:tc>
      </w:tr>
      <w:tr>
        <w:trPr>
          <w:trHeight w:val="230"/>
        </w:trPr>
        <w:tc>
          <w:tcPr>
            <w:tcW w:w="88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5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(6,861)</w:t>
            </w:r>
          </w:p>
        </w:tc>
      </w:tr>
      <w:tr>
        <w:trPr>
          <w:trHeight w:val="223"/>
        </w:trPr>
        <w:tc>
          <w:tcPr>
            <w:tcW w:w="8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56,373</w:t>
            </w:r>
          </w:p>
        </w:tc>
      </w:tr>
      <w:tr>
        <w:trPr>
          <w:trHeight w:val="230"/>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income from (increases) decreases in the following items:</w:t>
            </w:r>
          </w:p>
        </w:tc>
        <w:tc>
          <w:tcPr>
            <w:tcW w:w="15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8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1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(59,396)</w:t>
            </w:r>
          </w:p>
        </w:tc>
      </w:tr>
      <w:tr>
        <w:trPr>
          <w:trHeight w:val="230"/>
        </w:trPr>
        <w:tc>
          <w:tcPr>
            <w:tcW w:w="8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Freight</w:t>
            </w:r>
          </w:p>
        </w:tc>
        <w:tc>
          <w:tcPr>
            <w:tcW w:w="1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w:t>
            </w:r>
          </w:p>
        </w:tc>
      </w:tr>
      <w:tr>
        <w:trPr>
          <w:trHeight w:val="229"/>
        </w:trPr>
        <w:tc>
          <w:tcPr>
            <w:tcW w:w="8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r>
      <w:tr>
        <w:trPr>
          <w:trHeight w:val="229"/>
        </w:trPr>
        <w:tc>
          <w:tcPr>
            <w:tcW w:w="88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23"/>
        </w:trPr>
        <w:tc>
          <w:tcPr>
            <w:tcW w:w="8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(62,480)</w:t>
            </w:r>
          </w:p>
        </w:tc>
      </w:tr>
      <w:tr>
        <w:trPr>
          <w:trHeight w:val="229"/>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for the three months ended June 30, 2022</w:t>
            </w:r>
          </w:p>
        </w:tc>
        <w:tc>
          <w:tcPr>
            <w:tcW w:w="1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20,344</w:t>
            </w:r>
          </w:p>
        </w:tc>
      </w:tr>
      <w:tr>
        <w:trPr>
          <w:trHeight w:val="230"/>
        </w:trPr>
        <w:tc>
          <w:tcPr>
            <w:tcW w:w="8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5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w:t>
            </w:r>
          </w:p>
        </w:tc>
      </w:tr>
      <w:tr>
        <w:trPr>
          <w:trHeight w:val="230"/>
        </w:trPr>
        <w:tc>
          <w:tcPr>
            <w:tcW w:w="8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 for the three months ended June 30, 2022</w:t>
            </w:r>
          </w:p>
        </w:tc>
        <w:tc>
          <w:tcPr>
            <w:tcW w:w="1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14,788</w:t>
            </w:r>
          </w:p>
        </w:tc>
      </w:tr>
    </w:tbl>
    <w:p>
      <w:pPr>
        <w:spacing w:after="0" w:line="171"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 xml:space="preserve">Sales in the second quarter of 2022 increased by $63.2 million compared with the second quarter of 2021. Net sales (sales less freight) in Aluminum Extrusions increased $51.0 million, primarily due to an increase in average selling prices to cover significantly higher aluminum raw material costs and higher operating costs. Net sales were flat in PE Films. Net sales in Flexible Packaging Films increased $8.2 million, primarily due to higher sales volume and higher selling prices from the pass-through of higher resin costs. For more information on net sales and volume, see the </w:t>
      </w:r>
      <w:r>
        <w:rPr>
          <w:rFonts w:ascii="Times New Roman" w:cs="Times New Roman" w:eastAsia="Times New Roman" w:hAnsi="Times New Roman"/>
          <w:sz w:val="18"/>
          <w:szCs w:val="18"/>
          <w:b w:val="1"/>
          <w:bCs w:val="1"/>
          <w:i w:val="1"/>
          <w:iCs w:val="1"/>
          <w:color w:val="auto"/>
        </w:rPr>
        <w:t>Segment Operations Review</w:t>
      </w:r>
      <w:r>
        <w:rPr>
          <w:rFonts w:ascii="Times New Roman" w:cs="Times New Roman" w:eastAsia="Times New Roman" w:hAnsi="Times New Roman"/>
          <w:sz w:val="18"/>
          <w:szCs w:val="18"/>
          <w:color w:val="auto"/>
        </w:rPr>
        <w:t xml:space="preserve"> below.</w:t>
      </w:r>
    </w:p>
    <w:p>
      <w:pPr>
        <w:spacing w:after="0" w:line="48"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Other income decreased $6.9 million in the second quarter of 2022 compared to the second quarter of 2021, primarily due to a 2021 gain of $8.5 million associated with a one-time tax credit in Brazil for unemployment/social security insurance non-income taxes resulting from a favorable decision by Brazil's Supreme Court regarding the calculation of such tax, partially offset by a gain realized during the three months ended June 30, 2022 related to additional cash consideration of $1.4 million received in connection with the Company's sale of its investment interests in kaleo, Inc. ("kaléo") due to customary post-closing adjustments. See Note 5 for additional information.</w:t>
      </w:r>
    </w:p>
    <w:p>
      <w:pPr>
        <w:spacing w:after="0" w:line="62"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Consolidated gross profit (sales minus cost of goods sold and freight) as a percentage of sales (gross profit margin) was 16.5% in the second quarter of 2022 compared to 21.5% in the second quarter of 2021. The gross profit margin in Aluminum Extrusions decreased primarily due to higher labor and employee-related costs, lower labor productivity, higher supply expense, higher utility costs, and higher freight rates. Additionally, the timing of the flow through under the first-in first-out method of aluminum raw material costs passed through to customers, previously acquired at higher prices in a quickly changing commodity pricing environment, resulted in a charge in the second quarter of 2022 versus a benefit in the second quarter of 2021. The gross profit margin in PE Films decreased primarily due to lower Surface Protection contribution margin related to previously disclosed customer product transitions and pricing pressures for products unrelated to the customer product transitions, partially offset by higher contribution margin related to non-transitioning products. The gross profit margin in Flexible Packaging Films decreased primarily due to higher raw material costs, higher fixed and variable costs, partially offset by higher selling prices from the pass-through of higher resin costs, higher sales volume, and favorable product mix.</w:t>
      </w:r>
    </w:p>
    <w:p>
      <w:pPr>
        <w:spacing w:after="0" w:line="67"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As a percentage of sales, selling, general and administrative (“SG&amp;A”) and research and development ("R&amp;D") expenses were 7.5% in the second quarter of 2022, compared with 10.3% in the second quarter of 2021. While second quarter SG&amp;A expenses declined and sales increased year-over-year, R&amp;D expenses remained consistent with prior year. Lower SG&amp;A spending is primarily due to lower stock-based compensation and lower professional fees associated with business development activities.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The effective tax rate used to compute income taxes for continuing operations in the second quarter of 2022 was 27.3%, compared to 21.9% in the second quarter of 2021. The increase in the effective tax rate for continuing operations is primarily due to the implementation of new U.S. tax regulations associated with foreign tax credits published by the U.S. Treasury and Internal Revenue Service on January 4, 2022. These regulations overhaul various components of the foreign tax credit regime including the determination of creditable foreign taxes and limit the amount of foreign taxes that are creditable against U.S. income taxes. The effective tax rate increases as the result of Brazilian income tax no longer being creditable in the U.S. for the foreseeable future under these regulations. See Note 9 for additional information.</w:t>
      </w:r>
    </w:p>
    <w:p>
      <w:pPr>
        <w:spacing w:after="0" w:line="52"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Pre-tax gains and losses associated with plant shutdowns, asset impairments, restructurings and other items for continuing operations in the second quarters of 2022 and 2021 detailed below are shown in the statements of net sales and EBITDA from ongoing operations by segment table in Note 10 and are included in “Asset impairments and costs associated with exit and disposal activities, net of adjustments” in the condensed consolidated statements of income, unless otherwise noted.</w:t>
      </w:r>
    </w:p>
    <w:tbl>
      <w:tblPr>
        <w:tblLayout w:type="fixed"/>
        <w:tblInd w:w="0" w:type="dxa"/>
        <w:tblCellMar>
          <w:top w:w="0" w:type="dxa"/>
          <w:left w:w="0" w:type="dxa"/>
          <w:bottom w:w="0" w:type="dxa"/>
          <w:right w:w="0" w:type="dxa"/>
        </w:tblCellMar>
      </w:tblPr>
      <w:tr>
        <w:trPr>
          <w:trHeight w:val="241"/>
        </w:trPr>
        <w:tc>
          <w:tcPr>
            <w:tcW w:w="900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w w:val="99"/>
              </w:rPr>
              <w:t>Three Months Ended June 30,</w:t>
            </w:r>
          </w:p>
        </w:tc>
      </w:tr>
      <w:tr>
        <w:trPr>
          <w:trHeight w:val="234"/>
        </w:trPr>
        <w:tc>
          <w:tcPr>
            <w:tcW w:w="9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9000" w:type="dxa"/>
            <w:vAlign w:val="bottom"/>
            <w:tcBorders>
              <w:bottom w:val="single" w:sz="8" w:color="auto"/>
            </w:tcBorders>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COVID-19-related expenses, net of relief</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9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for Aluminum Extrusions</w:t>
            </w: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9000" w:type="dxa"/>
            <w:vAlign w:val="bottom"/>
            <w:tcBorders>
              <w:bottom w:val="single" w:sz="8" w:color="auto"/>
            </w:tcBorders>
          </w:tcPr>
          <w:p>
            <w:pPr>
              <w:ind w:left="460"/>
              <w:spacing w:after="0" w:line="234" w:lineRule="exact"/>
              <w:rPr>
                <w:sz w:val="20"/>
                <w:szCs w:val="20"/>
                <w:color w:val="auto"/>
              </w:rPr>
            </w:pPr>
            <w:r>
              <w:rPr>
                <w:rFonts w:ascii="Times New Roman" w:cs="Times New Roman" w:eastAsia="Times New Roman" w:hAnsi="Times New Roman"/>
                <w:sz w:val="18"/>
                <w:szCs w:val="18"/>
                <w:color w:val="auto"/>
              </w:rPr>
              <w:t>COVID-19-related expenses</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9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for PE Films</w:t>
            </w: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9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losses from sale of assets, investment writedowns and other items: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181"/>
        </w:trPr>
        <w:tc>
          <w:tcPr>
            <w:tcW w:w="9000" w:type="dxa"/>
            <w:vAlign w:val="bottom"/>
          </w:tcPr>
          <w:p>
            <w:pPr>
              <w:ind w:left="460"/>
              <w:spacing w:after="0" w:line="181" w:lineRule="exact"/>
              <w:rPr>
                <w:sz w:val="20"/>
                <w:szCs w:val="20"/>
                <w:color w:val="auto"/>
              </w:rPr>
            </w:pPr>
            <w:r>
              <w:rPr>
                <w:rFonts w:ascii="Times New Roman" w:cs="Times New Roman" w:eastAsia="Times New Roman" w:hAnsi="Times New Roman"/>
                <w:sz w:val="18"/>
                <w:szCs w:val="18"/>
                <w:color w:val="auto"/>
              </w:rPr>
              <w:t>One-time tax credit in Brazil for unemployment/social security insurance non-income taxes resulting from a favorable</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38"/>
        </w:trPr>
        <w:tc>
          <w:tcPr>
            <w:tcW w:w="9000" w:type="dxa"/>
            <w:vAlign w:val="bottom"/>
            <w:tcBorders>
              <w:bottom w:val="single" w:sz="8" w:color="auto"/>
            </w:tcBorders>
          </w:tcPr>
          <w:p>
            <w:pPr>
              <w:ind w:left="460"/>
              <w:spacing w:after="0" w:line="237" w:lineRule="exact"/>
              <w:rPr>
                <w:sz w:val="20"/>
                <w:szCs w:val="20"/>
                <w:color w:val="auto"/>
              </w:rPr>
            </w:pPr>
            <w:r>
              <w:rPr>
                <w:rFonts w:ascii="Times New Roman" w:cs="Times New Roman" w:eastAsia="Times New Roman" w:hAnsi="Times New Roman"/>
                <w:sz w:val="18"/>
                <w:szCs w:val="18"/>
                <w:color w:val="auto"/>
              </w:rPr>
              <w:t>decision by Brazil's Supreme Court regarding the calculation of such taxes</w:t>
            </w:r>
            <w:r>
              <w:rPr>
                <w:rFonts w:ascii="Times New Roman" w:cs="Times New Roman" w:eastAsia="Times New Roman" w:hAnsi="Times New Roman"/>
                <w:sz w:val="23"/>
                <w:szCs w:val="23"/>
                <w:color w:val="auto"/>
                <w:vertAlign w:val="superscript"/>
              </w:rPr>
              <w:t>1,4</w:t>
            </w: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9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for Flexible Packaging Films</w:t>
            </w: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9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net of costs associated with the sale of the Lake Zurich manufacturing facility assets</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restructuring costs - severance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90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Professional fees associated with business development activities and other</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900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Professional fees associated with internal control over financial reporting</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90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Write-down of investment in Harbinger Capital Partners Special Situations Fund</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181"/>
        </w:trPr>
        <w:tc>
          <w:tcPr>
            <w:tcW w:w="900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Stock-based compensation expense associated with the fair value remeasurement of awards granted at the time of the</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38"/>
        </w:trPr>
        <w:tc>
          <w:tcPr>
            <w:tcW w:w="9000" w:type="dxa"/>
            <w:vAlign w:val="bottom"/>
          </w:tcPr>
          <w:p>
            <w:pPr>
              <w:ind w:left="360"/>
              <w:spacing w:after="0" w:line="237" w:lineRule="exact"/>
              <w:rPr>
                <w:sz w:val="20"/>
                <w:szCs w:val="20"/>
                <w:color w:val="auto"/>
              </w:rPr>
            </w:pPr>
            <w:r>
              <w:rPr>
                <w:rFonts w:ascii="Times New Roman" w:cs="Times New Roman" w:eastAsia="Times New Roman" w:hAnsi="Times New Roman"/>
                <w:sz w:val="18"/>
                <w:szCs w:val="18"/>
                <w:color w:val="auto"/>
              </w:rPr>
              <w:t>2020 special dividend</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90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Transition service fees, net of corporate costs associated with the divested Personal Care Films business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900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Net periodic benefit cost for the frozen defined benefit pension plan in process of termination</w:t>
            </w:r>
            <w:r>
              <w:rPr>
                <w:rFonts w:ascii="Times New Roman" w:cs="Times New Roman" w:eastAsia="Times New Roman" w:hAnsi="Times New Roman"/>
                <w:sz w:val="23"/>
                <w:szCs w:val="23"/>
                <w:color w:val="auto"/>
                <w:vertAlign w:val="superscript"/>
              </w:rPr>
              <w:t>3</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for Corporate</w:t>
            </w: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ind w:left="180" w:hanging="154"/>
        <w:spacing w:after="0" w:line="234" w:lineRule="auto"/>
        <w:tabs>
          <w:tab w:leader="none" w:pos="1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income (expense), net” in the condensed consolidated statements of income.</w:t>
      </w:r>
    </w:p>
    <w:p>
      <w:pPr>
        <w:ind w:left="180" w:hanging="154"/>
        <w:spacing w:after="0" w:line="211" w:lineRule="auto"/>
        <w:tabs>
          <w:tab w:leader="none" w:pos="1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“Selling, general and administrative expenses” in the condensed consolidated statements of income.</w:t>
      </w:r>
    </w:p>
    <w:p>
      <w:pPr>
        <w:ind w:left="20" w:right="60" w:firstLine="6"/>
        <w:spacing w:after="0" w:line="211" w:lineRule="auto"/>
        <w:tabs>
          <w:tab w:leader="none" w:pos="182"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$50 million contribution made to the pension plan ("Special Contribution") (see “Corporate Expenses, Interest, &amp; Other” section of this Form 10-Q), GAAP pension expense was a reasonable proxy for the Company’s required minimum cash contribution to the pension plan. The Company estimates that, with the Special Contribution, there will be no required minimum cash contributions until final settlement. Pension expense under GAAP is projected to be approximately $14 million in 2022, which is mainly comprised of non-cash amortization of deferred net actuarial losses reflected in the Company’s shareholders’ equity as accumulated other comprehensive losses. Beginning in 2022, and consistent with no expected required minimum cash contributions, no pension expense is included in calculating earnings before interest, taxes, depreciation and amortization as defined in the Company’s revolving credit agreement, which is used to compute certain borrowing ratios. See Note 4 for additional information.</w:t>
      </w:r>
    </w:p>
    <w:p>
      <w:pPr>
        <w:spacing w:after="0" w:line="1" w:lineRule="exact"/>
        <w:rPr>
          <w:rFonts w:ascii="Times New Roman" w:cs="Times New Roman" w:eastAsia="Times New Roman" w:hAnsi="Times New Roman"/>
          <w:sz w:val="16"/>
          <w:szCs w:val="16"/>
          <w:color w:val="auto"/>
        </w:rPr>
      </w:pPr>
    </w:p>
    <w:p>
      <w:pPr>
        <w:ind w:left="180" w:hanging="154"/>
        <w:spacing w:after="0"/>
        <w:tabs>
          <w:tab w:leader="none" w:pos="1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5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6" w:name="page27"/>
    <w:bookmarkEnd w:id="26"/>
    <w:p>
      <w:pPr>
        <w:ind w:left="420"/>
        <w:spacing w:after="0"/>
        <w:rPr>
          <w:sz w:val="20"/>
          <w:szCs w:val="20"/>
          <w:color w:val="auto"/>
        </w:rPr>
      </w:pPr>
      <w:r>
        <w:rPr>
          <w:rFonts w:ascii="Times New Roman" w:cs="Times New Roman" w:eastAsia="Times New Roman" w:hAnsi="Times New Roman"/>
          <w:sz w:val="18"/>
          <w:szCs w:val="18"/>
          <w:color w:val="auto"/>
        </w:rPr>
        <w:t>Average debt outstanding and interest rates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8"/>
          <w:szCs w:val="18"/>
          <w:color w:val="auto"/>
        </w:rPr>
        <w:t>Three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1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9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Floating-rate debt with interest charged on a rollover basis plus a credit spread</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Average outstanding debt balance</w:t>
            </w: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109.9</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133.8</w:t>
            </w:r>
          </w:p>
        </w:tc>
      </w:tr>
      <w:tr>
        <w:trPr>
          <w:trHeight w:val="236"/>
        </w:trPr>
        <w:tc>
          <w:tcPr>
            <w:tcW w:w="69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interest rate</w:t>
            </w:r>
          </w:p>
        </w:tc>
        <w:tc>
          <w:tcPr>
            <w:tcW w:w="14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4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bl>
    <w:p>
      <w:pPr>
        <w:ind w:left="180" w:right="40" w:hanging="154"/>
        <w:spacing w:after="0" w:line="222" w:lineRule="auto"/>
        <w:tabs>
          <w:tab w:leader="none" w:pos="19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Second Amended and Restated Credit Agreement dated June 29, 2022 as defined below, borrowings bear an interest rate equal to Secured Overnight Financing Rate ("SOFR") plus a credit spread adjustment of 10 basis points and an amount depending on the type of borrowing and commitment fees charged on the unused amount under the Credit Agreement. Prior to Second Amended and Restated Credit Agreement, the interest rate was based on London Inter-Bank Offered Rate ("LIBOR") plus an applicable credit spread.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section below for additional information.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First Six Months of 2022 Results vs. First Six Months of 2021 Results</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table presents a bridge of consolidated net income (loss) from continuing operations from first six months of 2021 to first six months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with related management's discussion and analysis below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 for the first six months ended June 30, 2021</w:t>
            </w:r>
          </w:p>
        </w:tc>
        <w:tc>
          <w:tcPr>
            <w:tcW w:w="14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30,346</w:t>
            </w:r>
          </w:p>
        </w:tc>
      </w:tr>
      <w:tr>
        <w:trPr>
          <w:trHeight w:val="229"/>
        </w:trPr>
        <w:tc>
          <w:tcPr>
            <w:tcW w:w="8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8,820</w:t>
            </w: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for the first six months ended June 30, 2021</w:t>
            </w:r>
          </w:p>
        </w:tc>
        <w:tc>
          <w:tcPr>
            <w:tcW w:w="1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39,166</w:t>
            </w:r>
          </w:p>
        </w:tc>
      </w:tr>
      <w:tr>
        <w:trPr>
          <w:trHeight w:val="229"/>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income from increases (decreases) in the following items:</w:t>
            </w:r>
          </w:p>
        </w:tc>
        <w:tc>
          <w:tcPr>
            <w:tcW w:w="14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w:t>
            </w:r>
          </w:p>
        </w:tc>
        <w:tc>
          <w:tcPr>
            <w:tcW w:w="1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114,978</w:t>
            </w:r>
          </w:p>
        </w:tc>
      </w:tr>
      <w:tr>
        <w:trPr>
          <w:trHeight w:val="230"/>
        </w:trPr>
        <w:tc>
          <w:tcPr>
            <w:tcW w:w="89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(7,888)</w:t>
            </w:r>
          </w:p>
        </w:tc>
      </w:tr>
      <w:tr>
        <w:trPr>
          <w:trHeight w:val="223"/>
        </w:trPr>
        <w:tc>
          <w:tcPr>
            <w:tcW w:w="8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107,090</w:t>
            </w:r>
          </w:p>
        </w:tc>
      </w:tr>
      <w:tr>
        <w:trPr>
          <w:trHeight w:val="230"/>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income from (increases) decreases in the following items:</w:t>
            </w:r>
          </w:p>
        </w:tc>
        <w:tc>
          <w:tcPr>
            <w:tcW w:w="14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1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(101,371)</w:t>
            </w:r>
          </w:p>
        </w:tc>
      </w:tr>
      <w:tr>
        <w:trPr>
          <w:trHeight w:val="230"/>
        </w:trPr>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Freight</w:t>
            </w:r>
          </w:p>
        </w:tc>
        <w:tc>
          <w:tcPr>
            <w:tcW w:w="1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(5,851)</w:t>
            </w:r>
          </w:p>
        </w:tc>
      </w:tr>
      <w:tr>
        <w:trPr>
          <w:trHeight w:val="230"/>
        </w:trPr>
        <w:tc>
          <w:tcPr>
            <w:tcW w:w="8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r>
      <w:tr>
        <w:trPr>
          <w:trHeight w:val="229"/>
        </w:trPr>
        <w:tc>
          <w:tcPr>
            <w:tcW w:w="89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(108,677)</w:t>
            </w:r>
          </w:p>
        </w:tc>
      </w:tr>
      <w:tr>
        <w:trPr>
          <w:trHeight w:val="229"/>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for the first six months ended June 30, 2022</w:t>
            </w:r>
          </w:p>
        </w:tc>
        <w:tc>
          <w:tcPr>
            <w:tcW w:w="1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37,579</w:t>
            </w:r>
          </w:p>
        </w:tc>
      </w:tr>
      <w:tr>
        <w:trPr>
          <w:trHeight w:val="230"/>
        </w:trPr>
        <w:tc>
          <w:tcPr>
            <w:tcW w:w="8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w:t>
            </w:r>
          </w:p>
        </w:tc>
      </w:tr>
      <w:tr>
        <w:trPr>
          <w:trHeight w:val="230"/>
        </w:trPr>
        <w:tc>
          <w:tcPr>
            <w:tcW w:w="8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 for the first six months ended June 30, 2022</w:t>
            </w: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31,245</w:t>
            </w:r>
          </w:p>
        </w:tc>
      </w:tr>
    </w:tbl>
    <w:p>
      <w:pPr>
        <w:spacing w:after="0" w:line="171" w:lineRule="exact"/>
        <w:rPr>
          <w:sz w:val="20"/>
          <w:szCs w:val="20"/>
          <w:color w:val="auto"/>
        </w:rPr>
      </w:pPr>
    </w:p>
    <w:p>
      <w:pPr>
        <w:ind w:right="180" w:firstLine="405"/>
        <w:spacing w:after="0" w:line="256" w:lineRule="auto"/>
        <w:rPr>
          <w:sz w:val="20"/>
          <w:szCs w:val="20"/>
          <w:color w:val="auto"/>
        </w:rPr>
      </w:pPr>
      <w:r>
        <w:rPr>
          <w:rFonts w:ascii="Times New Roman" w:cs="Times New Roman" w:eastAsia="Times New Roman" w:hAnsi="Times New Roman"/>
          <w:sz w:val="18"/>
          <w:szCs w:val="18"/>
          <w:color w:val="auto"/>
        </w:rPr>
        <w:t xml:space="preserve">Sales in the first six months of 2022 increased by $115.0 million compared with the first six months of 2021. Net sales (sales less freight) in Aluminum Extrusions increased $91.0 million, primarily due to an increase in average selling prices to cover significantly higher aluminum raw material costs and higher operating costs, partially offset by lower sales volume. Net sales increased $3.2 million in PE Films, primarily due to an increase in average selling prices associated with the pass-through of higher market-driven raw material costs. Net sales in Flexible Packaging Films increased $14.9 million, primarily due to higher selling prices from the pass-through of higher resin costs, favorable product mix and higher sales volume. For more information on net sales and volume, see the </w:t>
      </w:r>
      <w:r>
        <w:rPr>
          <w:rFonts w:ascii="Times New Roman" w:cs="Times New Roman" w:eastAsia="Times New Roman" w:hAnsi="Times New Roman"/>
          <w:sz w:val="18"/>
          <w:szCs w:val="18"/>
          <w:b w:val="1"/>
          <w:bCs w:val="1"/>
          <w:i w:val="1"/>
          <w:iCs w:val="1"/>
          <w:color w:val="auto"/>
        </w:rPr>
        <w:t>Segment Operations Review</w:t>
      </w:r>
      <w:r>
        <w:rPr>
          <w:rFonts w:ascii="Times New Roman" w:cs="Times New Roman" w:eastAsia="Times New Roman" w:hAnsi="Times New Roman"/>
          <w:sz w:val="18"/>
          <w:szCs w:val="18"/>
          <w:color w:val="auto"/>
        </w:rPr>
        <w:t xml:space="preserve"> below.</w:t>
      </w:r>
    </w:p>
    <w:p>
      <w:pPr>
        <w:spacing w:after="0" w:line="52"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Other income decreased $7.9 million in the first six months of 2022 compared to the first six months of 2021, primarily due to a 2021 gain of $8.5 million associated with a one-time tax credit in Brazil for unemployment/social security insurance non-income taxes resulting from a favorable decision by Brazil's Supreme Court regarding the calculation of such tax and a decline in unrealized losses of $0.5 million on the Company’s investment in Harbinger Capital Partners Special Situations Fund L.P., partially offset by a gain realized during the three months ended June 30, 2022 related to additional cash consideration of $1.4 million received in connection with the Company's sale of its investment interests kaléo due to customary post-closing adjustments. See Note 5 for additional information.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7" w:name="page28"/>
    <w:bookmarkEnd w:id="27"/>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Consolidated gross profit (sales minus cost of goods sold and freight) as a percentage of sales (gross profit margin) was 17.7% in the first six months of 2022 compared to 20.9% in the first six months of 2021. The gross profit margin in Aluminum Extrusions increased primarily due to higher pricing, net of the pass-through of aluminum raw material costs, partially offset by lower volume, higher labor and employee-related costs, lower labor productivity, higher maintenance costs, higher supply expense, higher utilities, and higher freight rates. The gross profit margin in PE Films decreased primarily due to lower Surface Protection contribution margin related to previously disclosed customer product transitions and competitive pricing pressures for products unrelated to the customer product transitions, partially offset by higher contribution margin for non-transitioning products and the pass-through lag associated with resin costs. The gross profit margin in Flexible Packaging Films decreased primarily due to higher raw material costs, higher fixed and variable costs, partially offset by higher selling prices from the pass-through of higher resin costs, higher sales volume and favorable product mix.</w:t>
      </w:r>
    </w:p>
    <w:p>
      <w:pPr>
        <w:spacing w:after="0" w:line="57"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As a percentage of SG&amp;A and R&amp;D expenses were 8.5% in the first six months of 2022, compared with 10.6% in the first six months of 2021. SG&amp;A expenses and net sales increased year-over-year, while R&amp;D expenses remained consistent with prior year. Increased SG&amp;A spending is primarily due to higher employee-related compensation.</w:t>
      </w:r>
    </w:p>
    <w:p>
      <w:pPr>
        <w:spacing w:after="0" w:line="5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effective tax rate used to compute income taxes for continuing operations in the first six months of 2022 was 16.9%, compared to 22.5% in the first six months of 2021. The decrease in the effective tax rate for continuing operations is primarily due to a discrete benefit recorded in the first quarter of 2022 resulting from the implementation of new U.S. tax regulations associated with foreign tax credits published by the U.S. Treasury and Internal Revenue Service on January 4, 2022. These regulations overhaul various components of the foreign tax credit regime including the determination of creditable foreign taxes and limit the amount of foreign taxes that are creditable against U.S. income taxes. This one-time discrete benefit is expected to reduce the effective tax rate for the remainder of 2022, which will be offset by an expected increase to the effective tax rate as the result of Brazilian income tax no longer being creditable in the U.S. for the foreseeable future. See Note 9 for additional information.</w:t>
      </w: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28" w:name="page29"/>
    <w:bookmarkEnd w:id="28"/>
    <w:p>
      <w:pPr>
        <w:jc w:val="both"/>
        <w:ind w:right="180" w:firstLine="405"/>
        <w:spacing w:after="0" w:line="261" w:lineRule="auto"/>
        <w:rPr>
          <w:sz w:val="20"/>
          <w:szCs w:val="20"/>
          <w:color w:val="auto"/>
        </w:rPr>
      </w:pPr>
      <w:r>
        <w:rPr>
          <w:rFonts w:ascii="Times New Roman" w:cs="Times New Roman" w:eastAsia="Times New Roman" w:hAnsi="Times New Roman"/>
          <w:sz w:val="18"/>
          <w:szCs w:val="18"/>
          <w:color w:val="auto"/>
        </w:rPr>
        <w:t>Pre-tax gains and losses associated with plant shutdowns, asset impairments, restructurings and other items for continuing operations in the first six months of 2022 and 2021 detailed below are shown in the statements of net sales and EBITDA from ongoing operations by segment table in Note 10 and are included in “Asset impairments and costs associated with exit and disposal activities, net of adjustments” in the condensed consolidated statements of income,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8"/>
          <w:szCs w:val="18"/>
          <w:color w:val="auto"/>
        </w:rPr>
        <w:t>Six Months Ended June 30,</w:t>
      </w:r>
    </w:p>
    <w:p>
      <w:pPr>
        <w:spacing w:after="0" w:line="27" w:lineRule="exact"/>
        <w:rPr>
          <w:sz w:val="20"/>
          <w:szCs w:val="20"/>
          <w:color w:val="auto"/>
        </w:rPr>
      </w:pPr>
    </w:p>
    <w:p>
      <w:pPr>
        <w:ind w:left="20"/>
        <w:spacing w:after="0"/>
        <w:tabs>
          <w:tab w:leader="none" w:pos="9520" w:val="left"/>
          <w:tab w:leader="none" w:pos="10540" w:val="left"/>
        </w:tabs>
        <w:rPr>
          <w:sz w:val="20"/>
          <w:szCs w:val="20"/>
          <w:color w:val="auto"/>
        </w:rPr>
      </w:pPr>
      <w:r>
        <w:rPr>
          <w:rFonts w:ascii="Times New Roman" w:cs="Times New Roman" w:eastAsia="Times New Roman" w:hAnsi="Times New Roman"/>
          <w:sz w:val="18"/>
          <w:szCs w:val="18"/>
          <w:color w:val="auto"/>
        </w:rPr>
        <w:t>(In millions)</w:t>
      </w:r>
      <w:r>
        <w:rPr>
          <w:sz w:val="20"/>
          <w:szCs w:val="20"/>
          <w:color w:val="auto"/>
        </w:rPr>
        <w:tab/>
      </w:r>
      <w:r>
        <w:rPr>
          <w:rFonts w:ascii="Times New Roman" w:cs="Times New Roman" w:eastAsia="Times New Roman" w:hAnsi="Times New Roman"/>
          <w:sz w:val="18"/>
          <w:szCs w:val="18"/>
          <w:color w:val="auto"/>
        </w:rPr>
        <w:t>2022</w:t>
      </w:r>
      <w:r>
        <w:rPr>
          <w:sz w:val="20"/>
          <w:szCs w:val="20"/>
          <w:color w:val="auto"/>
        </w:rPr>
        <w:tab/>
      </w:r>
      <w:r>
        <w:rPr>
          <w:rFonts w:ascii="Times New Roman" w:cs="Times New Roman" w:eastAsia="Times New Roman" w:hAnsi="Times New Roman"/>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Aluminum Extrusions:</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bl>
      <w:tblPr>
        <w:tblLayout w:type="fixed"/>
        <w:tblInd w:w="0" w:type="dxa"/>
        <w:tblCellMar>
          <w:top w:w="0" w:type="dxa"/>
          <w:left w:w="0" w:type="dxa"/>
          <w:bottom w:w="0" w:type="dxa"/>
          <w:right w:w="0" w:type="dxa"/>
        </w:tblCellMar>
      </w:tblPr>
      <w:tr>
        <w:trPr>
          <w:trHeight w:val="252"/>
        </w:trPr>
        <w:tc>
          <w:tcPr>
            <w:tcW w:w="9220" w:type="dxa"/>
            <w:vAlign w:val="bottom"/>
            <w:tcBorders>
              <w:bottom w:val="single" w:sz="8" w:color="auto"/>
            </w:tcBorders>
            <w:shd w:val="clear" w:color="auto" w:fill="CCEEFF"/>
          </w:tcPr>
          <w:p>
            <w:pPr>
              <w:ind w:left="460"/>
              <w:spacing w:after="0" w:line="252" w:lineRule="exact"/>
              <w:rPr>
                <w:sz w:val="20"/>
                <w:szCs w:val="20"/>
                <w:color w:val="auto"/>
              </w:rPr>
            </w:pPr>
            <w:r>
              <w:rPr>
                <w:rFonts w:ascii="Times New Roman" w:cs="Times New Roman" w:eastAsia="Times New Roman" w:hAnsi="Times New Roman"/>
                <w:sz w:val="18"/>
                <w:szCs w:val="18"/>
                <w:color w:val="auto"/>
              </w:rPr>
              <w:t>COVID-19-related expenses, net of relief</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9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for Aluminum Extrusions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1"/>
        </w:trPr>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8"/>
        </w:trPr>
        <w:tc>
          <w:tcPr>
            <w:tcW w:w="9220" w:type="dxa"/>
            <w:vAlign w:val="bottom"/>
            <w:tcBorders>
              <w:bottom w:val="single" w:sz="8" w:color="auto"/>
            </w:tcBorders>
          </w:tcPr>
          <w:p>
            <w:pPr>
              <w:ind w:left="460"/>
              <w:spacing w:after="0" w:line="237" w:lineRule="exact"/>
              <w:rPr>
                <w:sz w:val="20"/>
                <w:szCs w:val="20"/>
                <w:color w:val="auto"/>
              </w:rPr>
            </w:pPr>
            <w:r>
              <w:rPr>
                <w:rFonts w:ascii="Times New Roman" w:cs="Times New Roman" w:eastAsia="Times New Roman" w:hAnsi="Times New Roman"/>
                <w:sz w:val="18"/>
                <w:szCs w:val="18"/>
                <w:color w:val="auto"/>
              </w:rPr>
              <w:t>COVID-19-related expenses</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9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for PE Films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losses from sale of assets, investment writedowns and other items:</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176"/>
        </w:trPr>
        <w:tc>
          <w:tcPr>
            <w:tcW w:w="922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One-time tax credit in Brazil for unemployment/social security insurance non-income taxes resulting from a favorable</w:t>
            </w: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43"/>
        </w:trPr>
        <w:tc>
          <w:tcPr>
            <w:tcW w:w="9220" w:type="dxa"/>
            <w:vAlign w:val="bottom"/>
          </w:tcPr>
          <w:p>
            <w:pPr>
              <w:ind w:left="460"/>
              <w:spacing w:after="0" w:line="243" w:lineRule="exact"/>
              <w:rPr>
                <w:sz w:val="20"/>
                <w:szCs w:val="20"/>
                <w:color w:val="auto"/>
              </w:rPr>
            </w:pPr>
            <w:r>
              <w:rPr>
                <w:rFonts w:ascii="Times New Roman" w:cs="Times New Roman" w:eastAsia="Times New Roman" w:hAnsi="Times New Roman"/>
                <w:sz w:val="18"/>
                <w:szCs w:val="18"/>
                <w:color w:val="auto"/>
              </w:rPr>
              <w:t>decision by Brazil's Supreme Court regarding the calculation of such taxes</w:t>
            </w:r>
            <w:r>
              <w:rPr>
                <w:rFonts w:ascii="Times New Roman" w:cs="Times New Roman" w:eastAsia="Times New Roman" w:hAnsi="Times New Roman"/>
                <w:sz w:val="23"/>
                <w:szCs w:val="23"/>
                <w:color w:val="auto"/>
                <w:vertAlign w:val="superscript"/>
              </w:rPr>
              <w:t>1,4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9220" w:type="dxa"/>
            <w:vAlign w:val="bottom"/>
            <w:tcBorders>
              <w:bottom w:val="single" w:sz="8" w:color="auto"/>
            </w:tcBorders>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COVID-19-related expenses</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9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for Flexible Packaging Films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net of costs associated with the sale of the Lake Zurich manufacturing facility assets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restructuring costs - severance</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92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Professional fees associated with business development activities and other</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92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Professional fees associated with internal control over financial reporting</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92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Write-down of investment in Harbinger Capital Partners Special Situations Fund</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176"/>
        </w:trPr>
        <w:tc>
          <w:tcPr>
            <w:tcW w:w="92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w w:val="99"/>
              </w:rPr>
              <w:t>Stock-based compensation expense associated with the fair value remeasurement of awards granted at the time of the 2020</w:t>
            </w: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43"/>
        </w:trPr>
        <w:tc>
          <w:tcPr>
            <w:tcW w:w="922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18"/>
                <w:szCs w:val="18"/>
                <w:color w:val="auto"/>
              </w:rPr>
              <w:t>special dividend</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92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Transition service fees, net of corporate costs associated with the divested Personal Care Films business</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922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Net periodic benefit cost for the frozen defined benefit pension plan in process of termination</w:t>
            </w:r>
            <w:r>
              <w:rPr>
                <w:rFonts w:ascii="Times New Roman" w:cs="Times New Roman" w:eastAsia="Times New Roman" w:hAnsi="Times New Roman"/>
                <w:sz w:val="23"/>
                <w:szCs w:val="23"/>
                <w:color w:val="auto"/>
                <w:vertAlign w:val="superscript"/>
              </w:rPr>
              <w:t>3</w:t>
            </w:r>
          </w:p>
        </w:tc>
        <w:tc>
          <w:tcPr>
            <w:tcW w:w="3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for Corporate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80" w:hanging="154"/>
        <w:spacing w:after="0"/>
        <w:tabs>
          <w:tab w:leader="none" w:pos="1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income (expense), net” in the condensed consolidated statements of income.</w:t>
      </w:r>
    </w:p>
    <w:p>
      <w:pPr>
        <w:ind w:left="180" w:hanging="154"/>
        <w:spacing w:after="0" w:line="211" w:lineRule="auto"/>
        <w:tabs>
          <w:tab w:leader="none" w:pos="1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“Selling, general and administrative expenses” in the condensed consolidated statements of income.</w:t>
      </w:r>
    </w:p>
    <w:p>
      <w:pPr>
        <w:ind w:left="20" w:right="80" w:firstLine="6"/>
        <w:spacing w:after="0" w:line="211" w:lineRule="auto"/>
        <w:tabs>
          <w:tab w:leader="none" w:pos="182"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Special Contribution (see “Corporate Expenses, Interest, &amp; Other” section of this Form 10-Q), GAAP pension expense was a reasonable proxy for the Company’s required minimum cash contribution to the pension plan. The Company estimates that, with the Special Contribution, there will be no required minimum cash contributions until final settlement. Pension expense under GAAP is projected to be approximately $14 million in 2022, which is mainly comprised of non-cash amortization of deferred net actuarial losses reflected in the Company’s shareholders’ equity as accumulated other comprehensive losses. Beginning in 2022, and consistent with no expected required minimum cash contributions, no pension expense is included in calculating earnings before interest, taxes, depreciation and amortization as defined in the Company’s revolving credit agreement, which is used to compute certain borrowing ratios. See Note 4 for additional information.</w:t>
      </w:r>
    </w:p>
    <w:p>
      <w:pPr>
        <w:spacing w:after="0" w:line="1" w:lineRule="exact"/>
        <w:rPr>
          <w:rFonts w:ascii="Times New Roman" w:cs="Times New Roman" w:eastAsia="Times New Roman" w:hAnsi="Times New Roman"/>
          <w:sz w:val="16"/>
          <w:szCs w:val="16"/>
          <w:color w:val="auto"/>
        </w:rPr>
      </w:pPr>
    </w:p>
    <w:p>
      <w:pPr>
        <w:ind w:left="180" w:hanging="154"/>
        <w:spacing w:after="0"/>
        <w:tabs>
          <w:tab w:leader="none" w:pos="1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5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9" w:name="page30"/>
    <w:bookmarkEnd w:id="29"/>
    <w:p>
      <w:pPr>
        <w:ind w:left="420"/>
        <w:spacing w:after="0"/>
        <w:rPr>
          <w:sz w:val="20"/>
          <w:szCs w:val="20"/>
          <w:color w:val="auto"/>
        </w:rPr>
      </w:pPr>
      <w:r>
        <w:rPr>
          <w:rFonts w:ascii="Times New Roman" w:cs="Times New Roman" w:eastAsia="Times New Roman" w:hAnsi="Times New Roman"/>
          <w:sz w:val="18"/>
          <w:szCs w:val="18"/>
          <w:color w:val="auto"/>
        </w:rPr>
        <w:t>Average debt outstanding and interest rates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8"/>
          <w:szCs w:val="18"/>
          <w:color w:val="auto"/>
        </w:rPr>
        <w:t>Six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1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9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Floating-rate debt with interest charged on a rollover basis plus a credit spread</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Average outstanding debt balance</w:t>
            </w: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106.9</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136.1</w:t>
            </w:r>
          </w:p>
        </w:tc>
      </w:tr>
      <w:tr>
        <w:trPr>
          <w:trHeight w:val="237"/>
        </w:trPr>
        <w:tc>
          <w:tcPr>
            <w:tcW w:w="69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interest rate</w:t>
            </w:r>
          </w:p>
        </w:tc>
        <w:tc>
          <w:tcPr>
            <w:tcW w:w="14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4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bl>
    <w:p>
      <w:pPr>
        <w:jc w:val="both"/>
        <w:ind w:left="180" w:right="40" w:hanging="154"/>
        <w:spacing w:after="0" w:line="223" w:lineRule="auto"/>
        <w:tabs>
          <w:tab w:leader="none" w:pos="1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Second Amended and Restated Credit Agreement dated June 29, 2022 as defined below, borrowings bear an interest rate equal to SOFR plus a credit spread adjustment of 10 basis points and an amount depending on the type of borrowing and commitment fees charged on the unused amount under the Credit Agreement. Prior to Second Amended and Restated Credit Agreement, the interest rate was based on LIBOR plus an applicable credit spread.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section below for additional information.</w:t>
      </w:r>
    </w:p>
    <w:p>
      <w:pPr>
        <w:spacing w:after="0" w:line="15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u w:val="single" w:color="auto"/>
          <w:color w:val="auto"/>
        </w:rPr>
        <w:t>Segment Operations Review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Aluminum Extrusions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results for Aluminum Extrusions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Three Months Ended</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Favorable/</w:t>
            </w:r>
          </w:p>
        </w:tc>
        <w:tc>
          <w:tcPr>
            <w:tcW w:w="280" w:type="dxa"/>
            <w:vAlign w:val="bottom"/>
          </w:tcPr>
          <w:p>
            <w:pPr>
              <w:spacing w:after="0"/>
              <w:rPr>
                <w:sz w:val="20"/>
                <w:szCs w:val="20"/>
                <w:color w:val="auto"/>
              </w:rPr>
            </w:pPr>
          </w:p>
        </w:tc>
        <w:tc>
          <w:tcPr>
            <w:tcW w:w="232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Six Months Ended</w:t>
            </w:r>
          </w:p>
        </w:tc>
        <w:tc>
          <w:tcPr>
            <w:tcW w:w="148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8"/>
              </w:rPr>
              <w:t>Favorable/</w:t>
            </w:r>
          </w:p>
        </w:tc>
        <w:tc>
          <w:tcPr>
            <w:tcW w:w="0" w:type="dxa"/>
            <w:vAlign w:val="bottom"/>
          </w:tcPr>
          <w:p>
            <w:pPr>
              <w:spacing w:after="0"/>
              <w:rPr>
                <w:sz w:val="1"/>
                <w:szCs w:val="1"/>
                <w:color w:val="auto"/>
              </w:rPr>
            </w:pPr>
          </w:p>
        </w:tc>
      </w:tr>
      <w:tr>
        <w:trPr>
          <w:trHeight w:val="121"/>
        </w:trPr>
        <w:tc>
          <w:tcPr>
            <w:tcW w:w="2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June 30,</w:t>
            </w:r>
          </w:p>
        </w:tc>
        <w:tc>
          <w:tcPr>
            <w:tcW w:w="90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June 30,</w:t>
            </w:r>
          </w:p>
        </w:tc>
        <w:tc>
          <w:tcPr>
            <w:tcW w:w="90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9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vMerge w:val="continue"/>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5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(Unfavorable)</w:t>
            </w:r>
          </w:p>
        </w:tc>
        <w:tc>
          <w:tcPr>
            <w:tcW w:w="2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vMerge w:val="continue"/>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80" w:type="dxa"/>
            <w:vAlign w:val="bottom"/>
          </w:tcPr>
          <w:p>
            <w:pPr>
              <w:jc w:val="center"/>
              <w:ind w:left="10"/>
              <w:spacing w:after="0" w:line="156" w:lineRule="exact"/>
              <w:rPr>
                <w:sz w:val="20"/>
                <w:szCs w:val="20"/>
                <w:color w:val="auto"/>
              </w:rPr>
            </w:pPr>
            <w:r>
              <w:rPr>
                <w:rFonts w:ascii="Times New Roman" w:cs="Times New Roman" w:eastAsia="Times New Roman" w:hAnsi="Times New Roman"/>
                <w:sz w:val="18"/>
                <w:szCs w:val="18"/>
                <w:color w:val="auto"/>
                <w:w w:val="99"/>
              </w:rPr>
              <w:t>(Unfavorable)</w:t>
            </w:r>
          </w:p>
        </w:tc>
        <w:tc>
          <w:tcPr>
            <w:tcW w:w="0" w:type="dxa"/>
            <w:vAlign w:val="bottom"/>
          </w:tcPr>
          <w:p>
            <w:pPr>
              <w:spacing w:after="0"/>
              <w:rPr>
                <w:sz w:val="1"/>
                <w:szCs w:val="1"/>
                <w:color w:val="auto"/>
              </w:rPr>
            </w:pPr>
          </w:p>
        </w:tc>
      </w:tr>
      <w:tr>
        <w:trPr>
          <w:trHeight w:val="243"/>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Change</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48,960</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49,021</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91,970</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93,387</w:t>
            </w:r>
          </w:p>
        </w:tc>
        <w:tc>
          <w:tcPr>
            <w:tcW w:w="14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(1.5)%</w:t>
            </w:r>
          </w:p>
        </w:tc>
        <w:tc>
          <w:tcPr>
            <w:tcW w:w="0" w:type="dxa"/>
            <w:vAlign w:val="bottom"/>
          </w:tcPr>
          <w:p>
            <w:pPr>
              <w:spacing w:after="0"/>
              <w:rPr>
                <w:sz w:val="1"/>
                <w:szCs w:val="1"/>
                <w:color w:val="auto"/>
              </w:rPr>
            </w:pPr>
          </w:p>
        </w:tc>
      </w:tr>
      <w:tr>
        <w:trPr>
          <w:trHeight w:val="237"/>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190,308</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139,281</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36.6%</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348,417</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257,405</w:t>
            </w: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Ongoing operations: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21,895</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19,723</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11.0%</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45,814</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33,024</w:t>
            </w:r>
          </w:p>
        </w:tc>
        <w:tc>
          <w:tcPr>
            <w:tcW w:w="14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29"/>
        </w:trPr>
        <w:tc>
          <w:tcPr>
            <w:tcW w:w="29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(8,430)</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w:t>
            </w:r>
          </w:p>
        </w:tc>
        <w:tc>
          <w:tcPr>
            <w:tcW w:w="148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(3.3)%</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EBIT*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17,726</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15,691</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13.0%</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37,384</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24,862</w:t>
            </w: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37"/>
        </w:trPr>
        <w:tc>
          <w:tcPr>
            <w:tcW w:w="2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3,989</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158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6,870</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6,773</w:t>
            </w:r>
          </w:p>
        </w:tc>
        <w:tc>
          <w:tcPr>
            <w:tcW w:w="14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right="860" w:firstLine="18"/>
        <w:spacing w:after="0" w:line="404" w:lineRule="auto"/>
        <w:rPr>
          <w:sz w:val="20"/>
          <w:szCs w:val="20"/>
          <w:color w:val="auto"/>
        </w:rPr>
      </w:pPr>
      <w:r>
        <w:rPr>
          <w:rFonts w:ascii="Times New Roman" w:cs="Times New Roman" w:eastAsia="Times New Roman" w:hAnsi="Times New Roman"/>
          <w:sz w:val="18"/>
          <w:szCs w:val="18"/>
          <w:color w:val="auto"/>
        </w:rPr>
        <w:t xml:space="preserve">*See the table in Note 10 for a reconciliation of this non-GAAP measure to the most comparable measure calculated in accordance with GAAP. </w:t>
      </w:r>
      <w:r>
        <w:rPr>
          <w:rFonts w:ascii="Times New Roman" w:cs="Times New Roman" w:eastAsia="Times New Roman" w:hAnsi="Times New Roman"/>
          <w:sz w:val="18"/>
          <w:szCs w:val="18"/>
          <w:i w:val="1"/>
          <w:iCs w:val="1"/>
          <w:u w:val="single" w:color="auto"/>
          <w:color w:val="auto"/>
        </w:rPr>
        <w:t>Second Quarter 2022 Results vs. Second Quarter 2021 Results</w:t>
      </w:r>
    </w:p>
    <w:p>
      <w:pPr>
        <w:ind w:right="120" w:firstLine="405"/>
        <w:spacing w:after="0" w:line="253" w:lineRule="auto"/>
        <w:rPr>
          <w:sz w:val="20"/>
          <w:szCs w:val="20"/>
          <w:color w:val="auto"/>
        </w:rPr>
      </w:pPr>
      <w:r>
        <w:rPr>
          <w:rFonts w:ascii="Times New Roman" w:cs="Times New Roman" w:eastAsia="Times New Roman" w:hAnsi="Times New Roman"/>
          <w:sz w:val="18"/>
          <w:szCs w:val="18"/>
          <w:color w:val="auto"/>
        </w:rPr>
        <w:t>Net sales (sales less freight) in the second quarter of 2022 increased by 36.6% versus 2021 primarily due to an increase in average selling prices to cover significantly higher aluminum raw material costs and higher operating costs. Sales volume in the second quarter of 2022 was flat versus 2021. Sales volume in the specialty market, which represented 34% of total volume in 2021, decreased 8.8% in the second quarter of 2022 versus 2021. Sales volume in the automotive market, which represented 8% of total volume in 2021, declined 6.6% versus the second quarter of 2021. Nonresidential B&amp;C sales volume, which represented 51% of 2021 volume, increased 5.6% in the second quarter of 2022 versus 2021. The Company believes that actual sales volume during the first six months of 2022 was lower than demand due to pandemic-related labor shortages and resulting production inefficiencies. While the average number of direct labor employees at Bonnell Aluminum facilities increased approximately 9% in the second quarter of 2022 compared to the second quarter of 2021, the estimated average labor shortage levels were 101, 171 and 203 workers in the second and first quarters of 2022 and second quarter of 2021, respectively. Moreover, onboarding new employees has resulted in higher hiring and training costs in 2022 versus last year. Although bookings have slowed in the second quarter of 2022 versus the first quarter of 2022 and the second quarter of 2021, backlog remains at historically high levels.</w:t>
      </w:r>
    </w:p>
    <w:p>
      <w:pPr>
        <w:spacing w:after="0" w:line="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EBITDA from ongoing operations in the second quarter of 2022 increased by $2.2 million in comparison to the second quarter of 2021 primarily due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85" w:lineRule="exact"/>
        <w:rPr>
          <w:sz w:val="20"/>
          <w:szCs w:val="20"/>
          <w:color w:val="auto"/>
        </w:rPr>
      </w:pPr>
    </w:p>
    <w:p>
      <w:pPr>
        <w:ind w:left="660" w:right="20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pricing ($20.1 million, net of the pass-through of aluminum raw material costs), partially offset by: higher labor and employee-related costs ($2.6 million) and lower labor productivity ($2.2 million); higher supply expense, including significant price increases in paint, chemicals, packaging and other supplies ($2.5 million); higher utility costs ($1.7 million); higher freight rates ($2.9 million); and increased selling, general and administrative ("SG&amp;A") expenses ($1.2 million); 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ind w:left="660" w:right="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flow through under the first-in first-out method of aluminum raw material costs passed through to customers, previously acquired at higher prices in a quickly changing commodity pricing environment, resulted in a charge of $1.6 million in the second quarter of 2022 versus a benefit of $3.1 million in the second quarter of 2021. The charge in the second quarter of 2022 was net of a favorable impact from the lag in pricing ($0.3 million), in which products committed to customers at a specified price were shipped in a later period.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First Six Months of 2022 Results vs. First Six Months of 2021 Results</w:t>
      </w:r>
    </w:p>
    <w:p>
      <w:pPr>
        <w:spacing w:after="0" w:line="106"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Net sales in the first six months of 2022 increased by 35.4% versus 2021 primarily due to an increase in average selling prices to cover significantly higher aluminum raw material costs and higher operating costs, partially offset by lower sales volume. Sales volume in the first six months of 2022 decreased by 1.5% versus 2021.</w:t>
      </w:r>
    </w:p>
    <w:p>
      <w:pPr>
        <w:spacing w:after="0" w:line="54"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EBITDA from ongoing operations in the first six months of 2022 increased by $12.8 million in comparison to the first six months of 2021 primarily due to:</w:t>
      </w:r>
    </w:p>
    <w:p>
      <w:pPr>
        <w:spacing w:after="0" w:line="27" w:lineRule="exact"/>
        <w:rPr>
          <w:sz w:val="20"/>
          <w:szCs w:val="20"/>
          <w:color w:val="auto"/>
        </w:rPr>
      </w:pPr>
    </w:p>
    <w:p>
      <w:pPr>
        <w:ind w:left="660" w:right="28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pricing ($34.8 million, net of the pass-through of aluminum raw material costs), partially offset by: lower volume ($0.7 million); higher labor and employee-related costs ($3.9 million) and lower labor productivity ($3.3 million); higher maintenance costs ($1.4 million); higher supply expense, including significant price increases in paint, chemicals, packaging and other supplies ($5.9 million); higher utilities ($1.7 million); higher freight rates ($4.1 million); and increased SG&amp;A expenses ($2.4 million); and</w:t>
      </w:r>
    </w:p>
    <w:p>
      <w:pPr>
        <w:spacing w:after="0" w:line="58"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flow through under the first-in first-out method of aluminum raw material costs passed through to customers, previously acquired at lower prices in a quickly changing commodity pricing environment, resulted in a benefit of $5.5 million in the first six months of 2022 versus a benefit of $4.2 million in the first six months of 2021. The benefit in the first six months of 2022 was net of an adverse impact from the lag in pricing ($1.5 million), in which products committed to customers at a specified price were shipped in a later period.</w:t>
      </w:r>
    </w:p>
    <w:p>
      <w:pPr>
        <w:spacing w:after="0" w:line="58"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 xml:space="preserve">Aluminum Extrusions believes that it has adequate supply agreements for aluminum raw materials in 2022 and is in the process of securing supply sources to meet expected needs in 2023. Refer to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 this Form 10-Q for additional information on aluminum prices.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Projected Capital Expenditures and Depreciation &amp; Amortization</w:t>
      </w:r>
    </w:p>
    <w:p>
      <w:pPr>
        <w:spacing w:after="0" w:line="106"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Capital expenditures for Bonnell Aluminum are projected to be $31 million in 2022, including $15 million for new enterprise resource planning and manufacturing execution systems ("ERP/MES"), $6 million for infrastructure upgrades at the facilities located in Niles, Michigan, Carthage, Tennessee and Newnan, Georgia and $3 million for other strategic projects. The ERP/MES project is expected to cost $28 million over a two-year time span. In addition to strategic projects, approximately $7 million will be required to support continuity of current operations. Depreciation expense is projected to be $15 million in 2022. Amortization expense is projected to be $2 million in 2022.</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PE Films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results for PE Films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Three Months Ended</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Favorable/</w:t>
            </w:r>
          </w:p>
        </w:tc>
        <w:tc>
          <w:tcPr>
            <w:tcW w:w="240" w:type="dxa"/>
            <w:vAlign w:val="bottom"/>
          </w:tcPr>
          <w:p>
            <w:pPr>
              <w:spacing w:after="0"/>
              <w:rPr>
                <w:sz w:val="20"/>
                <w:szCs w:val="20"/>
                <w:color w:val="auto"/>
              </w:rPr>
            </w:pPr>
          </w:p>
        </w:tc>
        <w:tc>
          <w:tcPr>
            <w:tcW w:w="220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Six Months Ended</w:t>
            </w:r>
          </w:p>
        </w:tc>
        <w:tc>
          <w:tcPr>
            <w:tcW w:w="148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8"/>
              </w:rPr>
              <w:t>Favorable/</w:t>
            </w:r>
          </w:p>
        </w:tc>
        <w:tc>
          <w:tcPr>
            <w:tcW w:w="0" w:type="dxa"/>
            <w:vAlign w:val="bottom"/>
          </w:tcPr>
          <w:p>
            <w:pPr>
              <w:spacing w:after="0"/>
              <w:rPr>
                <w:sz w:val="1"/>
                <w:szCs w:val="1"/>
                <w:color w:val="auto"/>
              </w:rPr>
            </w:pPr>
          </w:p>
        </w:tc>
      </w:tr>
      <w:tr>
        <w:trPr>
          <w:trHeight w:val="130"/>
        </w:trPr>
        <w:tc>
          <w:tcPr>
            <w:tcW w:w="3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6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4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620" w:type="dxa"/>
            <w:vAlign w:val="bottom"/>
            <w:vMerge w:val="restart"/>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(Unfavorable)</w:t>
            </w:r>
          </w:p>
        </w:tc>
        <w:tc>
          <w:tcPr>
            <w:tcW w:w="2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vMerge w:val="continue"/>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480" w:type="dxa"/>
            <w:vAlign w:val="bottom"/>
            <w:vMerge w:val="restart"/>
          </w:tcPr>
          <w:p>
            <w:pPr>
              <w:jc w:val="center"/>
              <w:ind w:left="10"/>
              <w:spacing w:after="0" w:line="181" w:lineRule="exact"/>
              <w:rPr>
                <w:sz w:val="20"/>
                <w:szCs w:val="20"/>
                <w:color w:val="auto"/>
              </w:rPr>
            </w:pPr>
            <w:r>
              <w:rPr>
                <w:rFonts w:ascii="Times New Roman" w:cs="Times New Roman" w:eastAsia="Times New Roman" w:hAnsi="Times New Roman"/>
                <w:sz w:val="18"/>
                <w:szCs w:val="18"/>
                <w:color w:val="auto"/>
                <w:w w:val="99"/>
              </w:rPr>
              <w:t>(Unfavorable)</w:t>
            </w:r>
          </w:p>
        </w:tc>
        <w:tc>
          <w:tcPr>
            <w:tcW w:w="0" w:type="dxa"/>
            <w:vAlign w:val="bottom"/>
          </w:tcPr>
          <w:p>
            <w:pPr>
              <w:spacing w:after="0"/>
              <w:rPr>
                <w:sz w:val="1"/>
                <w:szCs w:val="1"/>
                <w:color w:val="auto"/>
              </w:rPr>
            </w:pPr>
          </w:p>
        </w:tc>
      </w:tr>
      <w:tr>
        <w:trPr>
          <w:trHeight w:val="20"/>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60" w:type="dxa"/>
            <w:vAlign w:val="bottom"/>
          </w:tcPr>
          <w:p>
            <w:pPr>
              <w:spacing w:after="0" w:line="20" w:lineRule="exact"/>
              <w:rPr>
                <w:sz w:val="1"/>
                <w:szCs w:val="1"/>
                <w:color w:val="auto"/>
              </w:rPr>
            </w:pPr>
          </w:p>
        </w:tc>
        <w:tc>
          <w:tcPr>
            <w:tcW w:w="9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Pr>
          <w:p>
            <w:pPr>
              <w:spacing w:after="0" w:line="20" w:lineRule="exact"/>
              <w:rPr>
                <w:sz w:val="1"/>
                <w:szCs w:val="1"/>
                <w:color w:val="auto"/>
              </w:rPr>
            </w:pPr>
          </w:p>
        </w:tc>
        <w:tc>
          <w:tcPr>
            <w:tcW w:w="86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162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Pr>
          <w:p>
            <w:pPr>
              <w:spacing w:after="0" w:line="20" w:lineRule="exact"/>
              <w:rPr>
                <w:sz w:val="1"/>
                <w:szCs w:val="1"/>
                <w:color w:val="auto"/>
              </w:rPr>
            </w:pPr>
          </w:p>
        </w:tc>
        <w:tc>
          <w:tcPr>
            <w:tcW w:w="8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4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Change</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9,639</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10,538</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(8.5)%</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20,192</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20,782</w:t>
            </w:r>
          </w:p>
        </w:tc>
        <w:tc>
          <w:tcPr>
            <w:tcW w:w="14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(2.8)%</w:t>
            </w:r>
          </w:p>
        </w:tc>
        <w:tc>
          <w:tcPr>
            <w:tcW w:w="0" w:type="dxa"/>
            <w:vAlign w:val="bottom"/>
          </w:tcPr>
          <w:p>
            <w:pPr>
              <w:spacing w:after="0"/>
              <w:rPr>
                <w:sz w:val="1"/>
                <w:szCs w:val="1"/>
                <w:color w:val="auto"/>
              </w:rPr>
            </w:pPr>
          </w:p>
        </w:tc>
      </w:tr>
      <w:tr>
        <w:trPr>
          <w:trHeight w:val="237"/>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31,424</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31,430</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62,555</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59,384</w:t>
            </w: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5"/>
              </w:rPr>
              <w:t>5.3%</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Ongoing operations: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7,065</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14,112</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16,213</w:t>
            </w:r>
          </w:p>
        </w:tc>
        <w:tc>
          <w:tcPr>
            <w:tcW w:w="14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9"/>
        </w:trPr>
        <w:tc>
          <w:tcPr>
            <w:tcW w:w="32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6.7%</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48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(2.1)%</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EBIT*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5,506</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(24.9)%</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10,958</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13,123</w:t>
            </w: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37"/>
        </w:trPr>
        <w:tc>
          <w:tcPr>
            <w:tcW w:w="3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1,163</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1,744</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4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 See the table in Note 10 for a reconciliation of this non-GAAP measure to the most comparable measure calculated in accordance with GAAP.</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Second Quarter 2022 Results vs. Second Quarter 2021 Results</w:t>
      </w:r>
    </w:p>
    <w:p>
      <w:pPr>
        <w:spacing w:after="0" w:line="92"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Net sales were flat in the second quarter of 2022 compared to the second quarter of 2021; sales volume decreased in both Surface Protection and overwrap films versus the second quarter of 2021.</w:t>
      </w:r>
    </w:p>
    <w:p>
      <w:pPr>
        <w:spacing w:after="0" w:line="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EBITDA from ongoing operations in the second quarter of 2022 decreased by $1.9 million versus the second quarter of 2021, primarily due to:</w:t>
      </w:r>
    </w:p>
    <w:p>
      <w:pPr>
        <w:spacing w:after="0" w:line="104" w:lineRule="exact"/>
        <w:rPr>
          <w:sz w:val="20"/>
          <w:szCs w:val="20"/>
          <w:color w:val="auto"/>
        </w:rPr>
      </w:pPr>
    </w:p>
    <w:p>
      <w:pPr>
        <w:ind w:left="660" w:right="3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$1.6 million decrease from Surface Protection associated with lower contribution margin related to previously disclosed customer product transitions ($2.2 million) and competitive pricing pressures for products unrelated to the customer product transitions ($1.9 million), partially offset by higher sales related to non-transitioning products ($1.8 million) and a foreign currency transaction gain of $0.5 million in the second quarter of 2022 versus a charge of $0.1 million in the second quarter of 2021; and</w:t>
      </w:r>
    </w:p>
    <w:p>
      <w:pPr>
        <w:spacing w:after="0" w:line="44"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$0.3 million decrease from overwrap films primarily due to lower sales volume ($0.3 million) and higher SG&amp;A expenses ($0.4 million), partially offset by a benefit from the pass-through lag associated with resin costs (charge of $0.2 million in the second quarter of 2022 versus a charge of $0.6 million in the second quarter of 2021).</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First Six Months of 2022 Results vs. First Six Months of 2021 Results</w:t>
      </w:r>
    </w:p>
    <w:p>
      <w:pPr>
        <w:spacing w:after="0" w:line="106"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Net sales increased by $3.2 million in the first six months of 2022 versus the first six months of 2021 primarily due to an increase in average selling prices associated with the pass-through of higher market-driven raw material costs. Sales volume declined in overwrap films and revenue and volume in Surface Protection were flat versus the first six months of 2021.</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EBITDA from ongoing operations in the first six months of 2022 decreased by $2.1 million versus the first six months of 2021, primarily due to:</w:t>
      </w:r>
    </w:p>
    <w:p>
      <w:pPr>
        <w:spacing w:after="0" w:line="104" w:lineRule="exact"/>
        <w:rPr>
          <w:sz w:val="20"/>
          <w:szCs w:val="20"/>
          <w:color w:val="auto"/>
        </w:rPr>
      </w:pPr>
    </w:p>
    <w:p>
      <w:pPr>
        <w:ind w:left="660" w:right="180" w:hanging="328"/>
        <w:spacing w:after="0" w:line="256" w:lineRule="auto"/>
        <w:tabs>
          <w:tab w:leader="none" w:pos="655"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A $2.5 million decrease from Surface Protection associated with lower contribution margin related to previously disclosed customer product transitions ($3.7 million) and competitive pricing pressures for products unrelated to the customer product transitions ($3.3 million), partially offset by higher contribution margin for non-transitioning products ($2.5 million), lower SG&amp;A expenses ($0.3 million), foreign currency transaction gain ($0.5 million) in the first six months of 2022 versus a charge ($0.1 million) in the first six months of 2021, and the pass-through lag associated with resin costs (benefit of $0.3 million in the first six months of 2022 versus a charge of $0.7 million in the first six months of 2021); and</w:t>
      </w:r>
    </w:p>
    <w:p>
      <w:pPr>
        <w:spacing w:after="0" w:line="64" w:lineRule="exact"/>
        <w:rPr>
          <w:rFonts w:ascii="Arial" w:cs="Arial" w:eastAsia="Arial" w:hAnsi="Arial"/>
          <w:sz w:val="18"/>
          <w:szCs w:val="18"/>
          <w:color w:val="auto"/>
        </w:rPr>
      </w:pPr>
    </w:p>
    <w:p>
      <w:pPr>
        <w:ind w:left="660" w:right="80" w:hanging="328"/>
        <w:spacing w:after="0" w:line="265" w:lineRule="auto"/>
        <w:tabs>
          <w:tab w:leader="none" w:pos="655"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A $0.4 million increase from overwrap films primarily related to a benefit from the pass-through lag associated with resin costs (benefit of $0.2 million in the first six months of 2022 versus a charge of $0.9 million in the first six months of 2021), partially offset by lower sales volume ($0.3 million) and higher freight and other operating expenses ($0.3 million).</w:t>
      </w:r>
    </w:p>
    <w:p>
      <w:pPr>
        <w:spacing w:after="0" w:line="40" w:lineRule="exact"/>
        <w:rPr>
          <w:sz w:val="20"/>
          <w:szCs w:val="20"/>
          <w:color w:val="auto"/>
        </w:rPr>
      </w:pPr>
    </w:p>
    <w:p>
      <w:pPr>
        <w:ind w:right="900" w:firstLine="405"/>
        <w:spacing w:after="0" w:line="361" w:lineRule="auto"/>
        <w:rPr>
          <w:sz w:val="20"/>
          <w:szCs w:val="20"/>
          <w:color w:val="auto"/>
        </w:rPr>
      </w:pPr>
      <w:r>
        <w:rPr>
          <w:rFonts w:ascii="Times New Roman" w:cs="Times New Roman" w:eastAsia="Times New Roman" w:hAnsi="Times New Roman"/>
          <w:sz w:val="18"/>
          <w:szCs w:val="18"/>
          <w:color w:val="auto"/>
        </w:rPr>
        <w:t xml:space="preserve">Refer to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 this Form 10-Q for additional information on resin prices. </w:t>
      </w:r>
      <w:r>
        <w:rPr>
          <w:rFonts w:ascii="Times New Roman" w:cs="Times New Roman" w:eastAsia="Times New Roman" w:hAnsi="Times New Roman"/>
          <w:sz w:val="18"/>
          <w:szCs w:val="18"/>
          <w:i w:val="1"/>
          <w:iCs w:val="1"/>
          <w:color w:val="auto"/>
        </w:rPr>
        <w:t>Customer Product Transitions and Other Factors in Surface Protection</w:t>
      </w:r>
    </w:p>
    <w:p>
      <w:pPr>
        <w:ind w:left="420"/>
        <w:spacing w:after="0"/>
        <w:rPr>
          <w:sz w:val="20"/>
          <w:szCs w:val="20"/>
          <w:color w:val="auto"/>
        </w:rPr>
      </w:pPr>
      <w:r>
        <w:rPr>
          <w:rFonts w:ascii="Times New Roman" w:cs="Times New Roman" w:eastAsia="Times New Roman" w:hAnsi="Times New Roman"/>
          <w:sz w:val="18"/>
          <w:szCs w:val="18"/>
          <w:color w:val="auto"/>
        </w:rPr>
        <w:t>The Surface Protection component of PE Films supports manufacturers of optical and other specialty substrates used in flat panel display products.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films are primarily used by customers to protect components of displays in the manufacturing and transportation processes and then discarded.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The Company previously reported the risk that a portion of its film products used in surface protection applications would be made obsolete by customer product transitions to less costly alternative processes or materials. The Company estimates that these transitions, which principally relate to one customer, adversely impacted pre-tax income from continuing operations as reported under GAAP and EBITDA from ongoing operations for PE Films by $14.8 million during 2021 versus 2020. A total decline of $7 million in pre-tax income from continuing operations as reported under GAAP and EBITDA from ongoing operations due to the transitions is expected in 2022 versus 2021, at which time the transitions are expected to be complete.</w:t>
      </w:r>
    </w:p>
    <w:p>
      <w:pPr>
        <w:spacing w:after="0" w:line="48"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Surface Protection business is continuing to experience competitive pricing pressures, unrelated to the customer product transitions, that are expected to adversely impact pre-tax income from continuing operations as reported under GAAP and EBITDA from ongoing operations by approximately $6 million for full year 2022 versus 2021. To offset the expected adverse impact of the customer transitions and pricing pressures, the Company is aggressively pursuing and making progress in generating contribution from sales of new surface protection products, applications and customers and driving production efficiencies and cost savings.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Projected Capital Expenditures and Depreciation &amp; Amortization</w:t>
      </w:r>
    </w:p>
    <w:p>
      <w:pPr>
        <w:spacing w:after="0" w:line="106" w:lineRule="exact"/>
        <w:rPr>
          <w:sz w:val="20"/>
          <w:szCs w:val="20"/>
          <w:color w:val="auto"/>
        </w:rPr>
      </w:pPr>
    </w:p>
    <w:p>
      <w:pPr>
        <w:jc w:val="both"/>
        <w:ind w:right="400" w:firstLine="405"/>
        <w:spacing w:after="0" w:line="266" w:lineRule="auto"/>
        <w:rPr>
          <w:sz w:val="20"/>
          <w:szCs w:val="20"/>
          <w:color w:val="auto"/>
        </w:rPr>
      </w:pPr>
      <w:r>
        <w:rPr>
          <w:rFonts w:ascii="Times New Roman" w:cs="Times New Roman" w:eastAsia="Times New Roman" w:hAnsi="Times New Roman"/>
          <w:sz w:val="18"/>
          <w:szCs w:val="18"/>
          <w:color w:val="auto"/>
        </w:rPr>
        <w:t>Capital expenditures for PE Films are projected to be $4 million in 2022, including $2 million for productivity projects and $2 million for capital expenditures required to support continuity of current operations. Depreciation expense is projected to be $6 million in 2022. There is no amortization expense for PE Films.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Flexible Packaging Films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results for Flexible Packaging Films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Three Months Ended</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Favorable/</w:t>
            </w:r>
          </w:p>
        </w:tc>
        <w:tc>
          <w:tcPr>
            <w:tcW w:w="200" w:type="dxa"/>
            <w:vAlign w:val="bottom"/>
          </w:tcPr>
          <w:p>
            <w:pPr>
              <w:spacing w:after="0"/>
              <w:rPr>
                <w:sz w:val="20"/>
                <w:szCs w:val="20"/>
                <w:color w:val="auto"/>
              </w:rPr>
            </w:pPr>
          </w:p>
        </w:tc>
        <w:tc>
          <w:tcPr>
            <w:tcW w:w="184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Six Months Ended</w:t>
            </w:r>
          </w:p>
        </w:tc>
        <w:tc>
          <w:tcPr>
            <w:tcW w:w="148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8"/>
              </w:rPr>
              <w:t>Favorable/</w:t>
            </w:r>
          </w:p>
        </w:tc>
        <w:tc>
          <w:tcPr>
            <w:tcW w:w="0" w:type="dxa"/>
            <w:vAlign w:val="bottom"/>
          </w:tcPr>
          <w:p>
            <w:pPr>
              <w:spacing w:after="0"/>
              <w:rPr>
                <w:sz w:val="1"/>
                <w:szCs w:val="1"/>
                <w:color w:val="auto"/>
              </w:rPr>
            </w:pPr>
          </w:p>
        </w:tc>
      </w:tr>
      <w:tr>
        <w:trPr>
          <w:trHeight w:val="122"/>
        </w:trPr>
        <w:tc>
          <w:tcPr>
            <w:tcW w:w="4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70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68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4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vMerge w:val="continue"/>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58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w w:val="99"/>
              </w:rPr>
              <w:t>(Unfavorable)</w:t>
            </w: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80" w:type="dxa"/>
            <w:vAlign w:val="bottom"/>
          </w:tcPr>
          <w:p>
            <w:pPr>
              <w:jc w:val="center"/>
              <w:ind w:left="10"/>
              <w:spacing w:after="0" w:line="164" w:lineRule="exact"/>
              <w:rPr>
                <w:sz w:val="20"/>
                <w:szCs w:val="20"/>
                <w:color w:val="auto"/>
              </w:rPr>
            </w:pPr>
            <w:r>
              <w:rPr>
                <w:rFonts w:ascii="Times New Roman" w:cs="Times New Roman" w:eastAsia="Times New Roman" w:hAnsi="Times New Roman"/>
                <w:sz w:val="18"/>
                <w:szCs w:val="18"/>
                <w:color w:val="auto"/>
                <w:w w:val="99"/>
              </w:rPr>
              <w:t>(Unfavorable)</w:t>
            </w:r>
          </w:p>
        </w:tc>
        <w:tc>
          <w:tcPr>
            <w:tcW w:w="0" w:type="dxa"/>
            <w:vAlign w:val="bottom"/>
          </w:tcPr>
          <w:p>
            <w:pPr>
              <w:spacing w:after="0"/>
              <w:rPr>
                <w:sz w:val="1"/>
                <w:szCs w:val="1"/>
                <w:color w:val="auto"/>
              </w:rPr>
            </w:pPr>
          </w:p>
        </w:tc>
      </w:tr>
      <w:tr>
        <w:trPr>
          <w:trHeight w:val="234"/>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Change</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9"/>
              </w:rPr>
              <w:t>2021</w:t>
            </w: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27,315</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12.7%</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53,321</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51,638</w:t>
            </w:r>
          </w:p>
        </w:tc>
        <w:tc>
          <w:tcPr>
            <w:tcW w:w="14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5"/>
              </w:rPr>
              <w:t>3.3%</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41,595</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33,374</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24.6%</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80,839</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65,895</w:t>
            </w: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Ongoing operations: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7,631</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12,665</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17,901</w:t>
            </w:r>
          </w:p>
        </w:tc>
        <w:tc>
          <w:tcPr>
            <w:tcW w:w="14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(15.2)%</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3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48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EBIT*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7,048</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11,533</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16,929</w:t>
            </w: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36"/>
        </w:trPr>
        <w:tc>
          <w:tcPr>
            <w:tcW w:w="4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3,264</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5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4,809</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4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right="820" w:firstLine="18"/>
        <w:spacing w:after="0" w:line="404" w:lineRule="auto"/>
        <w:rPr>
          <w:sz w:val="20"/>
          <w:szCs w:val="20"/>
          <w:color w:val="auto"/>
        </w:rPr>
      </w:pPr>
      <w:r>
        <w:rPr>
          <w:rFonts w:ascii="Times New Roman" w:cs="Times New Roman" w:eastAsia="Times New Roman" w:hAnsi="Times New Roman"/>
          <w:sz w:val="18"/>
          <w:szCs w:val="18"/>
          <w:color w:val="auto"/>
        </w:rPr>
        <w:t xml:space="preserve">* See the table in Note 10 for a reconciliation of this non-GAAP measure to the most comparable measure calculated in accordance with GAAP. </w:t>
      </w:r>
      <w:r>
        <w:rPr>
          <w:rFonts w:ascii="Times New Roman" w:cs="Times New Roman" w:eastAsia="Times New Roman" w:hAnsi="Times New Roman"/>
          <w:sz w:val="18"/>
          <w:szCs w:val="18"/>
          <w:i w:val="1"/>
          <w:iCs w:val="1"/>
          <w:u w:val="single" w:color="auto"/>
          <w:color w:val="auto"/>
        </w:rPr>
        <w:t>Second Quarter 2022 Results vs. Second Quarter 2021 Results</w:t>
      </w: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Net sales in the second quarter of 2022 increased 24.6% compared to the second quarter of 2021, primarily due to higher sales volume and higher selling prices from the pass-through of higher resin costs.</w:t>
      </w:r>
    </w:p>
    <w:p>
      <w:pPr>
        <w:spacing w:after="0" w:line="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EBITDA from ongoing operations in the second quarter of 2022 decreased by $0.6 million versus the second quarter of 2021 primarily due to:</w:t>
      </w:r>
    </w:p>
    <w:p>
      <w:pPr>
        <w:spacing w:after="0" w:line="90" w:lineRule="exact"/>
        <w:rPr>
          <w:sz w:val="20"/>
          <w:szCs w:val="20"/>
          <w:color w:val="auto"/>
        </w:rPr>
      </w:pPr>
    </w:p>
    <w:p>
      <w:pPr>
        <w:ind w:left="660" w:right="12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raw material costs ($5.4 million), higher SG&amp;A expenses ($0.7 million), and higher fixed ($0.6 million) and variable costs ($0.3 million), partially offset by higher selling prices ($4.2 million) from the pass-through of higher resin costs, higher sales volume ($1.7 million), and favorable product mix ($0.5 million);</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unfavorable foreign currency translation of Real-denominated operating costs ($1.2 million); and</w:t>
      </w:r>
    </w:p>
    <w:p>
      <w:pPr>
        <w:spacing w:after="0" w:line="103"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transaction gains ($0.6 million) in the second quarter of 2022 compared to foreign currency transaction losses ($0.5 million) in the second quarter of 2021.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First Six Months of 2022 Results vs. First Six Months of 2021 Results</w:t>
      </w:r>
    </w:p>
    <w:p>
      <w:pPr>
        <w:spacing w:after="0" w:line="106"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Net sales in the first six months of 2022 increased 22.7% compared to the first six months of 2021, primarily due to higher selling prices from the pass-through of higher resin costs, favorable product mix and higher sales volume.</w:t>
      </w:r>
    </w:p>
    <w:p>
      <w:pPr>
        <w:spacing w:after="0" w:line="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EBITDA from ongoing operations in the first six months of 2022 decreased by $5.2 million versus the first six months of 2021 primarily due to:</w:t>
      </w:r>
    </w:p>
    <w:p>
      <w:pPr>
        <w:spacing w:after="0" w:line="90" w:lineRule="exact"/>
        <w:rPr>
          <w:sz w:val="20"/>
          <w:szCs w:val="20"/>
          <w:color w:val="auto"/>
        </w:rPr>
      </w:pPr>
    </w:p>
    <w:p>
      <w:pPr>
        <w:jc w:val="both"/>
        <w:ind w:left="660" w:right="20" w:hanging="328"/>
        <w:spacing w:after="0" w:line="265" w:lineRule="auto"/>
        <w:tabs>
          <w:tab w:leader="none" w:pos="655"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Higher raw material costs ($10.8 million), higher fixed ($0.3 million) and variable costs ($1.5 million), and higher SG&amp;A expenses ($0.7 million), partially offset by higher selling prices ($8.0 million) from the pass-through of higher resin costs, higher sales volume ($0.9 million) and favorable product mix ($0.8 million);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p>
      <w:pPr>
        <w:ind w:left="660" w:hanging="328"/>
        <w:spacing w:after="0"/>
        <w:tabs>
          <w:tab w:leader="none" w:pos="66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Net unfavorable foreign currency translation of Real-denominated operating costs ($1.5 million); and</w:t>
      </w:r>
    </w:p>
    <w:p>
      <w:pPr>
        <w:spacing w:after="0" w:line="89" w:lineRule="exact"/>
        <w:rPr>
          <w:rFonts w:ascii="Arial" w:cs="Arial" w:eastAsia="Arial" w:hAnsi="Arial"/>
          <w:sz w:val="18"/>
          <w:szCs w:val="18"/>
          <w:color w:val="auto"/>
        </w:rPr>
      </w:pPr>
    </w:p>
    <w:p>
      <w:pPr>
        <w:ind w:left="660" w:right="40" w:hanging="328"/>
        <w:spacing w:after="0" w:line="281" w:lineRule="auto"/>
        <w:tabs>
          <w:tab w:leader="none" w:pos="655"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Foreign currency transaction losses ($0.3 million) in the first six months of 2022 compared to foreign currency transaction losses ($0.1 million) in the first six months of 2021.</w:t>
      </w:r>
    </w:p>
    <w:p>
      <w:pPr>
        <w:spacing w:after="0" w:line="39" w:lineRule="exact"/>
        <w:rPr>
          <w:sz w:val="20"/>
          <w:szCs w:val="20"/>
          <w:color w:val="auto"/>
        </w:rPr>
      </w:pPr>
    </w:p>
    <w:p>
      <w:pPr>
        <w:ind w:right="400" w:firstLine="405"/>
        <w:spacing w:after="0" w:line="284" w:lineRule="auto"/>
        <w:rPr>
          <w:sz w:val="20"/>
          <w:szCs w:val="20"/>
          <w:color w:val="auto"/>
        </w:rPr>
      </w:pPr>
      <w:r>
        <w:rPr>
          <w:rFonts w:ascii="Times New Roman" w:cs="Times New Roman" w:eastAsia="Times New Roman" w:hAnsi="Times New Roman"/>
          <w:sz w:val="18"/>
          <w:szCs w:val="18"/>
          <w:color w:val="auto"/>
        </w:rPr>
        <w:t xml:space="preserve">Refer to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 this Form 10-Q for additional information on polyester fiber and component price trends.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Projected Capital Expenditures and Depreciation &amp; Amortization</w:t>
      </w:r>
    </w:p>
    <w:p>
      <w:pPr>
        <w:spacing w:after="0" w:line="92" w:lineRule="exact"/>
        <w:rPr>
          <w:sz w:val="20"/>
          <w:szCs w:val="20"/>
          <w:color w:val="auto"/>
        </w:rPr>
      </w:pPr>
    </w:p>
    <w:p>
      <w:pPr>
        <w:jc w:val="both"/>
        <w:ind w:right="360" w:firstLine="405"/>
        <w:spacing w:after="0" w:line="266" w:lineRule="auto"/>
        <w:rPr>
          <w:sz w:val="20"/>
          <w:szCs w:val="20"/>
          <w:color w:val="auto"/>
        </w:rPr>
      </w:pPr>
      <w:r>
        <w:rPr>
          <w:rFonts w:ascii="Times New Roman" w:cs="Times New Roman" w:eastAsia="Times New Roman" w:hAnsi="Times New Roman"/>
          <w:sz w:val="18"/>
          <w:szCs w:val="18"/>
          <w:color w:val="auto"/>
        </w:rPr>
        <w:t>Capital expenditures for Flexible Packaging Films are projected to be $8 million in 2022, including $4 million for new capacity for value-added products and productivity projects and $4 million for capital expenditures required to support continuity of current operations. Depreciation expense is projected to be $2 million in 2022. Amortization expense is projected to be $0.4 million in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Corporate Expenses, Interest &amp; Other</w:t>
      </w:r>
    </w:p>
    <w:p>
      <w:pPr>
        <w:spacing w:after="0" w:line="121"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Corporate expenses, net in the first six months of 2022 decreased $1.4 million compared to first six months of 2021 primarily due to lower stock-based compensation ($1.0 million) and lower professional fees associated with remediation activities related to the Company's previously disclosed material weaknesses in internal control over financial reporting ($0.5 million).</w:t>
      </w:r>
    </w:p>
    <w:p>
      <w:pPr>
        <w:spacing w:after="0" w:line="54"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Interest expense of $2.0 million in the first six months of 2022 increased $0.3 million compared to the first six months of 2021 due to higher average interest rates during the second quarter of 2022, partially offset by lower average debt levels.</w:t>
      </w:r>
    </w:p>
    <w:p>
      <w:pPr>
        <w:spacing w:after="0" w:line="27"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Pension expense under GAAP of $6.9 million in the first six months of 2022 remained consistent with the first six months of 2021. On February 10, 2022, Tredegar announced the initiation of a process to terminate and settle its frozen defined benefit pension plan, which could take up to 24 months to complete. In connection therewith, the Company borrowed funds under its revolving credit agreement and made a $50 million contribution to the pension plan (the “Special Contribution”) to reduce its underfunding and as part of a program within the pension plan to hedge or fix the expected future contributions that will be needed by the Company through the settlement process. The Company expects to realize income tax cash benefits on the Special Contribution of approximately $11 million in 2022. Administrative costs for the pension plan through the settlement process are estimated at $4 to $5 million.</w:t>
      </w:r>
    </w:p>
    <w:p>
      <w:pPr>
        <w:spacing w:after="0" w:line="67"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Tredegar’s frozen defined benefit pension plan was underfunded on a GAAP basis by $69 million at December 31, 2021, comprised of investments at fair value of $245 million and a projected benefit obligation (“PBO”) of $314 million. GAAP accounting requires adjustment for changes in values of assets and the PBO only at the end of each year, even though these values change daily. The Company estimates that the Special Contribution and changes to the values of pension plan assets and liabilities resulted in a decrease in the underfunding on a GAAP basis from $69 million at December 31, 2021 to approximately $12 million at June 30, 2022. The ultimate settlement benefit obligation may differ from the PBO, depending on market factors for buyers of pension obligations at the time of settlement.</w:t>
      </w:r>
    </w:p>
    <w:p>
      <w:pPr>
        <w:spacing w:after="0" w:line="66"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Prior to the Special Contribution, GAAP pension expense was a reasonable proxy for the Company’s required minimum cash contribution to the pension plan. The Company estimates that, with the Special Contribution, there will be no required minimum cash contributions until final settlement. Pension expense under GAAP is projected to be approximately $14 million in 2022, which is mainly comprised of non-cash amortization of deferred net actuarial losses reflected in the Company’s shareholders’ equity as accumulated other comprehensive losses. Beginning in 2022, and consistent with no expected required minimum cash contributions, no pension expense is included in calculating earnings before interest, taxes, depreciation and amortization as defined in the Company’s revolving credit agreement ("Credit EBITDA").</w:t>
      </w:r>
    </w:p>
    <w:p>
      <w:pPr>
        <w:spacing w:after="0" w:line="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Net capitalization and other credit measures are provided in </w:t>
      </w:r>
      <w:r>
        <w:rPr>
          <w:rFonts w:ascii="Times New Roman" w:cs="Times New Roman" w:eastAsia="Times New Roman" w:hAnsi="Times New Roman"/>
          <w:sz w:val="18"/>
          <w:szCs w:val="18"/>
          <w:b w:val="1"/>
          <w:bCs w:val="1"/>
          <w:i w:val="1"/>
          <w:iCs w:val="1"/>
          <w:color w:val="auto"/>
        </w:rPr>
        <w:t>Liquidity and Capital Resources</w:t>
      </w:r>
      <w:r>
        <w:rPr>
          <w:rFonts w:ascii="Times New Roman" w:cs="Times New Roman" w:eastAsia="Times New Roman" w:hAnsi="Times New Roman"/>
          <w:sz w:val="18"/>
          <w:szCs w:val="18"/>
          <w:color w:val="auto"/>
        </w:rPr>
        <w:t xml:space="preserve"> below.</w:t>
      </w:r>
    </w:p>
    <w:p>
      <w:pPr>
        <w:spacing w:after="0" w:line="10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08"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The Company continues to focus on improving working capital management. Measures such as days sales outstanding (“DSO”), days inventory outstanding (“DIO”) and days payables outstanding (“DPO”) are used to evaluate changes in working capital. Changes in operating assets and liabilities from continuing operations from December 31, 2021 to June 30, 2022 are summarized below. Cash flows for discontinued operations have not been separately disclosed in the condensed consolidated statements of cash flows.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4" w:name="page35"/>
    <w:bookmarkEnd w:id="34"/>
    <w:p>
      <w:pPr>
        <w:ind w:left="400" w:hanging="392"/>
        <w:spacing w:after="0"/>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increased $24.7 million (23.9%).</w:t>
      </w:r>
    </w:p>
    <w:p>
      <w:pPr>
        <w:spacing w:after="0" w:line="90" w:lineRule="exact"/>
        <w:rPr>
          <w:rFonts w:ascii="Times New Roman" w:cs="Times New Roman" w:eastAsia="Times New Roman" w:hAnsi="Times New Roman"/>
          <w:sz w:val="18"/>
          <w:szCs w:val="18"/>
          <w:color w:val="auto"/>
        </w:rPr>
      </w:pPr>
    </w:p>
    <w:p>
      <w:pPr>
        <w:ind w:left="820" w:right="40" w:hanging="407"/>
        <w:spacing w:after="0" w:line="261" w:lineRule="auto"/>
        <w:tabs>
          <w:tab w:leader="none" w:pos="816" w:val="left"/>
        </w:tabs>
        <w:numPr>
          <w:ilvl w:val="1"/>
          <w:numId w:val="23"/>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Accounts and other receivables in Aluminum Extrusions increased $21.5 million primarily due to an increase in average selling prices to cover significantly higher aluminum raw material costs and higher operating costs, partially offset by lower sales volume. DSO (represents trailing 12 months net sales divided by a rolling 12-month average of accounts and other receivables balances) was approximately 48.2 days for the 12 months ended June 30, 2022 and 47.6 days for the 12 months ended December 31, 2021.</w:t>
      </w:r>
    </w:p>
    <w:p>
      <w:pPr>
        <w:spacing w:after="0" w:line="58" w:lineRule="exact"/>
        <w:rPr>
          <w:rFonts w:ascii="Times New Roman" w:cs="Times New Roman" w:eastAsia="Times New Roman" w:hAnsi="Times New Roman"/>
          <w:sz w:val="18"/>
          <w:szCs w:val="18"/>
          <w:color w:val="auto"/>
          <w:strike w:val="1"/>
        </w:rPr>
      </w:pPr>
    </w:p>
    <w:p>
      <w:pPr>
        <w:jc w:val="both"/>
        <w:ind w:left="820" w:right="300" w:hanging="407"/>
        <w:spacing w:after="0" w:line="266" w:lineRule="auto"/>
        <w:tabs>
          <w:tab w:leader="none" w:pos="81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in PE Films decreased $0.9 million due to lower sales volume in both overwrap films and surface protection films. DSO was approximately 28.4 days for the 12 months ended June 30, 2022 remained flat in comparison to the DSO for the 12 months ended December 31, 2021.</w:t>
      </w:r>
    </w:p>
    <w:p>
      <w:pPr>
        <w:spacing w:after="0" w:line="54" w:lineRule="exact"/>
        <w:rPr>
          <w:rFonts w:ascii="Times New Roman" w:cs="Times New Roman" w:eastAsia="Times New Roman" w:hAnsi="Times New Roman"/>
          <w:sz w:val="18"/>
          <w:szCs w:val="18"/>
          <w:color w:val="auto"/>
        </w:rPr>
      </w:pPr>
    </w:p>
    <w:p>
      <w:pPr>
        <w:ind w:left="820" w:right="80" w:hanging="407"/>
        <w:spacing w:after="0" w:line="266" w:lineRule="auto"/>
        <w:tabs>
          <w:tab w:leader="none" w:pos="81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in Flexible Packaging Films increased $4.1 million primarily due to higher sales volume and higher selling prices from the pass-through of higher resin costs. DSO was approximately 41.8 days for the 12 months ended June 30, 2022 and 40.0 days for the 12 months ended December 31, 2021.</w:t>
      </w:r>
    </w:p>
    <w:p>
      <w:pPr>
        <w:spacing w:after="0" w:line="40"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increased $32.8 million (37.0%).</w:t>
      </w:r>
    </w:p>
    <w:p>
      <w:pPr>
        <w:spacing w:after="0" w:line="103" w:lineRule="exact"/>
        <w:rPr>
          <w:rFonts w:ascii="Times New Roman" w:cs="Times New Roman" w:eastAsia="Times New Roman" w:hAnsi="Times New Roman"/>
          <w:sz w:val="18"/>
          <w:szCs w:val="18"/>
          <w:color w:val="auto"/>
        </w:rPr>
      </w:pPr>
    </w:p>
    <w:p>
      <w:pPr>
        <w:ind w:left="820" w:right="160" w:hanging="407"/>
        <w:spacing w:after="0" w:line="261" w:lineRule="auto"/>
        <w:tabs>
          <w:tab w:leader="none" w:pos="81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 Aluminum Extrusions increased $19.8 million due to higher average aluminum prices and the impact of COVID-19-related operational and production inefficiencies on the timing of shipments. DIO (represents trailing 12 months costs of goods sold calculated on a first-in first-out basis divided by a rolling 12-month average of inventory balances calculated on the first-in first-out basis) was approximately 45.9 days for the 12 months ended June 30, 2022 and 41.4 days for the 12 months ended December 31, 2021.</w:t>
      </w:r>
    </w:p>
    <w:p>
      <w:pPr>
        <w:spacing w:after="0" w:line="58" w:lineRule="exact"/>
        <w:rPr>
          <w:rFonts w:ascii="Times New Roman" w:cs="Times New Roman" w:eastAsia="Times New Roman" w:hAnsi="Times New Roman"/>
          <w:sz w:val="18"/>
          <w:szCs w:val="18"/>
          <w:color w:val="auto"/>
        </w:rPr>
      </w:pPr>
    </w:p>
    <w:p>
      <w:pPr>
        <w:ind w:left="820" w:right="100" w:hanging="407"/>
        <w:spacing w:after="0" w:line="266" w:lineRule="auto"/>
        <w:tabs>
          <w:tab w:leader="none" w:pos="81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 PE Films increased $5.9 million due to lower sales volume and higher planned raw material levels. DIO was approximately 60.1 days for the 12 months ended June 30, 2022 was lower compared to 62.8 days for the 12 months ended December 31, 2021 due to the higher Surface Protection 12-month average of costs of goods sold as a result of higher resin costs.</w:t>
      </w:r>
    </w:p>
    <w:p>
      <w:pPr>
        <w:spacing w:after="0" w:line="27" w:lineRule="exact"/>
        <w:rPr>
          <w:rFonts w:ascii="Times New Roman" w:cs="Times New Roman" w:eastAsia="Times New Roman" w:hAnsi="Times New Roman"/>
          <w:sz w:val="18"/>
          <w:szCs w:val="18"/>
          <w:color w:val="auto"/>
        </w:rPr>
      </w:pPr>
    </w:p>
    <w:p>
      <w:pPr>
        <w:ind w:left="820" w:right="280" w:hanging="407"/>
        <w:spacing w:after="0" w:line="245" w:lineRule="auto"/>
        <w:tabs>
          <w:tab w:leader="none" w:pos="81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 Flexible Packaging Films increased $7.1 million primarily due to the impact of higher average resin prices on raw materials, higher finished good levels due to lower than anticipated sales demand and the impact from the change in the U.S. dollar value of currencies related to operations outside of the U.S. DIO was approximately 95.1 days for the 12 months ended June 30, 2022 and 93.1 days for the 12 months ended December 31, 2021.</w:t>
      </w:r>
    </w:p>
    <w:p>
      <w:pPr>
        <w:spacing w:after="0" w:line="72" w:lineRule="exact"/>
        <w:rPr>
          <w:rFonts w:ascii="Times New Roman" w:cs="Times New Roman" w:eastAsia="Times New Roman" w:hAnsi="Times New Roman"/>
          <w:sz w:val="18"/>
          <w:szCs w:val="18"/>
          <w:color w:val="auto"/>
        </w:rPr>
      </w:pPr>
    </w:p>
    <w:p>
      <w:pPr>
        <w:ind w:left="420" w:right="480" w:hanging="412"/>
        <w:spacing w:after="0" w:line="282" w:lineRule="auto"/>
        <w:tabs>
          <w:tab w:leader="none" w:pos="4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property, plant and equipment increased $3.4 million primarily due to capital expenditures of $15.2 million, partially offset by depreciation expense of $11.5 million.</w:t>
      </w:r>
    </w:p>
    <w:p>
      <w:pPr>
        <w:spacing w:after="0" w:line="26"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Identifiable intangible assets, net decreased $1.3 million (9.0%) due to amortization expense.</w:t>
      </w:r>
    </w:p>
    <w:p>
      <w:pPr>
        <w:spacing w:after="0" w:line="103" w:lineRule="exact"/>
        <w:rPr>
          <w:rFonts w:ascii="Times New Roman" w:cs="Times New Roman" w:eastAsia="Times New Roman" w:hAnsi="Times New Roman"/>
          <w:sz w:val="18"/>
          <w:szCs w:val="18"/>
          <w:color w:val="auto"/>
        </w:rPr>
      </w:pPr>
    </w:p>
    <w:p>
      <w:pPr>
        <w:ind w:left="420" w:right="220" w:hanging="412"/>
        <w:spacing w:after="0" w:line="289" w:lineRule="auto"/>
        <w:tabs>
          <w:tab w:leader="none" w:pos="4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Deferred income tax assets decreased $3.5 million primarily due to changes in other comprehensive income and the projected utilization of foreign tax credits partially offset by the change in the deferred tax liability as a result of the implementation of new U.S. tax regulations associated with foreign tax credits published by the U.S. Treasury and Internal Revenue Service on January 4, 2022. See Note 9 for additional information.</w:t>
      </w:r>
    </w:p>
    <w:p>
      <w:pPr>
        <w:spacing w:after="0" w:line="36" w:lineRule="exact"/>
        <w:rPr>
          <w:rFonts w:ascii="Times New Roman" w:cs="Times New Roman" w:eastAsia="Times New Roman" w:hAnsi="Times New Roman"/>
          <w:sz w:val="17"/>
          <w:szCs w:val="17"/>
          <w:color w:val="auto"/>
        </w:rPr>
      </w:pPr>
    </w:p>
    <w:p>
      <w:pPr>
        <w:ind w:left="400" w:hanging="392"/>
        <w:spacing w:after="0"/>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increased $50.9 million (41.1%).</w:t>
      </w:r>
    </w:p>
    <w:p>
      <w:pPr>
        <w:spacing w:after="0" w:line="90" w:lineRule="exact"/>
        <w:rPr>
          <w:rFonts w:ascii="Times New Roman" w:cs="Times New Roman" w:eastAsia="Times New Roman" w:hAnsi="Times New Roman"/>
          <w:sz w:val="18"/>
          <w:szCs w:val="18"/>
          <w:color w:val="auto"/>
        </w:rPr>
      </w:pPr>
    </w:p>
    <w:p>
      <w:pPr>
        <w:ind w:left="820" w:right="120" w:hanging="407"/>
        <w:spacing w:after="0" w:line="266" w:lineRule="auto"/>
        <w:tabs>
          <w:tab w:leader="none" w:pos="81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 Aluminum Extrusions increased $42.7 million primarily due to higher average aluminum prices. DPO (represents trailing 12 months costs of goods sold calculated on a first-in first-out basis divided by a rolling 12-month average of accounts payable balances) was approximately 63.6 days for the 12 months ended June 30, 2022 and 60.1 days for the 12 months ended December 31, 2021.</w:t>
      </w:r>
    </w:p>
    <w:p>
      <w:pPr>
        <w:spacing w:after="0" w:line="54" w:lineRule="exact"/>
        <w:rPr>
          <w:rFonts w:ascii="Times New Roman" w:cs="Times New Roman" w:eastAsia="Times New Roman" w:hAnsi="Times New Roman"/>
          <w:sz w:val="18"/>
          <w:szCs w:val="18"/>
          <w:color w:val="auto"/>
        </w:rPr>
      </w:pPr>
    </w:p>
    <w:p>
      <w:pPr>
        <w:ind w:left="820" w:right="860" w:hanging="407"/>
        <w:spacing w:after="0" w:line="282" w:lineRule="auto"/>
        <w:tabs>
          <w:tab w:leader="none" w:pos="81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 PE Films increased $4.4 million primarily due to higher resin costs related to raw material purchases. DPO was approximately 50.7 days for the 12 months ended June 30, 2022 and 44.0 days for the 12 months ended December 31, 2021.</w:t>
      </w:r>
    </w:p>
    <w:p>
      <w:pPr>
        <w:spacing w:after="0" w:line="40" w:lineRule="exact"/>
        <w:rPr>
          <w:rFonts w:ascii="Times New Roman" w:cs="Times New Roman" w:eastAsia="Times New Roman" w:hAnsi="Times New Roman"/>
          <w:sz w:val="18"/>
          <w:szCs w:val="18"/>
          <w:color w:val="auto"/>
        </w:rPr>
      </w:pPr>
    </w:p>
    <w:p>
      <w:pPr>
        <w:ind w:left="820" w:right="60" w:hanging="407"/>
        <w:spacing w:after="0" w:line="266" w:lineRule="auto"/>
        <w:tabs>
          <w:tab w:leader="none" w:pos="81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 Flexible Packaging Films increased $2.8 million due to higher resin costs related to raw material purchases and the impact from the change in the U.S. dollar value of currencies related to operations outside of the U.S. DPO was approximately 67.2 days for the 12 months ended June 30, 2022 and 68.2 days for the 12 months ended December 31, 2021.</w:t>
      </w:r>
    </w:p>
    <w:p>
      <w:pPr>
        <w:spacing w:after="0" w:line="41"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$9.4 million in the first six months of 2022 compared to net cash provided by operating activities of $41.5 million in the first six months of 2021. The change in operating activities is primarily due to the Special Contribution ($50 million).</w:t>
      </w:r>
    </w:p>
    <w:p>
      <w:pPr>
        <w:spacing w:after="0" w:line="40"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increased during the first six months of 2022 compared to the first six months of 2021 due to higher capital expenditure spending ($2.2 million), partially offset by a gain realized during the three months ended June 30, 2022 related to additional cash consideration of $1.4 million received in connection with the Company's sale of its investment interests kaléo due to customary post-closing adjustments.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35" w:name="page36"/>
    <w:bookmarkEnd w:id="35"/>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$18.7 million in the first six months of 2022, compared to net cash used in financing activities of $24.2 million in the first six months of 2021. The change in financing activities is primarily due to higher net borrowings ($45.5 million) under the Credit Agreement (as defined below) to fund the $50 million Special Contribution to the pension plan and higher deferred financing costs ($1.2 million).</w:t>
      </w:r>
    </w:p>
    <w:p>
      <w:pPr>
        <w:spacing w:after="0" w:line="41"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Company believes that existing borrowing availability, current cash balances and cash flow from operations will be sufficient to satisfy short term material cash requirements related to working capital, capital expenditures, debt repayments and dividend requirements for at least the next twelve months. In the longer term, liquidity will depend on many factors, including results of operations, the timing and extent of capital expenditures, changes in operating plans, or other events that would cause the Company to seek additional financing in future periods.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June 30, 2022, the Company had cash and cash equivalents of $27.5 million, including cash and cash equivalents held in locations outside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$10.2 million.</w:t>
      </w:r>
    </w:p>
    <w:p>
      <w:pPr>
        <w:spacing w:after="0" w:line="85"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On June 29, 2022, Tredegar entered into a Second Amended and Restated Credit Agreement (the “Credit Agreement”) that replaced its existing $375 million five-year, secured revolving credit facility that was due to expire on June 28, 2024. The Credit Agreement is a five-year, revolving, secured credit facility that permits aggregate borrowings of $375 million and matures on June 29, 2027.</w:t>
      </w:r>
    </w:p>
    <w:p>
      <w:pPr>
        <w:spacing w:after="0" w:line="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capitalization and indebtedness as defined under the Credit Agreement as of June 30, 2022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460" w:type="dxa"/>
            <w:vAlign w:val="bottom"/>
            <w:tcBorders>
              <w:top w:val="single" w:sz="8" w:color="auto"/>
            </w:tcBorders>
          </w:tcPr>
          <w:p>
            <w:pPr>
              <w:spacing w:after="0"/>
              <w:rPr>
                <w:sz w:val="21"/>
                <w:szCs w:val="21"/>
                <w:color w:val="auto"/>
              </w:rPr>
            </w:pPr>
          </w:p>
        </w:tc>
        <w:tc>
          <w:tcPr>
            <w:tcW w:w="6800" w:type="dxa"/>
            <w:vAlign w:val="bottom"/>
            <w:tcBorders>
              <w:top w:val="single" w:sz="8" w:color="auto"/>
            </w:tcBorders>
          </w:tcPr>
          <w:p>
            <w:pPr>
              <w:jc w:val="right"/>
              <w:ind w:right="2530"/>
              <w:spacing w:after="0"/>
              <w:rPr>
                <w:sz w:val="20"/>
                <w:szCs w:val="20"/>
                <w:color w:val="auto"/>
              </w:rPr>
            </w:pPr>
            <w:r>
              <w:rPr>
                <w:rFonts w:ascii="Times New Roman" w:cs="Times New Roman" w:eastAsia="Times New Roman" w:hAnsi="Times New Roman"/>
                <w:sz w:val="18"/>
                <w:szCs w:val="18"/>
                <w:color w:val="auto"/>
              </w:rPr>
              <w:t>Net Capitalization and Indebtedness as of June 30, 2022</w:t>
            </w:r>
          </w:p>
        </w:tc>
        <w:tc>
          <w:tcPr>
            <w:tcW w:w="980" w:type="dxa"/>
            <w:vAlign w:val="bottom"/>
            <w:tcBorders>
              <w:top w:val="single" w:sz="8" w:color="auto"/>
            </w:tcBorders>
          </w:tcPr>
          <w:p>
            <w:pPr>
              <w:spacing w:after="0"/>
              <w:rPr>
                <w:sz w:val="21"/>
                <w:szCs w:val="21"/>
                <w:color w:val="auto"/>
              </w:rPr>
            </w:pPr>
          </w:p>
        </w:tc>
      </w:tr>
      <w:tr>
        <w:trPr>
          <w:trHeight w:val="234"/>
        </w:trPr>
        <w:tc>
          <w:tcPr>
            <w:tcW w:w="3460" w:type="dxa"/>
            <w:vAlign w:val="bottom"/>
            <w:tcBorders>
              <w:bottom w:val="single" w:sz="8" w:color="auto"/>
            </w:tcBorders>
          </w:tcPr>
          <w:p>
            <w:pPr>
              <w:spacing w:after="0"/>
              <w:rPr>
                <w:sz w:val="20"/>
                <w:szCs w:val="20"/>
                <w:color w:val="auto"/>
              </w:rPr>
            </w:pPr>
          </w:p>
        </w:tc>
        <w:tc>
          <w:tcPr>
            <w:tcW w:w="6800" w:type="dxa"/>
            <w:vAlign w:val="bottom"/>
            <w:tcBorders>
              <w:bottom w:val="single" w:sz="8" w:color="auto"/>
            </w:tcBorders>
          </w:tcPr>
          <w:p>
            <w:pPr>
              <w:jc w:val="right"/>
              <w:ind w:right="4030"/>
              <w:spacing w:after="0"/>
              <w:rPr>
                <w:sz w:val="20"/>
                <w:szCs w:val="20"/>
                <w:color w:val="auto"/>
              </w:rPr>
            </w:pPr>
            <w:r>
              <w:rPr>
                <w:rFonts w:ascii="Times New Roman" w:cs="Times New Roman" w:eastAsia="Times New Roman" w:hAnsi="Times New Roman"/>
                <w:sz w:val="18"/>
                <w:szCs w:val="18"/>
                <w:color w:val="auto"/>
              </w:rPr>
              <w:t>(In thousands)</w:t>
            </w:r>
          </w:p>
        </w:tc>
        <w:tc>
          <w:tcPr>
            <w:tcW w:w="980" w:type="dxa"/>
            <w:vAlign w:val="bottom"/>
            <w:tcBorders>
              <w:bottom w:val="single" w:sz="8" w:color="auto"/>
            </w:tcBorders>
          </w:tcPr>
          <w:p>
            <w:pPr>
              <w:spacing w:after="0"/>
              <w:rPr>
                <w:sz w:val="20"/>
                <w:szCs w:val="20"/>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capitalization:</w:t>
            </w:r>
          </w:p>
        </w:tc>
        <w:tc>
          <w:tcPr>
            <w:tcW w:w="68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3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8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27,462</w:t>
            </w:r>
          </w:p>
        </w:tc>
      </w:tr>
      <w:tr>
        <w:trPr>
          <w:trHeight w:val="229"/>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w:t>
            </w:r>
          </w:p>
        </w:tc>
        <w:tc>
          <w:tcPr>
            <w:tcW w:w="68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34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Credit Agreement</w:t>
            </w:r>
          </w:p>
        </w:tc>
        <w:tc>
          <w:tcPr>
            <w:tcW w:w="68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101,500</w:t>
            </w:r>
          </w:p>
        </w:tc>
      </w:tr>
      <w:tr>
        <w:trPr>
          <w:trHeight w:val="223"/>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net of cash and cash equivalents</w:t>
            </w:r>
          </w:p>
        </w:tc>
        <w:tc>
          <w:tcPr>
            <w:tcW w:w="68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74,038</w:t>
            </w:r>
          </w:p>
        </w:tc>
      </w:tr>
      <w:tr>
        <w:trPr>
          <w:trHeight w:val="230"/>
        </w:trPr>
        <w:tc>
          <w:tcPr>
            <w:tcW w:w="3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Shareholders’ equity</w:t>
            </w:r>
          </w:p>
        </w:tc>
        <w:tc>
          <w:tcPr>
            <w:tcW w:w="68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211,785</w:t>
            </w:r>
          </w:p>
        </w:tc>
      </w:tr>
      <w:tr>
        <w:trPr>
          <w:trHeight w:val="230"/>
        </w:trPr>
        <w:tc>
          <w:tcPr>
            <w:tcW w:w="34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capitalization</w:t>
            </w:r>
          </w:p>
        </w:tc>
        <w:tc>
          <w:tcPr>
            <w:tcW w:w="68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285,823</w:t>
            </w: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Indebtedness as defined in Credit Agreement:</w:t>
            </w:r>
          </w:p>
        </w:tc>
        <w:tc>
          <w:tcPr>
            <w:tcW w:w="68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4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68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101,500</w:t>
            </w:r>
          </w:p>
        </w:tc>
      </w:tr>
      <w:tr>
        <w:trPr>
          <w:trHeight w:val="230"/>
        </w:trPr>
        <w:tc>
          <w:tcPr>
            <w:tcW w:w="3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Indebtedness</w:t>
            </w:r>
          </w:p>
        </w:tc>
        <w:tc>
          <w:tcPr>
            <w:tcW w:w="6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101,500</w:t>
            </w:r>
          </w:p>
        </w:tc>
      </w:tr>
    </w:tbl>
    <w:p>
      <w:pPr>
        <w:spacing w:after="0" w:line="171"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Borrowings under the Credit Agreement bear an interest rate equal to Secured Overnight Financing Rate ("SOFR") plus a credit spread adjustment of 10 basis points ("Adjusted Term SOFR Rate") and an amount depending on the type of borrowing and commitment fees charged on the unused amount under the Credit Agreement at various Total Net Leverage Ratio levels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Pricing Under the Credit Agreement (Basis Points)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60" w:type="dxa"/>
            <w:vAlign w:val="bottom"/>
            <w:tcBorders>
              <w:top w:val="single" w:sz="8" w:color="auto"/>
            </w:tcBorders>
          </w:tcPr>
          <w:p>
            <w:pPr>
              <w:spacing w:after="0"/>
              <w:rPr>
                <w:sz w:val="14"/>
                <w:szCs w:val="14"/>
                <w:color w:val="auto"/>
              </w:rPr>
            </w:pPr>
          </w:p>
        </w:tc>
        <w:tc>
          <w:tcPr>
            <w:tcW w:w="474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Term Benchmark</w:t>
            </w:r>
          </w:p>
        </w:tc>
        <w:tc>
          <w:tcPr>
            <w:tcW w:w="134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Commitment</w:t>
            </w:r>
          </w:p>
        </w:tc>
      </w:tr>
      <w:tr>
        <w:trPr>
          <w:trHeight w:val="24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Leverage Ratio</w:t>
            </w:r>
          </w:p>
        </w:tc>
        <w:tc>
          <w:tcPr>
            <w:tcW w:w="47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Spread</w:t>
            </w: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Fee</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 1.0x</w:t>
            </w:r>
          </w:p>
        </w:tc>
        <w:tc>
          <w:tcPr>
            <w:tcW w:w="4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&gt;1.0x but &lt;=2.0x</w:t>
            </w:r>
          </w:p>
        </w:tc>
        <w:tc>
          <w:tcPr>
            <w:tcW w:w="4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162.5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&gt;2.0x but &lt;=3.0x</w:t>
            </w:r>
          </w:p>
        </w:tc>
        <w:tc>
          <w:tcPr>
            <w:tcW w:w="4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175.0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&gt;3.0x but &lt;=3.5x</w:t>
            </w:r>
          </w:p>
        </w:tc>
        <w:tc>
          <w:tcPr>
            <w:tcW w:w="4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187.5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6"/>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&gt;3.5x</w:t>
            </w:r>
          </w:p>
        </w:tc>
        <w:tc>
          <w:tcPr>
            <w:tcW w:w="47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200.0</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171"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At June 30, 2022, $101.5 million of the outstanding debt was principally priced at an interest rate equal to the Adjusted Term SOFR Rate plus the applicable credit spread of 150.0 basis points. Prior to the Credit Agreement, the interest rate was based on LIBOR plus an applicable credit spread.</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primary restrictive covenants in the Credit Agreement include:</w:t>
      </w:r>
    </w:p>
    <w:p>
      <w:pPr>
        <w:spacing w:after="0" w:line="104" w:lineRule="exact"/>
        <w:rPr>
          <w:sz w:val="20"/>
          <w:szCs w:val="20"/>
          <w:color w:val="auto"/>
        </w:rPr>
      </w:pPr>
    </w:p>
    <w:p>
      <w:pPr>
        <w:ind w:left="820" w:hanging="407"/>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Leverage Ratio of 4.00x;</w:t>
      </w:r>
    </w:p>
    <w:p>
      <w:pPr>
        <w:spacing w:after="0" w:line="10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Coverage Ratio of 3.00x; and</w:t>
      </w:r>
    </w:p>
    <w:p>
      <w:pPr>
        <w:spacing w:after="0" w:line="90" w:lineRule="exact"/>
        <w:rPr>
          <w:rFonts w:ascii="Times New Roman" w:cs="Times New Roman" w:eastAsia="Times New Roman" w:hAnsi="Times New Roman"/>
          <w:sz w:val="18"/>
          <w:szCs w:val="18"/>
          <w:color w:val="auto"/>
        </w:rPr>
      </w:pPr>
    </w:p>
    <w:p>
      <w:pPr>
        <w:ind w:left="820" w:right="320" w:hanging="407"/>
        <w:spacing w:after="0" w:line="282"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Unlimited payments for dividends and stock repurchases during the term of the Credit Agreement so long as the Total Net Leverage Ratio is equal to or less than 2.00x, and otherwise restrictions on payments for dividends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6" w:name="page37"/>
    <w:bookmarkEnd w:id="36"/>
    <w:p>
      <w:pPr>
        <w:ind w:left="820" w:right="160"/>
        <w:spacing w:after="0" w:line="282" w:lineRule="auto"/>
        <w:rPr>
          <w:sz w:val="20"/>
          <w:szCs w:val="20"/>
          <w:color w:val="auto"/>
        </w:rPr>
      </w:pPr>
      <w:r>
        <w:rPr>
          <w:rFonts w:ascii="Times New Roman" w:cs="Times New Roman" w:eastAsia="Times New Roman" w:hAnsi="Times New Roman"/>
          <w:sz w:val="18"/>
          <w:szCs w:val="18"/>
          <w:color w:val="auto"/>
        </w:rPr>
        <w:t>stock repurchases for the term of the Credit Agreement at $75 million (provided that the $75 million basket will reset at the end of each fiscal quarter when the Total Net Leverage ratio is less than or equal to 2.00x).</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Under the Credit Agreement:</w:t>
      </w:r>
    </w:p>
    <w:p>
      <w:pPr>
        <w:spacing w:after="0" w:line="104" w:lineRule="exact"/>
        <w:rPr>
          <w:sz w:val="20"/>
          <w:szCs w:val="20"/>
          <w:color w:val="auto"/>
        </w:rPr>
      </w:pPr>
    </w:p>
    <w:p>
      <w:pPr>
        <w:ind w:left="820" w:right="360" w:hanging="407"/>
        <w:spacing w:after="0" w:line="282" w:lineRule="auto"/>
        <w:tabs>
          <w:tab w:leader="none" w:pos="8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Leverage Ratio is defined as the ratio of (a)(i) total indebtedness minus (ii) liquidity (the lesser of $50,000,000 and the aggregate amount of cash and cash equivalents) to (b) Credit EBITDA; and</w:t>
      </w:r>
    </w:p>
    <w:p>
      <w:pPr>
        <w:spacing w:after="0" w:line="4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Coverage Ratio is defined as the ratio of (a) Credit EBITDA to (b) interest expense.</w:t>
      </w:r>
    </w:p>
    <w:p>
      <w:pPr>
        <w:spacing w:after="0" w:line="90" w:lineRule="exact"/>
        <w:rPr>
          <w:sz w:val="20"/>
          <w:szCs w:val="20"/>
          <w:color w:val="auto"/>
        </w:rPr>
      </w:pPr>
    </w:p>
    <w:p>
      <w:pPr>
        <w:jc w:val="both"/>
        <w:ind w:firstLine="405"/>
        <w:spacing w:after="0" w:line="280" w:lineRule="auto"/>
        <w:rPr>
          <w:sz w:val="20"/>
          <w:szCs w:val="20"/>
          <w:color w:val="auto"/>
        </w:rPr>
      </w:pPr>
      <w:r>
        <w:rPr>
          <w:rFonts w:ascii="Times New Roman" w:cs="Times New Roman" w:eastAsia="Times New Roman" w:hAnsi="Times New Roman"/>
          <w:sz w:val="17"/>
          <w:szCs w:val="17"/>
          <w:color w:val="auto"/>
        </w:rPr>
        <w:t>The Credit Agreement is secured by substantially all of the Company’s and its domestic subsidiaries’ assets, including equity in certain material first-tier foreign subsidiaries. At June 30, 2022, based upon the restrictive covenants within the Credit Agreement, available credit under the Credit Agreement was approximately $273 million. Total debt outstanding was $101.5 million and $73.0 million as of June 30, 2022 and December 31, 2021, respectively.</w:t>
      </w:r>
    </w:p>
    <w:p>
      <w:pPr>
        <w:spacing w:after="0" w:line="31" w:lineRule="exact"/>
        <w:rPr>
          <w:sz w:val="20"/>
          <w:szCs w:val="20"/>
          <w:color w:val="auto"/>
        </w:rPr>
      </w:pPr>
    </w:p>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Credit EBITDA is not intended to represent net income (loss) or cash flow from operations as defined by GAAP and should not be considered as an alternative to either net income (loss) or to cash flow. The computations of Credit EBITDA, the Total Net Leverage Ratio and Interest Coverage Ratio as defined in the Credit Agreement are presented below.</w:t>
      </w: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37" w:name="page38"/>
    <w:bookmarkEnd w:id="37"/>
    <w:p>
      <w:pPr>
        <w:jc w:val="center"/>
        <w:spacing w:after="0" w:line="23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Computations of Credit EBITDA, Total Net Leverage Ratio and Interest Coverage Ratio (in each case, as Defined in the Credit Agreement) Along with Related Primary Restrictive Covenants as of and for the Twelve Months Ended June 30,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0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Computation of Credit EBITDA for the twelve months ended June 30, 2022 (In Thousands):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29"/>
        </w:trPr>
        <w:tc>
          <w:tcPr>
            <w:tcW w:w="10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58,852</w:t>
            </w:r>
          </w:p>
        </w:tc>
      </w:tr>
      <w:tr>
        <w:trPr>
          <w:trHeight w:val="229"/>
        </w:trPr>
        <w:tc>
          <w:tcPr>
            <w:tcW w:w="10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10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After-tax losses related to discontinued operations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0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income tax expense for continuing operations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6,798</w:t>
            </w:r>
          </w:p>
        </w:tc>
      </w:tr>
      <w:tr>
        <w:trPr>
          <w:trHeight w:val="229"/>
        </w:trPr>
        <w:tc>
          <w:tcPr>
            <w:tcW w:w="10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w:t>
            </w:r>
          </w:p>
        </w:tc>
      </w:tr>
      <w:tr>
        <w:trPr>
          <w:trHeight w:val="230"/>
        </w:trPr>
        <w:tc>
          <w:tcPr>
            <w:tcW w:w="10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 expense for continuing operations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24,328</w:t>
            </w:r>
          </w:p>
        </w:tc>
      </w:tr>
      <w:tr>
        <w:trPr>
          <w:trHeight w:val="175"/>
        </w:trPr>
        <w:tc>
          <w:tcPr>
            <w:tcW w:w="10080" w:type="dxa"/>
            <w:vAlign w:val="bottom"/>
            <w:shd w:val="clear" w:color="auto" w:fill="CCEEFF"/>
          </w:tcPr>
          <w:p>
            <w:pPr>
              <w:ind w:left="680"/>
              <w:spacing w:after="0" w:line="176" w:lineRule="exact"/>
              <w:rPr>
                <w:sz w:val="20"/>
                <w:szCs w:val="20"/>
                <w:color w:val="auto"/>
              </w:rPr>
            </w:pPr>
            <w:r>
              <w:rPr>
                <w:rFonts w:ascii="Times New Roman" w:cs="Times New Roman" w:eastAsia="Times New Roman" w:hAnsi="Times New Roman"/>
                <w:sz w:val="18"/>
                <w:szCs w:val="18"/>
                <w:color w:val="auto"/>
              </w:rPr>
              <w:t>All non-cash losses and expenses, plus cash losses and expenses not to exceed $10,000, for continuing operations that are</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76"/>
        </w:trPr>
        <w:tc>
          <w:tcPr>
            <w:tcW w:w="10080" w:type="dxa"/>
            <w:vAlign w:val="bottom"/>
            <w:shd w:val="clear" w:color="auto" w:fill="CCEEFF"/>
          </w:tcPr>
          <w:p>
            <w:pPr>
              <w:ind w:left="680"/>
              <w:spacing w:after="0" w:line="176" w:lineRule="exact"/>
              <w:rPr>
                <w:sz w:val="20"/>
                <w:szCs w:val="20"/>
                <w:color w:val="auto"/>
              </w:rPr>
            </w:pPr>
            <w:r>
              <w:rPr>
                <w:rFonts w:ascii="Times New Roman" w:cs="Times New Roman" w:eastAsia="Times New Roman" w:hAnsi="Times New Roman"/>
                <w:sz w:val="18"/>
                <w:szCs w:val="18"/>
                <w:color w:val="auto"/>
              </w:rPr>
              <w:t>classified as unusual, extraordinary or which are related to plant shutdowns, asset impairments and/or restructurings (cash-related</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10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of $8,496)</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8,519</w:t>
            </w:r>
          </w:p>
        </w:tc>
      </w:tr>
      <w:tr>
        <w:trPr>
          <w:trHeight w:val="229"/>
        </w:trPr>
        <w:tc>
          <w:tcPr>
            <w:tcW w:w="10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Charges related to stock option grants and awards accounted for under the fair value-based method</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r>
      <w:tr>
        <w:trPr>
          <w:trHeight w:val="229"/>
        </w:trPr>
        <w:tc>
          <w:tcPr>
            <w:tcW w:w="10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Losses related to the application of the equity method of accounting</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0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Losses related to adjustments in the estimated fair value of assets accounted for under the fair value method of accounting</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0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Minus: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10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After-tax income related to discontinued operations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10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income tax benefits for continuing operations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0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176"/>
        </w:trPr>
        <w:tc>
          <w:tcPr>
            <w:tcW w:w="10080" w:type="dxa"/>
            <w:vAlign w:val="bottom"/>
            <w:shd w:val="clear" w:color="auto" w:fill="CCEEFF"/>
          </w:tcPr>
          <w:p>
            <w:pPr>
              <w:ind w:left="680"/>
              <w:spacing w:after="0" w:line="176" w:lineRule="exact"/>
              <w:rPr>
                <w:sz w:val="20"/>
                <w:szCs w:val="20"/>
                <w:color w:val="auto"/>
              </w:rPr>
            </w:pPr>
            <w:r>
              <w:rPr>
                <w:rFonts w:ascii="Times New Roman" w:cs="Times New Roman" w:eastAsia="Times New Roman" w:hAnsi="Times New Roman"/>
                <w:sz w:val="18"/>
                <w:szCs w:val="18"/>
                <w:color w:val="auto"/>
              </w:rPr>
              <w:t>All non-cash gains and income, plus cash gains and income in excess of $10,000, for continuing operations that are classified as</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10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unusual, extraordinary or which are related to plant shutdowns, asset impairments and/or restructurings</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r>
      <w:tr>
        <w:trPr>
          <w:trHeight w:val="230"/>
        </w:trPr>
        <w:tc>
          <w:tcPr>
            <w:tcW w:w="10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related to changes in estimates for stock option grants and awards accounted for under the fair value-based method</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0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related to the application of the equity method of accounting</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0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related to adjustments in the estimated fair value of assets accounted for under the fair value method of accounting</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(13,268)</w:t>
            </w:r>
          </w:p>
        </w:tc>
      </w:tr>
      <w:tr>
        <w:trPr>
          <w:trHeight w:val="229"/>
        </w:trPr>
        <w:tc>
          <w:tcPr>
            <w:tcW w:w="10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cash dividends declared on investments in an amount not to exceed $10,000 for such period</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0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or minus, as applicable, pro forma EBITDA adjustments associated with acquisitions and asset dispositions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100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Plus or minus, as applicable, pro forma EBITDA adjustments to pension expense associated with the early payment of pension</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100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obligations</w:t>
            </w:r>
          </w:p>
        </w:tc>
        <w:tc>
          <w:tcPr>
            <w:tcW w:w="2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13,804</w:t>
            </w:r>
          </w:p>
        </w:tc>
      </w:tr>
      <w:tr>
        <w:trPr>
          <w:trHeight w:val="230"/>
        </w:trPr>
        <w:tc>
          <w:tcPr>
            <w:tcW w:w="100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Credit EBITDA</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101,012</w:t>
            </w:r>
          </w:p>
        </w:tc>
      </w:tr>
      <w:tr>
        <w:trPr>
          <w:trHeight w:val="230"/>
        </w:trPr>
        <w:tc>
          <w:tcPr>
            <w:tcW w:w="10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Computations of Total Net Leverage Ratio and Interest Coverage Ratio at June 30, 2022:</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10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Leverage Ratio</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.73x</w:t>
            </w:r>
          </w:p>
        </w:tc>
      </w:tr>
      <w:tr>
        <w:trPr>
          <w:trHeight w:val="230"/>
        </w:trPr>
        <w:tc>
          <w:tcPr>
            <w:tcW w:w="10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Coverage Ratio</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27.35x</w:t>
            </w:r>
          </w:p>
        </w:tc>
      </w:tr>
      <w:tr>
        <w:trPr>
          <w:trHeight w:val="230"/>
        </w:trPr>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Primary restrictive covenants: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65"/>
        </w:trPr>
        <w:tc>
          <w:tcPr>
            <w:tcW w:w="10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Unlimited payments for dividends and stock repurchases during the term of the Credit Agreement so long as the Total Net Leverage</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180"/>
        </w:trPr>
        <w:tc>
          <w:tcPr>
            <w:tcW w:w="1008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8"/>
                <w:szCs w:val="18"/>
                <w:color w:val="auto"/>
              </w:rPr>
              <w:t>Ratio is equal to or less than 2.00x, and otherwise restrictions on payments for dividends and stock repurchases for the term of the</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10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Credit Agreement at $75 million</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Unlimited</w:t>
            </w:r>
          </w:p>
        </w:tc>
      </w:tr>
      <w:tr>
        <w:trPr>
          <w:trHeight w:val="230"/>
        </w:trPr>
        <w:tc>
          <w:tcPr>
            <w:tcW w:w="10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Maximum Total Net Leverage Ratio permitted</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4.00x</w:t>
            </w:r>
          </w:p>
        </w:tc>
      </w:tr>
      <w:tr>
        <w:trPr>
          <w:trHeight w:val="236"/>
        </w:trPr>
        <w:tc>
          <w:tcPr>
            <w:tcW w:w="100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Minimum Interest Coverage Ratio permitted</w:t>
            </w: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3.00x</w:t>
            </w:r>
          </w:p>
        </w:tc>
      </w:tr>
    </w:tbl>
    <w:p>
      <w:pPr>
        <w:spacing w:after="0" w:line="306"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Tredegar was in compliance with all of its debt covenants as of June 30, 2022. Noncompliance with any of the debt covenants may have a material adverse effect on its financial condition or liquidity, in the event such noncompliance cannot be cured or should the Company be unable to obtain a waiver from the lenders. Renegotiation of the covenant through an amendment to the Credit Agreement may effectively cure the noncompliance, but may have an effect on its financial condition or liquidity depending upon how the covenant is renegotiated.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8" w:name="page39"/>
    <w:bookmarkEnd w:id="38"/>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94" w:lineRule="exact"/>
        <w:rPr>
          <w:sz w:val="20"/>
          <w:szCs w:val="20"/>
          <w:color w:val="auto"/>
        </w:rPr>
      </w:pPr>
    </w:p>
    <w:p>
      <w:pPr>
        <w:jc w:val="both"/>
        <w:ind w:right="200" w:firstLine="405"/>
        <w:spacing w:after="0" w:line="266" w:lineRule="auto"/>
        <w:rPr>
          <w:sz w:val="20"/>
          <w:szCs w:val="20"/>
          <w:color w:val="auto"/>
        </w:rPr>
      </w:pPr>
      <w:r>
        <w:rPr>
          <w:rFonts w:ascii="Times New Roman" w:cs="Times New Roman" w:eastAsia="Times New Roman" w:hAnsi="Times New Roman"/>
          <w:sz w:val="18"/>
          <w:szCs w:val="18"/>
          <w:color w:val="auto"/>
        </w:rPr>
        <w:t xml:space="preserve">Tredegar has exposure to the volatility of interest rates, polyethylene and polypropylene resin prices, Terephthalic Acid (“PTA”) and Monoethylene Glycol (“MEG”) prices, aluminum ingot and scrap prices, energy prices, foreign currencies and emerging markets. See </w:t>
      </w:r>
      <w:r>
        <w:rPr>
          <w:rFonts w:ascii="Times New Roman" w:cs="Times New Roman" w:eastAsia="Times New Roman" w:hAnsi="Times New Roman"/>
          <w:sz w:val="18"/>
          <w:szCs w:val="18"/>
          <w:b w:val="1"/>
          <w:bCs w:val="1"/>
          <w:i w:val="1"/>
          <w:iCs w:val="1"/>
          <w:color w:val="auto"/>
        </w:rPr>
        <w:t>Liquidity and Capital Resources</w:t>
      </w:r>
      <w:r>
        <w:rPr>
          <w:rFonts w:ascii="Times New Roman" w:cs="Times New Roman" w:eastAsia="Times New Roman" w:hAnsi="Times New Roman"/>
          <w:sz w:val="18"/>
          <w:szCs w:val="18"/>
          <w:color w:val="auto"/>
        </w:rPr>
        <w:t xml:space="preserve"> above regarding interest rate exposures related to borrowings under the Credit Agreement.</w:t>
      </w:r>
    </w:p>
    <w:p>
      <w:pPr>
        <w:spacing w:after="0" w:line="5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Profit margins in Aluminum Extrusions are sensitive to fluctuations in aluminum ingot and scrap prices as well as natural gas prices (natural gas is the principal energy source used to operate its casting furnaces). Changes in polyethylene resin prices and the timing of those changes could have a significant impact on profit margins in PE Films. Changes in polyester resin, PTA and MEG prices, and the timing of those changes, could have a significant impact on profit margins in Flexible Packaging Films. There is no assurance of the Company’s ability to pass through higher raw material and energy costs to its customers.</w:t>
      </w:r>
    </w:p>
    <w:p>
      <w:pPr>
        <w:spacing w:after="0" w:line="62" w:lineRule="exact"/>
        <w:rPr>
          <w:sz w:val="20"/>
          <w:szCs w:val="20"/>
          <w:color w:val="auto"/>
        </w:rPr>
      </w:pPr>
    </w:p>
    <w:p>
      <w:pPr>
        <w:ind w:right="340" w:firstLine="405"/>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Aluminum Extrusions enters into fixed-price forward sales contracts with certain customers for the sale of fixed quantities of aluminum extrusions at scheduled intervals. In order to hedge its exposure to aluminum price volatility (see the chart below) under these fixed-price arrangements, which generally have a duration of not more than 24 months, the Company enters into a combination of forward purchase commitments and futures contracts to acquire or hedge aluminum, based on the scheduled deliveries. See Note 8 for additional information.</w:t>
      </w:r>
    </w:p>
    <w:p>
      <w:pPr>
        <w:spacing w:after="0" w:line="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volatility of quarterly average aluminum prices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77470</wp:posOffset>
            </wp:positionV>
            <wp:extent cx="5768975" cy="254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Source: Quarterly averages computed by the Company using daily Midwest average prices provided by Platts.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p>
      <w:pPr>
        <w:ind w:left="420"/>
        <w:spacing w:after="0"/>
        <w:rPr>
          <w:sz w:val="20"/>
          <w:szCs w:val="20"/>
          <w:color w:val="auto"/>
        </w:rPr>
      </w:pPr>
      <w:r>
        <w:rPr>
          <w:rFonts w:ascii="Times New Roman" w:cs="Times New Roman" w:eastAsia="Times New Roman" w:hAnsi="Times New Roman"/>
          <w:sz w:val="18"/>
          <w:szCs w:val="18"/>
          <w:color w:val="auto"/>
        </w:rPr>
        <w:t>The volatility of quarterly average natural gas prices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68580</wp:posOffset>
            </wp:positionV>
            <wp:extent cx="5768975" cy="254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color w:val="auto"/>
        </w:rPr>
        <w:t>Source: Quarterly averages computed by Tredegar using monthly NYMEX settlement prices.</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volatility of average quarterly prices of polyethylene resin in the U.S. (a primary raw material for PE Films)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77470</wp:posOffset>
            </wp:positionV>
            <wp:extent cx="5768975" cy="254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00" w:right="280"/>
        <w:spacing w:after="0" w:line="229" w:lineRule="auto"/>
        <w:rPr>
          <w:sz w:val="20"/>
          <w:szCs w:val="20"/>
          <w:color w:val="auto"/>
        </w:rPr>
      </w:pPr>
      <w:r>
        <w:rPr>
          <w:rFonts w:ascii="Times New Roman" w:cs="Times New Roman" w:eastAsia="Times New Roman" w:hAnsi="Times New Roman"/>
          <w:sz w:val="13"/>
          <w:szCs w:val="13"/>
          <w:color w:val="auto"/>
        </w:rPr>
        <w:t>Source: Quarterly averages computed by Tredegar using monthly data provided by IHS, Inc. In February 2020, IHS reflected a 32 cents per pound non-market adjustment based on their estimate of the growth of discounts in prior periods. The 4th quarter 2019 average rate of $0.51 per pound is shown on a pro forma basis as if the non-market adjustment was made in the fourth quarter of 2019.</w:t>
      </w:r>
    </w:p>
    <w:p>
      <w:pPr>
        <w:spacing w:after="0" w:line="187"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 price of resin is driven by several factors, including supply and demand and the price of oil, ethylene and natural gas. Selling prices to customers are set considering numerous factors, including the expected volatility of resin prices. PE Films has index-based pass-through raw material cost arrangements with customers. However, under certain agreements, changes in resin prices are not passed through for a period of 90 days. In response to unprecedented cost increases and supply issues for polyethylene and polypropylene resin, Tredegar Surface Protection implemented a quarterly resin cost pass-through mechanism, effective July 1, 2021, for all products and customers not previously covered by such arrangements. Pricing on the remainder of the business is based upon raw material costs and supply/demand dynamics within the markets that the Company competes.</w:t>
      </w:r>
    </w:p>
    <w:p>
      <w:pPr>
        <w:spacing w:after="0" w:line="66"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Polyester resins, MEG and PTA used in flexible packaging films produced in Brazil are primarily purchased domestically, with other sources available mostly from Asia and the U.S. Given the nature of these products as commodities, pricing is derived from Asian pricing indexes. The volatility of the average quarterly prices for polyester fibers in Asia, which is</w:t>
      </w:r>
    </w:p>
    <w:p>
      <w:pPr>
        <w:sectPr>
          <w:pgSz w:w="11900" w:h="16838" w:orient="portrait"/>
          <w:cols w:equalWidth="0" w:num="1">
            <w:col w:w="11200"/>
          </w:cols>
          <w:pgMar w:left="320" w:top="985" w:right="37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representative of polyester resin (a primary raw material for Flexible Packaging Films) pricing trends,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68580</wp:posOffset>
            </wp:positionV>
            <wp:extent cx="5768975" cy="254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Source: Quarterly averages computed by Tredegar using monthly data from CMAI Global Index data.</w:t>
      </w:r>
    </w:p>
    <w:p>
      <w:pPr>
        <w:spacing w:after="0" w:line="188"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volatility of average quarterly prices of PTA and MEG in Asia (raw materials used in the production of polyester resins produced by Flexible Packaging Films)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36830</wp:posOffset>
            </wp:positionV>
            <wp:extent cx="5768975" cy="26574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6897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Source: Quarterly averages computed by Tredegar using monthly data from CMAI Global Index data.</w:t>
      </w:r>
    </w:p>
    <w:p>
      <w:pPr>
        <w:spacing w:after="0" w:line="18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Tredegar attempts to match the pricing and cost of its products in the same currency and generally views the volatility of foreign currencies and the corresponding impact on earnings and cash flow as part of the overall risk of operating in a global environment (for additional information, see trends for the Brazilian Real and Chinese Yuan in the charts on the following page). Exports from the U.S. are generally denominated in U.S. Dollars. The Company’s foreign currency exposure on income from continuing foreign operations relates to the Chinese Yuan and the Brazilian Real.</w:t>
      </w:r>
    </w:p>
    <w:p>
      <w:pPr>
        <w:spacing w:after="0" w:line="58"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PE Films is generally able to match the currency of its sales and costs for its product lines. For flexible packaging films produced in Brazil, selling prices and key raw material costs are principally determined in U.S. Dollars and are impacted by local economic conditions and local and global competitive dynamics. Flexible Packaging Films is exposed to foreign exchange translation risk (its functional currency is the Brazilian Real) because almost 90% of the sales of Flexible Packaging Films business unit in Brazil (“Terphane Ltda.”) and substantially all of its related raw material costs are quoted or priced in U.S. Dollars while its variable conversion, fixed conversion and sales, general and administrative costs before depreciation &amp;</w:t>
      </w:r>
    </w:p>
    <w:p>
      <w:pPr>
        <w:sectPr>
          <w:pgSz w:w="11900" w:h="16838" w:orient="portrait"/>
          <w:cols w:equalWidth="0" w:num="1">
            <w:col w:w="11040"/>
          </w:cols>
          <w:pgMar w:left="320" w:top="985" w:right="5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85" w:right="539" w:bottom="1440" w:gutter="0" w:footer="0" w:header="0"/>
          <w:type w:val="continuous"/>
        </w:sectPr>
      </w:pPr>
    </w:p>
    <w:bookmarkStart w:id="41" w:name="page42"/>
    <w:bookmarkEnd w:id="41"/>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amortization (collectively “Terphane Ltda. Operating Costs”) are quoted or priced in Brazilian Real. This mismatch, together with a variety of economic variables impacting currency exchange rates, causes volatility that could negatively or positively impact EBITDA from ongoing operations for Flexible Packaging Films.</w:t>
      </w:r>
    </w:p>
    <w:p>
      <w:pPr>
        <w:spacing w:after="0" w:line="41"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Company estimates annual net costs of R$150 million for the net mismatch translation exposure between Terphane Ltda.’s U.S. Dollar quoted or priced sales and raw material costs and underlying Brazilian Real quoted or priced Terphane Ltda. Operating Costs. Terphane Ltda. has outstanding foreign exchange average forward rate contracts to purchase Brazilian Real and sell U.S. Dollars to hedge its exposure. See Note 8 for more information on outstanding hedging contracts and this hedging program.</w:t>
      </w:r>
    </w:p>
    <w:p>
      <w:pPr>
        <w:spacing w:after="0" w:line="58"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Tredegar estimates that the change in the value of foreign currencies relative to the U.S. Dollar for PE Films had a favorable impact on EBITDA from ongoing operations of $0.6 million in both the second quarter and the first six months of 2022 compared with the same periods of 2021.</w:t>
      </w:r>
    </w:p>
    <w:p>
      <w:pPr>
        <w:spacing w:after="0" w:line="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Trends for the Brazilian Real and Chinese Yuan exchange rates relative to the U.S. Dollar are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68580</wp:posOffset>
            </wp:positionV>
            <wp:extent cx="5768975" cy="254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color w:val="auto"/>
        </w:rPr>
        <w:t>Source: Quarterly averages computed by Tredegar using daily closing data provided by Bloomberg.</w:t>
      </w:r>
    </w:p>
    <w:p>
      <w:pPr>
        <w:spacing w:after="0" w:line="200" w:lineRule="exact"/>
        <w:rPr>
          <w:sz w:val="20"/>
          <w:szCs w:val="20"/>
          <w:color w:val="auto"/>
        </w:rPr>
      </w:pPr>
    </w:p>
    <w:p>
      <w:pPr>
        <w:spacing w:after="0" w:line="3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08" w:lineRule="exact"/>
        <w:rPr>
          <w:sz w:val="20"/>
          <w:szCs w:val="20"/>
          <w:color w:val="auto"/>
        </w:rPr>
      </w:pPr>
    </w:p>
    <w:p>
      <w:pPr>
        <w:jc w:val="both"/>
        <w:ind w:right="500" w:firstLine="405"/>
        <w:spacing w:after="0" w:line="266" w:lineRule="auto"/>
        <w:rPr>
          <w:sz w:val="20"/>
          <w:szCs w:val="20"/>
          <w:color w:val="auto"/>
        </w:rPr>
      </w:pPr>
      <w:r>
        <w:rPr>
          <w:rFonts w:ascii="Times New Roman" w:cs="Times New Roman" w:eastAsia="Times New Roman" w:hAnsi="Times New Roman"/>
          <w:sz w:val="18"/>
          <w:szCs w:val="18"/>
          <w:color w:val="auto"/>
        </w:rPr>
        <w:t>On November 1, 2018, the Company filed a Current Report on Form 8-K (the “November 2018 Form 8-K”) to disclose deficiencies in internal control over financial reporting. For further information, see the November 2018 Form 8-K and Item 4. “Controls and Procedures” of the Company’s Quarterly Report on Form 10-Q for the quarterly period ended September 30, 2018.</w:t>
      </w:r>
    </w:p>
    <w:p>
      <w:pPr>
        <w:spacing w:after="0" w:line="3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Evaluation of Disclosure Controls and Procedures</w:t>
      </w:r>
    </w:p>
    <w:p>
      <w:pPr>
        <w:spacing w:after="0" w:line="108"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this Form 10-Q, pursuant to Rule 13a-15(b) under the Securities Exchange Act of 1934, as amended (the “Exchange Act”), the Company carried out an evaluation with the participation of its management, including its Chief Executive Officer (principal executive officer) and Chief Financial Officer (principal financial officer), of the effectiveness of the design and operation of our disclosure controls and procedures (as defined under Rule 13a-15(e) and 15d-15(e) under the Exchange Act) as of June 30, 2022.</w:t>
      </w:r>
    </w:p>
    <w:p>
      <w:pPr>
        <w:spacing w:after="0" w:line="58" w:lineRule="exact"/>
        <w:rPr>
          <w:sz w:val="20"/>
          <w:szCs w:val="20"/>
          <w:color w:val="auto"/>
        </w:rPr>
      </w:pPr>
    </w:p>
    <w:p>
      <w:pPr>
        <w:ind w:right="100" w:firstLine="405"/>
        <w:spacing w:after="0" w:line="277" w:lineRule="auto"/>
        <w:rPr>
          <w:sz w:val="20"/>
          <w:szCs w:val="20"/>
          <w:color w:val="auto"/>
        </w:rPr>
      </w:pPr>
      <w:r>
        <w:rPr>
          <w:rFonts w:ascii="Times New Roman" w:cs="Times New Roman" w:eastAsia="Times New Roman" w:hAnsi="Times New Roman"/>
          <w:sz w:val="17"/>
          <w:szCs w:val="17"/>
          <w:color w:val="auto"/>
        </w:rPr>
        <w:t>Based on this evaluation, the Company’s Chief Executive Officer and Chief Financial Officer concluded that, because of the material weaknesses in internal control over financial reporting discussed below, the Company’s disclosure controls and procedures were not effective as of June 30, 2022, to ensure: (i) that information required to be disclosed by the Company in the reports that it files or submits under the Exchange Act, is recorded, processed, summarized and reported, within the time periods specified in the SEC’s rules and forms, and (ii) that such information is accumulated and communicated to management, including the Chief Executive Officer and Chief Financial Officer, as appropriate, to allow timely decisions regarding required disclosure.</w:t>
      </w:r>
    </w:p>
    <w:p>
      <w:pPr>
        <w:spacing w:after="0" w:line="33"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such term is defined in Rules 13a-15(f) and 15d-15(f) under the Exchange Act. The Company’s internal control over financial reporting is a process designed by or under the supervision of the Company’s Chief Executive Officer and Chief</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2" w:name="page43"/>
    <w:bookmarkEnd w:id="42"/>
    <w:p>
      <w:pPr>
        <w:ind w:right="820"/>
        <w:spacing w:after="0" w:line="282" w:lineRule="auto"/>
        <w:rPr>
          <w:sz w:val="20"/>
          <w:szCs w:val="20"/>
          <w:color w:val="auto"/>
        </w:rPr>
      </w:pPr>
      <w:r>
        <w:rPr>
          <w:rFonts w:ascii="Times New Roman" w:cs="Times New Roman" w:eastAsia="Times New Roman" w:hAnsi="Times New Roman"/>
          <w:sz w:val="18"/>
          <w:szCs w:val="18"/>
          <w:color w:val="auto"/>
        </w:rPr>
        <w:t>Financial Officer, and overseen by the Board of Directors, to provide reasonable assurance regarding the reliability of financial reporting and the preparation of financial statements for external purposes in accordance with GAAP and includes policies and procedures that:</w:t>
      </w:r>
    </w:p>
    <w:p>
      <w:pPr>
        <w:spacing w:after="0" w:line="27" w:lineRule="exact"/>
        <w:rPr>
          <w:sz w:val="20"/>
          <w:szCs w:val="20"/>
          <w:color w:val="auto"/>
        </w:rPr>
      </w:pPr>
    </w:p>
    <w:p>
      <w:pPr>
        <w:ind w:left="660" w:right="32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Company’s assets;</w:t>
      </w:r>
    </w:p>
    <w:p>
      <w:pPr>
        <w:spacing w:after="0" w:line="40" w:lineRule="exact"/>
        <w:rPr>
          <w:rFonts w:ascii="Times New Roman" w:cs="Times New Roman" w:eastAsia="Times New Roman" w:hAnsi="Times New Roman"/>
          <w:sz w:val="18"/>
          <w:szCs w:val="18"/>
          <w:color w:val="auto"/>
        </w:rPr>
      </w:pPr>
    </w:p>
    <w:p>
      <w:pPr>
        <w:jc w:val="both"/>
        <w:ind w:left="660" w:right="120" w:hanging="328"/>
        <w:spacing w:after="0" w:line="312" w:lineRule="auto"/>
        <w:tabs>
          <w:tab w:leader="none" w:pos="65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preparation of financial statements in accordance with GAAP, and that the Company’s receipts and expenditures are being made only in accordance with the authorization of its management and directors; and</w:t>
      </w:r>
    </w:p>
    <w:p>
      <w:pPr>
        <w:spacing w:after="0" w:line="18" w:lineRule="exact"/>
        <w:rPr>
          <w:rFonts w:ascii="Times New Roman" w:cs="Times New Roman" w:eastAsia="Times New Roman" w:hAnsi="Times New Roman"/>
          <w:sz w:val="17"/>
          <w:szCs w:val="17"/>
          <w:color w:val="auto"/>
        </w:rPr>
      </w:pPr>
    </w:p>
    <w:p>
      <w:pPr>
        <w:ind w:left="660" w:right="4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27"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is not intended to provide absolute assurance that a misstatement of the Company’s consolidated financial statements would be prevented or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8"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40"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Management conducted an evaluation of the effectiveness of the Company’s internal control over financial reporting as of December 31, 2021 using the criteria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(the “2013 COSO Framework”). As a result of this evaluation, management concluded, as disclosed in the 2021 Form 10-K, that the Company’s internal control over financial reporting was not effective as of December 31, 2021, because of the material weaknesses in internal control over financial reporting discussed below.</w:t>
      </w:r>
    </w:p>
    <w:p>
      <w:pPr>
        <w:spacing w:after="0" w:line="44" w:lineRule="exact"/>
        <w:rPr>
          <w:sz w:val="20"/>
          <w:szCs w:val="20"/>
          <w:color w:val="auto"/>
        </w:rPr>
      </w:pPr>
    </w:p>
    <w:p>
      <w:pPr>
        <w:ind w:left="660" w:right="80" w:hanging="328"/>
        <w:spacing w:after="0" w:line="28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Control Environment: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did not have a sufficient number of trained resources with assigned responsibility and accountability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 operation and documentation of internal control over financial reporting in accordance with the 2013 COSO Framework.</w:t>
      </w:r>
    </w:p>
    <w:p>
      <w:pPr>
        <w:spacing w:after="0" w:line="33"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Risk Assessment: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did not have an effective risk assessment process to identify and evaluate at a sufficient level of detail all relevant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risks of material misstatement, including fraud risks.</w:t>
      </w:r>
    </w:p>
    <w:p>
      <w:pPr>
        <w:spacing w:after="0" w:line="33" w:lineRule="exact"/>
        <w:rPr>
          <w:rFonts w:ascii="Times New Roman" w:cs="Times New Roman" w:eastAsia="Times New Roman" w:hAnsi="Times New Roman"/>
          <w:sz w:val="18"/>
          <w:szCs w:val="18"/>
          <w:color w:val="auto"/>
        </w:rPr>
      </w:pPr>
    </w:p>
    <w:p>
      <w:pPr>
        <w:ind w:left="660" w:right="20" w:hanging="328"/>
        <w:spacing w:after="0" w:line="268"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Information and Communication: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did not have an effective information and communication process that identified and assessed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source of and controls necessary to ensure the reliability of information used in financial reporting and that communicates relevant information about roles and responsibilities for internal control over financial reporting.</w:t>
      </w:r>
    </w:p>
    <w:p>
      <w:pPr>
        <w:spacing w:after="0" w:line="35" w:lineRule="exact"/>
        <w:rPr>
          <w:rFonts w:ascii="Times New Roman" w:cs="Times New Roman" w:eastAsia="Times New Roman" w:hAnsi="Times New Roman"/>
          <w:sz w:val="18"/>
          <w:szCs w:val="18"/>
          <w:color w:val="auto"/>
        </w:rPr>
      </w:pPr>
    </w:p>
    <w:p>
      <w:pPr>
        <w:ind w:left="660" w:right="500" w:hanging="328"/>
        <w:spacing w:after="0" w:line="317" w:lineRule="auto"/>
        <w:tabs>
          <w:tab w:leader="none" w:pos="65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u w:val="single" w:color="auto"/>
          <w:color w:val="auto"/>
        </w:rPr>
        <w:t>Monitoring Activities: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 did not have effective monitoring activities to assess the operation of internal control over financial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reporting, including the continued appropriateness of control design and level of documentation maintained to support control effectiveness.</w:t>
      </w:r>
    </w:p>
    <w:p>
      <w:pPr>
        <w:spacing w:after="0" w:line="10" w:lineRule="exact"/>
        <w:rPr>
          <w:rFonts w:ascii="Times New Roman" w:cs="Times New Roman" w:eastAsia="Times New Roman" w:hAnsi="Times New Roman"/>
          <w:sz w:val="17"/>
          <w:szCs w:val="17"/>
          <w:color w:val="auto"/>
        </w:rPr>
      </w:pPr>
    </w:p>
    <w:p>
      <w:pPr>
        <w:ind w:left="660" w:right="80" w:hanging="328"/>
        <w:spacing w:after="0" w:line="317" w:lineRule="auto"/>
        <w:tabs>
          <w:tab w:leader="none" w:pos="65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u w:val="single" w:color="auto"/>
          <w:color w:val="auto"/>
        </w:rPr>
        <w:t>Control Activities: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a consequence of the material weaknesses described above, internal control deficiencies related to the design and operation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process-level controls and general information technology controls were determined to be pervasive throughout the Company’s processes.</w:t>
      </w:r>
    </w:p>
    <w:p>
      <w:pPr>
        <w:spacing w:after="0" w:line="14"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While these material weaknesses did not result in material misstatements of the Company’s consolidated financial statements as of and for the year ended December 31, 2021, these material weaknesses create a reasonable possibility that a material misstatement of account balances or disclosures in annual or interim consolidated financial statements may not be prevented or detected in a timely manner. Accordingly, the Company concluded that the deficiencies represent material weaknesses in its internal control over financial reporting and its internal control over financial reporting was not effective as of December 31, 2021.</w:t>
      </w:r>
    </w:p>
    <w:p>
      <w:pPr>
        <w:spacing w:after="0" w:line="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independent registered public accounting firm, KPMG LLP, which audited the 2021 consolidated financial statements included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Form 10-K, expressed an adverse opinion on the operating effectiveness of the Company's internal control over financial reporting as of December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31, 2021.</w:t>
      </w:r>
    </w:p>
    <w:p>
      <w:pPr>
        <w:spacing w:after="0" w:line="8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Remediation Plan and Efforts to Address the Previously Identified Material Weaknesses</w:t>
      </w:r>
    </w:p>
    <w:p>
      <w:pPr>
        <w:spacing w:after="0" w:line="108"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To remediate the material weaknesses described above, the Company, with the oversight of the Audit Committee of the Board of Directors (the “Audit Committee”), has been pursuing the six remediation steps as originally identified in the Company’s Annual Report on Form 10-K for the year ended December 31, 2018. The Company’s remediation plan was designed with the assistance of management’s outside consultant, an internationally recognized accounting firm. Through the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3" w:name="page44"/>
    <w:bookmarkEnd w:id="43"/>
    <w:p>
      <w:pPr>
        <w:ind w:right="80"/>
        <w:spacing w:after="0" w:line="282" w:lineRule="auto"/>
        <w:rPr>
          <w:sz w:val="20"/>
          <w:szCs w:val="20"/>
          <w:color w:val="auto"/>
        </w:rPr>
      </w:pPr>
      <w:r>
        <w:rPr>
          <w:rFonts w:ascii="Times New Roman" w:cs="Times New Roman" w:eastAsia="Times New Roman" w:hAnsi="Times New Roman"/>
          <w:sz w:val="18"/>
          <w:szCs w:val="18"/>
          <w:color w:val="auto"/>
        </w:rPr>
        <w:t>second quarter of 2022, the Company continued to implement new and revised internal controls over financial reporting designed as part of management’s remediation plan across the organization.</w:t>
      </w:r>
    </w:p>
    <w:p>
      <w:pPr>
        <w:spacing w:after="0" w:line="27"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The Company previously expected the implementation of the Company’s new and revised controls to have been completed in the first half of 2022; however, during the second quarter, the remediation of controls in certain processes has been delayed due to factors, including resource constraints as a result of labor shortages and the need for additional training in positions relevant to internal controls that had previously experienced turnover. In the processes where the Company has designed and implemented new and revised controls, management has commenced testing over the operating effectiveness of such controls.</w:t>
      </w:r>
    </w:p>
    <w:p>
      <w:pPr>
        <w:spacing w:after="0" w:line="62"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Company is committed to the improvement of its internal control over financial reporting and management continues to work with its outside consultant to assist in completing the remaining steps in the remediation plan, which it believes will be sufficient to remediate the identified material weaknesses and strengthen its internal control over financial reporting. As the Company continues to evaluate, implement and work to improve its internal control over financial reporting, management may determine that additional measures to address control deficiencies or modifications to the remediation plan are necessary.</w:t>
      </w:r>
    </w:p>
    <w:p>
      <w:pPr>
        <w:spacing w:after="0" w:line="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Through the second quarter of 2022, the Company has completed certain steps in its remediation plan, including:</w:t>
      </w:r>
    </w:p>
    <w:p>
      <w:pPr>
        <w:spacing w:after="0" w:line="90" w:lineRule="exact"/>
        <w:rPr>
          <w:sz w:val="20"/>
          <w:szCs w:val="20"/>
          <w:color w:val="auto"/>
        </w:rPr>
      </w:pPr>
    </w:p>
    <w:p>
      <w:pPr>
        <w:ind w:left="820" w:right="440" w:hanging="407"/>
        <w:spacing w:after="0" w:line="282" w:lineRule="auto"/>
        <w:tabs>
          <w:tab w:leader="none" w:pos="8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certain processes, developed new and revised existing process narratives and identified risks of material misstatement inherent to those processes;</w:t>
      </w:r>
    </w:p>
    <w:p>
      <w:pPr>
        <w:spacing w:after="0" w:line="40" w:lineRule="exact"/>
        <w:rPr>
          <w:rFonts w:ascii="Times New Roman" w:cs="Times New Roman" w:eastAsia="Times New Roman" w:hAnsi="Times New Roman"/>
          <w:sz w:val="18"/>
          <w:szCs w:val="18"/>
          <w:color w:val="auto"/>
        </w:rPr>
      </w:pPr>
    </w:p>
    <w:p>
      <w:pPr>
        <w:ind w:left="820" w:right="1000" w:hanging="407"/>
        <w:spacing w:after="0" w:line="282" w:lineRule="auto"/>
        <w:tabs>
          <w:tab w:leader="none" w:pos="8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new controls and revised the design of existing controls for a significant number of relevant key controls to mitigate the aforementioned risks, inclusive of general information technology controls and entity-level controls;</w:t>
      </w:r>
    </w:p>
    <w:p>
      <w:pPr>
        <w:spacing w:after="0" w:line="4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initial organization-wide training sessions with all control owners;</w:t>
      </w:r>
    </w:p>
    <w:p>
      <w:pPr>
        <w:spacing w:after="0" w:line="90" w:lineRule="exact"/>
        <w:rPr>
          <w:rFonts w:ascii="Times New Roman" w:cs="Times New Roman" w:eastAsia="Times New Roman" w:hAnsi="Times New Roman"/>
          <w:sz w:val="18"/>
          <w:szCs w:val="18"/>
          <w:color w:val="auto"/>
        </w:rPr>
      </w:pPr>
    </w:p>
    <w:p>
      <w:pPr>
        <w:ind w:left="820" w:right="120" w:hanging="407"/>
        <w:spacing w:after="0" w:line="282" w:lineRule="auto"/>
        <w:tabs>
          <w:tab w:leader="none" w:pos="8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resources in the Company’s internal audit function and created and staffed a controls compliance group charged with monitoring and facilitating compliance with the Company’s responsibilities under the Sarbanes Oxley Act of 2002 (“SOX”);</w:t>
      </w:r>
    </w:p>
    <w:p>
      <w:pPr>
        <w:spacing w:after="0" w:line="4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a software solution to assist in monitoring and documenting compliance with SOX;</w:t>
      </w:r>
    </w:p>
    <w:p>
      <w:pPr>
        <w:spacing w:after="0" w:line="10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migrated certain components of a legacy information technology system onto a common information technology environment; and</w:t>
      </w:r>
    </w:p>
    <w:p>
      <w:pPr>
        <w:spacing w:after="0" w:line="9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new and revised internal controls over financial reporting for certain processes and information technology environments.</w:t>
      </w:r>
    </w:p>
    <w:p>
      <w:pPr>
        <w:spacing w:after="0" w:line="10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remaining activities are scheduled for completion in the third quarter of 2022 to allow for testing of the operating effectiveness of these controls as part of management’s assessment of internal control over financial reporting as of December 31, 2022:</w:t>
      </w:r>
    </w:p>
    <w:p>
      <w:pPr>
        <w:spacing w:after="0" w:line="40" w:lineRule="exact"/>
        <w:rPr>
          <w:sz w:val="20"/>
          <w:szCs w:val="20"/>
          <w:color w:val="auto"/>
        </w:rPr>
      </w:pPr>
    </w:p>
    <w:p>
      <w:pPr>
        <w:ind w:left="820" w:hanging="407"/>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identification of risks arising from inappropriate segregation of duties and fraud risks;</w:t>
      </w:r>
    </w:p>
    <w:p>
      <w:pPr>
        <w:spacing w:after="0" w:line="9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risk assessment and control design for the remaining populations of processes and controls;</w:t>
      </w:r>
    </w:p>
    <w:p>
      <w:pPr>
        <w:spacing w:after="0" w:line="10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controls across the remaining processes and information technology environments;</w:t>
      </w:r>
    </w:p>
    <w:p>
      <w:pPr>
        <w:spacing w:after="0" w:line="10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accounting personnel and segregating duties amongst accounting personnel; and</w:t>
      </w:r>
    </w:p>
    <w:p>
      <w:pPr>
        <w:spacing w:after="0" w:line="9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training with control owners, as necessary.</w:t>
      </w:r>
    </w:p>
    <w:p>
      <w:pPr>
        <w:spacing w:after="0" w:line="104"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Company continues to monitor the impact of employee turnover, the COVID-19 pandemic and other external factors on its remediation plan and its assessment of internal control over financial reporting. The material weaknesses cannot be considered remediated until the applicable controls have operated for a sufficient period of time and management has concluded, through testing, that these controls are operating effectively. The Company cannot assure you when it will remediate the identified material weaknesses, nor can it be certain whether additional actions will be required. Moreover, the Company cannot assure you that additional material weaknesses will not arise in the future.</w:t>
      </w:r>
    </w:p>
    <w:p>
      <w:pPr>
        <w:spacing w:after="0" w:line="4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Changes in Internal Control Over Financial Reporting</w:t>
      </w:r>
    </w:p>
    <w:p>
      <w:pPr>
        <w:spacing w:after="0" w:line="108"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The Company is in the process of making certain changes in its internal controls to remediate the material weaknesses as described above. The execution of the material aspects of this remediation plan began in the second quarter of 2019. Except as noted above with respect to the completion of certain steps in the remediation plan and implementation of certain new and revised internal controls over financial reporting, there has been no change in the Company’s internal control over financial reporting during the quarter ended June 30, 2022, that has materially affected, or is reasonably likely to materially affect, its internal control over financial reporting (as defined in Rules 13a-15(f) and 15d-15(f) under the Exchange Act).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9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4" w:name="page45"/>
    <w:bookmarkEnd w:id="44"/>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As disclosed in “Item 1A. Risk Factors” in the 2021 Form 10-K, there are a number of risks and uncertainties that can have a material effect on the operating results of our businesses and our financial condition. Except for the item shown below, there are no additional material updates or changes to our risk factors previously disclosed in the 2021 Form 10-K.</w:t>
      </w:r>
    </w:p>
    <w:p>
      <w:pPr>
        <w:spacing w:after="0" w:line="37"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failure to continue to attract, develop and retain certain key officers or employees could adversely affect our businesses. </w:t>
      </w:r>
      <w:r>
        <w:rPr>
          <w:rFonts w:ascii="Times New Roman" w:cs="Times New Roman" w:eastAsia="Times New Roman" w:hAnsi="Times New Roman"/>
          <w:sz w:val="18"/>
          <w:szCs w:val="18"/>
          <w:color w:val="auto"/>
        </w:rPr>
        <w:t>Our success depends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the efforts and abilities of key personnel, many of whom are longstanding employees. The loss of any of these key personnel could deplete our institutional knowledge base and negatively affect our ability to efficiently operate our businesses. Certain roles have experienced high turnover in recent years, and we are experiencing an increasingly competitive labor market. Job market dynamics have been impacted by macroeconomic conditions, the effects of the COVID-19 pandemic and the “great resignation.” Our investors, business partners, and employees prefer stability, and increased employee turnover could hinder our ability to execute our business strategy and adversely affect our business, financial condition, results of operations and cash flows.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60" w:type="dxa"/>
            <w:vAlign w:val="bottom"/>
            <w:gridSpan w:val="23"/>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27"/>
        </w:trPr>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64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560" w:type="dxa"/>
            <w:vAlign w:val="bottom"/>
            <w:tcBorders>
              <w:bottom w:val="single" w:sz="8" w:color="CCEEFF"/>
            </w:tcBorders>
            <w:shd w:val="clear" w:color="auto" w:fill="CCEEFF"/>
          </w:tcPr>
          <w:p>
            <w:pPr>
              <w:spacing w:after="0"/>
              <w:rPr>
                <w:sz w:val="16"/>
                <w:szCs w:val="16"/>
                <w:color w:val="auto"/>
              </w:rPr>
            </w:pPr>
          </w:p>
        </w:tc>
        <w:tc>
          <w:tcPr>
            <w:tcW w:w="9700" w:type="dxa"/>
            <w:vAlign w:val="bottom"/>
            <w:tcBorders>
              <w:bottom w:val="single" w:sz="8" w:color="0000FF"/>
            </w:tcBorders>
            <w:gridSpan w:val="13"/>
            <w:shd w:val="clear" w:color="auto" w:fill="CCEEFF"/>
          </w:tcPr>
          <w:p>
            <w:pPr>
              <w:spacing w:after="0" w:line="189" w:lineRule="exact"/>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Second Amended and Restated Credit Agreement, dated as of June 29, 2022, among Tredegar, as borrower, the lenders named therein,</w:t>
              </w:r>
            </w:hyperlink>
          </w:p>
        </w:tc>
        <w:tc>
          <w:tcPr>
            <w:tcW w:w="300" w:type="dxa"/>
            <w:vAlign w:val="bottom"/>
            <w:tcBorders>
              <w:bottom w:val="single" w:sz="8" w:color="CCEEFF"/>
            </w:tcBorders>
            <w:gridSpan w:val="9"/>
            <w:shd w:val="clear" w:color="auto" w:fill="CCEEFF"/>
          </w:tcPr>
          <w:p>
            <w:pPr>
              <w:spacing w:after="0"/>
              <w:rPr>
                <w:sz w:val="16"/>
                <w:szCs w:val="16"/>
                <w:color w:val="auto"/>
              </w:rPr>
            </w:pPr>
          </w:p>
        </w:tc>
      </w:tr>
      <w:tr>
        <w:trPr>
          <w:trHeight w:val="156"/>
        </w:trPr>
        <w:tc>
          <w:tcPr>
            <w:tcW w:w="6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00" w:type="dxa"/>
            <w:vAlign w:val="bottom"/>
            <w:gridSpan w:val="22"/>
            <w:shd w:val="clear" w:color="auto" w:fill="CCEEFF"/>
          </w:tcPr>
          <w:p>
            <w:pPr>
              <w:spacing w:after="0" w:line="15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JPMorgan Chase Bank N.A., as administrative agent, Citizens Bank N.A and PNC Bank, National Association, as co-syndication agents,</w:t>
              </w:r>
            </w:hyperlink>
          </w:p>
        </w:tc>
      </w:tr>
      <w:tr>
        <w:trPr>
          <w:trHeight w:val="156"/>
        </w:trPr>
        <w:tc>
          <w:tcPr>
            <w:tcW w:w="64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9860" w:type="dxa"/>
            <w:vAlign w:val="bottom"/>
            <w:tcBorders>
              <w:top w:val="single" w:sz="8" w:color="0000FF"/>
            </w:tcBorders>
            <w:gridSpan w:val="20"/>
            <w:shd w:val="clear" w:color="auto" w:fill="CCEEFF"/>
          </w:tcPr>
          <w:p>
            <w:pPr>
              <w:spacing w:after="0" w:line="15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and Bank of America, N.A., U.S. Bank National Association and Wells Fargo Bank, National Association, as co-documentation agents,</w:t>
              </w:r>
            </w:hyperlink>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r>
      <w:tr>
        <w:trPr>
          <w:trHeight w:val="169"/>
        </w:trPr>
        <w:tc>
          <w:tcPr>
            <w:tcW w:w="6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9760" w:type="dxa"/>
            <w:vAlign w:val="bottom"/>
            <w:tcBorders>
              <w:top w:val="single" w:sz="8" w:color="0000FF"/>
            </w:tcBorders>
            <w:gridSpan w:val="16"/>
            <w:shd w:val="clear" w:color="auto" w:fill="CCEEFF"/>
          </w:tcPr>
          <w:p>
            <w:pPr>
              <w:spacing w:after="0" w:line="169"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and the other lenders party thereto (filed as Exhibit 4.1 to Tredegar's Current Report on Form 8-K (File No. 1-10258), filed on June 30,</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90"/>
        </w:trPr>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CCEEFF"/>
            </w:tcBorders>
            <w:shd w:val="clear" w:color="auto" w:fill="CCEEFF"/>
          </w:tcPr>
          <w:p>
            <w:pPr>
              <w:spacing w:after="0"/>
              <w:rPr>
                <w:sz w:val="16"/>
                <w:szCs w:val="16"/>
                <w:color w:val="auto"/>
              </w:rPr>
            </w:pPr>
          </w:p>
        </w:tc>
        <w:tc>
          <w:tcPr>
            <w:tcW w:w="3160" w:type="dxa"/>
            <w:vAlign w:val="bottom"/>
            <w:tcBorders>
              <w:top w:val="single" w:sz="8" w:color="0000FF"/>
              <w:bottom w:val="single" w:sz="8" w:color="0000FF"/>
            </w:tcBorders>
            <w:gridSpan w:val="3"/>
            <w:shd w:val="clear" w:color="auto" w:fill="CCEEFF"/>
          </w:tcPr>
          <w:p>
            <w:pPr>
              <w:spacing w:after="0" w:line="156" w:lineRule="exact"/>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2022, and incorporated herein by reference)</w:t>
              </w:r>
            </w:hyperlink>
          </w:p>
        </w:tc>
        <w:tc>
          <w:tcPr>
            <w:tcW w:w="6560" w:type="dxa"/>
            <w:vAlign w:val="bottom"/>
            <w:tcBorders>
              <w:top w:val="single" w:sz="8" w:color="0000FF"/>
              <w:bottom w:val="single" w:sz="8" w:color="CCEEFF"/>
            </w:tcBorders>
            <w:gridSpan w:val="11"/>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6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560" w:type="dxa"/>
            <w:vAlign w:val="bottom"/>
          </w:tcPr>
          <w:p>
            <w:pPr>
              <w:spacing w:after="0"/>
              <w:rPr>
                <w:sz w:val="16"/>
                <w:szCs w:val="16"/>
                <w:color w:val="auto"/>
              </w:rPr>
            </w:pPr>
          </w:p>
        </w:tc>
        <w:tc>
          <w:tcPr>
            <w:tcW w:w="9540" w:type="dxa"/>
            <w:vAlign w:val="bottom"/>
            <w:tcBorders>
              <w:bottom w:val="single" w:sz="8" w:color="0000FF"/>
            </w:tcBorders>
            <w:gridSpan w:val="10"/>
          </w:tcPr>
          <w:p>
            <w:pPr>
              <w:spacing w:after="0" w:line="189" w:lineRule="exact"/>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Amended and Restated Guaranty, dated as of June 29, 2022, by and among the subsidiaries of Tredegar listed on the signature pages</w:t>
              </w:r>
            </w:hyperlink>
          </w:p>
        </w:tc>
        <w:tc>
          <w:tcPr>
            <w:tcW w:w="460" w:type="dxa"/>
            <w:vAlign w:val="bottom"/>
            <w:gridSpan w:val="12"/>
          </w:tcPr>
          <w:p>
            <w:pPr>
              <w:spacing w:after="0"/>
              <w:rPr>
                <w:sz w:val="16"/>
                <w:szCs w:val="16"/>
                <w:color w:val="auto"/>
              </w:rPr>
            </w:pPr>
          </w:p>
        </w:tc>
      </w:tr>
      <w:tr>
        <w:trPr>
          <w:trHeight w:val="156"/>
        </w:trPr>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0" w:type="dxa"/>
            <w:vAlign w:val="bottom"/>
            <w:gridSpan w:val="22"/>
          </w:tcPr>
          <w:p>
            <w:pPr>
              <w:spacing w:after="0" w:line="15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thereto in favor of JPMorgan Case Bank, N.A., as administrative agent, for the ratable benefit of the Holders of Guaranteed Obligations</w:t>
              </w:r>
            </w:hyperlink>
          </w:p>
        </w:tc>
      </w:tr>
      <w:tr>
        <w:trPr>
          <w:trHeight w:val="155"/>
        </w:trPr>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7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(as defined therein) (filed as Exhibit 4.2 to Tredegar's Current Report on Form 8-K (File No. 1-10258), filed on June 30, 2022, and</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169"/>
        </w:trPr>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incorporated herein by reference)</w:t>
              </w:r>
            </w:hyperlink>
          </w:p>
        </w:tc>
        <w:tc>
          <w:tcPr>
            <w:tcW w:w="1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r>
      <w:tr>
        <w:trPr>
          <w:trHeight w:val="21"/>
        </w:trPr>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6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560" w:type="dxa"/>
            <w:vAlign w:val="bottom"/>
            <w:shd w:val="clear" w:color="auto" w:fill="CCEEFF"/>
          </w:tcPr>
          <w:p>
            <w:pPr>
              <w:spacing w:after="0"/>
              <w:rPr>
                <w:sz w:val="16"/>
                <w:szCs w:val="16"/>
                <w:color w:val="auto"/>
              </w:rPr>
            </w:pPr>
          </w:p>
        </w:tc>
        <w:tc>
          <w:tcPr>
            <w:tcW w:w="10000" w:type="dxa"/>
            <w:vAlign w:val="bottom"/>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Amended and Restated Pledge Agreement, dated as of June 29, 2022, by and among the subsidiaries of Tredegar listed on the signature</w:t>
              </w:r>
            </w:hyperlink>
          </w:p>
        </w:tc>
      </w:tr>
      <w:tr>
        <w:trPr>
          <w:trHeight w:val="156"/>
        </w:trPr>
        <w:tc>
          <w:tcPr>
            <w:tcW w:w="64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9740" w:type="dxa"/>
            <w:vAlign w:val="bottom"/>
            <w:tcBorders>
              <w:top w:val="single" w:sz="8" w:color="0000FF"/>
            </w:tcBorders>
            <w:gridSpan w:val="15"/>
            <w:shd w:val="clear" w:color="auto" w:fill="CCEEFF"/>
          </w:tcPr>
          <w:p>
            <w:pPr>
              <w:spacing w:after="0" w:line="15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pages thereto in favor of JPMorgan Case Bank, N.A., as administrative agent, for the ratable benefit of the Secured Parties (as defined</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r>
      <w:tr>
        <w:trPr>
          <w:trHeight w:val="156"/>
        </w:trPr>
        <w:tc>
          <w:tcPr>
            <w:tcW w:w="64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9660" w:type="dxa"/>
            <w:vAlign w:val="bottom"/>
            <w:tcBorders>
              <w:top w:val="single" w:sz="8" w:color="0000FF"/>
            </w:tcBorders>
            <w:gridSpan w:val="11"/>
            <w:shd w:val="clear" w:color="auto" w:fill="CCEEFF"/>
          </w:tcPr>
          <w:p>
            <w:pPr>
              <w:spacing w:after="0" w:line="15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therein) (filed as Exhibit 4.3 to Tredegar's Current Report on Form 8-K (File No. 1-10258), filed on June 30, 2022, and incorporated</w:t>
              </w:r>
            </w:hyperlink>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6"/>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r>
      <w:tr>
        <w:trPr>
          <w:trHeight w:val="169"/>
        </w:trPr>
        <w:tc>
          <w:tcPr>
            <w:tcW w:w="6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9520" w:type="dxa"/>
            <w:vAlign w:val="bottom"/>
            <w:tcBorders>
              <w:top w:val="single" w:sz="8" w:color="0000FF"/>
            </w:tcBorders>
            <w:gridSpan w:val="9"/>
            <w:shd w:val="clear" w:color="auto" w:fill="CCEEFF"/>
          </w:tcPr>
          <w:p>
            <w:pPr>
              <w:spacing w:after="0" w:line="169"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herein by reference)</w:t>
              </w:r>
            </w:hyperlink>
          </w:p>
        </w:tc>
        <w:tc>
          <w:tcPr>
            <w:tcW w:w="160" w:type="dxa"/>
            <w:vAlign w:val="bottom"/>
            <w:tcBorders>
              <w:top w:val="single" w:sz="8" w:color="CCEEFF"/>
            </w:tcBorders>
            <w:gridSpan w:val="3"/>
            <w:shd w:val="clear" w:color="auto" w:fill="CCEEFF"/>
          </w:tcPr>
          <w:p>
            <w:pPr>
              <w:spacing w:after="0"/>
              <w:rPr>
                <w:sz w:val="14"/>
                <w:szCs w:val="14"/>
                <w:color w:val="auto"/>
              </w:rPr>
            </w:pPr>
          </w:p>
        </w:tc>
        <w:tc>
          <w:tcPr>
            <w:tcW w:w="120" w:type="dxa"/>
            <w:vAlign w:val="bottom"/>
            <w:tcBorders>
              <w:top w:val="single" w:sz="8" w:color="CCEEFF"/>
            </w:tcBorders>
            <w:gridSpan w:val="6"/>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21"/>
        </w:trPr>
        <w:tc>
          <w:tcPr>
            <w:tcW w:w="6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560" w:type="dxa"/>
            <w:vAlign w:val="bottom"/>
          </w:tcPr>
          <w:p>
            <w:pPr>
              <w:spacing w:after="0"/>
              <w:rPr>
                <w:sz w:val="16"/>
                <w:szCs w:val="16"/>
                <w:color w:val="auto"/>
              </w:rPr>
            </w:pPr>
          </w:p>
        </w:tc>
        <w:tc>
          <w:tcPr>
            <w:tcW w:w="1000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President and Chief Executive Officer of Tredegar Corporation, pursuant to Rules 13a-14(a) and 15d-14(a) promulgated</w:t>
            </w:r>
          </w:p>
        </w:tc>
      </w:tr>
      <w:tr>
        <w:trPr>
          <w:trHeight w:val="156"/>
        </w:trPr>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0" w:type="dxa"/>
            <w:vAlign w:val="bottom"/>
            <w:tcBorders>
              <w:top w:val="single" w:sz="8" w:color="0000FF"/>
            </w:tcBorders>
            <w:gridSpan w:val="18"/>
          </w:tcPr>
          <w:p>
            <w:pPr>
              <w:spacing w:after="0" w:line="156" w:lineRule="exact"/>
              <w:rPr>
                <w:sz w:val="20"/>
                <w:szCs w:val="20"/>
                <w:color w:val="auto"/>
              </w:rPr>
            </w:pPr>
            <w:r>
              <w:rPr>
                <w:rFonts w:ascii="Times New Roman" w:cs="Times New Roman" w:eastAsia="Times New Roman" w:hAnsi="Times New Roman"/>
                <w:sz w:val="18"/>
                <w:szCs w:val="18"/>
                <w:color w:val="0000FF"/>
              </w:rPr>
              <w:t>under the Securities Exchange Act of 1934, as adopted pursuant to Section 302 of the Sarbanes-Oxley Act of 2002.</w:t>
            </w: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34"/>
        </w:trPr>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338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6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560" w:type="dxa"/>
            <w:vAlign w:val="bottom"/>
            <w:shd w:val="clear" w:color="auto" w:fill="CCEEFF"/>
          </w:tcPr>
          <w:p>
            <w:pPr>
              <w:spacing w:after="0"/>
              <w:rPr>
                <w:sz w:val="16"/>
                <w:szCs w:val="16"/>
                <w:color w:val="auto"/>
              </w:rPr>
            </w:pPr>
          </w:p>
        </w:tc>
        <w:tc>
          <w:tcPr>
            <w:tcW w:w="1000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Executive Vice President and Chief Financial Officer of Tredegar Corporation, pursuant to Rules 13a-14(a) and 15d-14(a)</w:t>
            </w:r>
          </w:p>
        </w:tc>
      </w:tr>
      <w:tr>
        <w:trPr>
          <w:trHeight w:val="155"/>
        </w:trPr>
        <w:tc>
          <w:tcPr>
            <w:tcW w:w="64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9940" w:type="dxa"/>
            <w:vAlign w:val="bottom"/>
            <w:tcBorders>
              <w:top w:val="single" w:sz="8" w:color="0000FF"/>
            </w:tcBorders>
            <w:gridSpan w:val="21"/>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promulgated under the Securities Exchange Act of 1934, as adopted pursuant to Section 302 of the Sarbanes-Oxley Act of 2002.</w:t>
            </w:r>
          </w:p>
        </w:tc>
        <w:tc>
          <w:tcPr>
            <w:tcW w:w="60" w:type="dxa"/>
            <w:vAlign w:val="bottom"/>
            <w:tcBorders>
              <w:top w:val="single" w:sz="8" w:color="CCEEFF"/>
            </w:tcBorders>
            <w:shd w:val="clear" w:color="auto" w:fill="CCEEFF"/>
          </w:tcPr>
          <w:p>
            <w:pPr>
              <w:spacing w:after="0"/>
              <w:rPr>
                <w:sz w:val="13"/>
                <w:szCs w:val="13"/>
                <w:color w:val="auto"/>
              </w:rPr>
            </w:pPr>
          </w:p>
        </w:tc>
      </w:tr>
      <w:tr>
        <w:trPr>
          <w:trHeight w:val="34"/>
        </w:trPr>
        <w:tc>
          <w:tcPr>
            <w:tcW w:w="6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0000FF"/>
            </w:tcBorders>
            <w:shd w:val="clear" w:color="auto" w:fill="CCEEFF"/>
          </w:tcPr>
          <w:p>
            <w:pPr>
              <w:spacing w:after="0"/>
              <w:rPr>
                <w:sz w:val="2"/>
                <w:szCs w:val="2"/>
                <w:color w:val="auto"/>
              </w:rPr>
            </w:pPr>
          </w:p>
        </w:tc>
        <w:tc>
          <w:tcPr>
            <w:tcW w:w="96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280" w:type="dxa"/>
            <w:vAlign w:val="bottom"/>
            <w:tcBorders>
              <w:top w:val="single" w:sz="8" w:color="0000FF"/>
            </w:tcBorders>
            <w:shd w:val="clear" w:color="auto" w:fill="CCEEFF"/>
          </w:tcPr>
          <w:p>
            <w:pPr>
              <w:spacing w:after="0"/>
              <w:rPr>
                <w:sz w:val="2"/>
                <w:szCs w:val="2"/>
                <w:color w:val="auto"/>
              </w:rPr>
            </w:pPr>
          </w:p>
        </w:tc>
        <w:tc>
          <w:tcPr>
            <w:tcW w:w="338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6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560" w:type="dxa"/>
            <w:vAlign w:val="bottom"/>
          </w:tcPr>
          <w:p>
            <w:pPr>
              <w:spacing w:after="0"/>
              <w:rPr>
                <w:sz w:val="16"/>
                <w:szCs w:val="16"/>
                <w:color w:val="auto"/>
              </w:rPr>
            </w:pPr>
          </w:p>
        </w:tc>
        <w:tc>
          <w:tcPr>
            <w:tcW w:w="1000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President and Chief Executive Officer of Tredegar Corporation, pursuant to 18 U.S.C. Section 1350, as adopted pursuant</w:t>
            </w:r>
          </w:p>
        </w:tc>
      </w:tr>
      <w:tr>
        <w:trPr>
          <w:trHeight w:val="155"/>
        </w:trPr>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40" w:type="dxa"/>
            <w:vAlign w:val="bottom"/>
            <w:tcBorders>
              <w:top w:val="single" w:sz="8" w:color="0000FF"/>
            </w:tcBorders>
            <w:gridSpan w:val="19"/>
          </w:tcPr>
          <w:p>
            <w:pPr>
              <w:spacing w:after="0" w:line="156" w:lineRule="exact"/>
              <w:rPr>
                <w:sz w:val="20"/>
                <w:szCs w:val="20"/>
                <w:color w:val="auto"/>
              </w:rPr>
            </w:pPr>
            <w:r>
              <w:rPr>
                <w:rFonts w:ascii="Times New Roman" w:cs="Times New Roman" w:eastAsia="Times New Roman" w:hAnsi="Times New Roman"/>
                <w:sz w:val="18"/>
                <w:szCs w:val="18"/>
                <w:color w:val="0000FF"/>
              </w:rPr>
              <w:t>to Section 906 of the Sarbanes-Oxley Act of 2002.</w:t>
            </w:r>
          </w:p>
        </w:tc>
        <w:tc>
          <w:tcPr>
            <w:tcW w:w="160" w:type="dxa"/>
            <w:vAlign w:val="bottom"/>
            <w:gridSpan w:val="3"/>
          </w:tcPr>
          <w:p>
            <w:pPr>
              <w:spacing w:after="0"/>
              <w:rPr>
                <w:sz w:val="13"/>
                <w:szCs w:val="13"/>
                <w:color w:val="auto"/>
              </w:rPr>
            </w:pPr>
          </w:p>
        </w:tc>
      </w:tr>
      <w:tr>
        <w:trPr>
          <w:trHeight w:val="34"/>
        </w:trPr>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6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560" w:type="dxa"/>
            <w:vAlign w:val="bottom"/>
            <w:shd w:val="clear" w:color="auto" w:fill="CCEEFF"/>
          </w:tcPr>
          <w:p>
            <w:pPr>
              <w:spacing w:after="0"/>
              <w:rPr>
                <w:sz w:val="16"/>
                <w:szCs w:val="16"/>
                <w:color w:val="auto"/>
              </w:rPr>
            </w:pPr>
          </w:p>
        </w:tc>
        <w:tc>
          <w:tcPr>
            <w:tcW w:w="1000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Executive Vice President and Chief Financial Officer of Tredegar Corporation, pursuant to 18 U.S.C. Section 1350, as</w:t>
            </w:r>
          </w:p>
        </w:tc>
      </w:tr>
      <w:tr>
        <w:trPr>
          <w:trHeight w:val="190"/>
        </w:trPr>
        <w:tc>
          <w:tcPr>
            <w:tcW w:w="6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9680" w:type="dxa"/>
            <w:vAlign w:val="bottom"/>
            <w:tcBorders>
              <w:top w:val="single" w:sz="8" w:color="0000FF"/>
            </w:tcBorders>
            <w:gridSpan w:val="1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 of 2002.</w:t>
            </w:r>
          </w:p>
        </w:tc>
        <w:tc>
          <w:tcPr>
            <w:tcW w:w="320" w:type="dxa"/>
            <w:vAlign w:val="bottom"/>
            <w:tcBorders>
              <w:top w:val="single" w:sz="8" w:color="CCEEFF"/>
            </w:tcBorders>
            <w:gridSpan w:val="10"/>
            <w:shd w:val="clear" w:color="auto" w:fill="CCEEFF"/>
          </w:tcPr>
          <w:p>
            <w:pPr>
              <w:spacing w:after="0"/>
              <w:rPr>
                <w:sz w:val="16"/>
                <w:szCs w:val="16"/>
                <w:color w:val="auto"/>
              </w:rPr>
            </w:pPr>
          </w:p>
        </w:tc>
      </w:tr>
      <w:tr>
        <w:trPr>
          <w:trHeight w:val="234"/>
        </w:trPr>
        <w:tc>
          <w:tcPr>
            <w:tcW w:w="6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560" w:type="dxa"/>
            <w:vAlign w:val="bottom"/>
            <w:tcBorders>
              <w:top w:val="single" w:sz="8" w:color="CCEEFF"/>
            </w:tcBorders>
          </w:tcPr>
          <w:p>
            <w:pPr>
              <w:spacing w:after="0"/>
              <w:rPr>
                <w:sz w:val="20"/>
                <w:szCs w:val="20"/>
                <w:color w:val="auto"/>
              </w:rPr>
            </w:pPr>
          </w:p>
        </w:tc>
        <w:tc>
          <w:tcPr>
            <w:tcW w:w="49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rPr>
              <w:t>XBRL Instance Document and Related Items.</w:t>
            </w:r>
          </w:p>
        </w:tc>
        <w:tc>
          <w:tcPr>
            <w:tcW w:w="5080" w:type="dxa"/>
            <w:vAlign w:val="bottom"/>
            <w:tcBorders>
              <w:top w:val="single" w:sz="8" w:color="CCEEFF"/>
            </w:tcBorders>
            <w:gridSpan w:val="17"/>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06285"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ind w:left="1200" w:hanging="1174"/>
        <w:spacing w:after="0"/>
        <w:tabs>
          <w:tab w:leader="none" w:pos="12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ind w:right="460"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Tredegar Corporation</w:t>
            </w:r>
          </w:p>
        </w:tc>
      </w:tr>
      <w:tr>
        <w:trPr>
          <w:trHeight w:val="234"/>
        </w:trPr>
        <w:tc>
          <w:tcPr>
            <w:tcW w:w="8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50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8, 2022</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 John M. Steitz</w:t>
            </w:r>
          </w:p>
        </w:tc>
      </w:tr>
      <w:tr>
        <w:trPr>
          <w:trHeight w:val="218"/>
        </w:trPr>
        <w:tc>
          <w:tcPr>
            <w:tcW w:w="800" w:type="dxa"/>
            <w:vAlign w:val="bottom"/>
          </w:tcPr>
          <w:p>
            <w:pPr>
              <w:spacing w:after="0"/>
              <w:rPr>
                <w:sz w:val="18"/>
                <w:szCs w:val="18"/>
                <w:color w:val="auto"/>
              </w:rPr>
            </w:pPr>
          </w:p>
        </w:tc>
        <w:tc>
          <w:tcPr>
            <w:tcW w:w="5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John M. Steitz</w:t>
            </w:r>
          </w:p>
        </w:tc>
      </w:tr>
      <w:tr>
        <w:trPr>
          <w:trHeight w:val="230"/>
        </w:trPr>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8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8, 2022</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 D. Andrew Edwards</w:t>
            </w:r>
          </w:p>
        </w:tc>
      </w:tr>
      <w:tr>
        <w:trPr>
          <w:trHeight w:val="218"/>
        </w:trPr>
        <w:tc>
          <w:tcPr>
            <w:tcW w:w="800" w:type="dxa"/>
            <w:vAlign w:val="bottom"/>
          </w:tcPr>
          <w:p>
            <w:pPr>
              <w:spacing w:after="0"/>
              <w:rPr>
                <w:sz w:val="18"/>
                <w:szCs w:val="18"/>
                <w:color w:val="auto"/>
              </w:rPr>
            </w:pPr>
          </w:p>
        </w:tc>
        <w:tc>
          <w:tcPr>
            <w:tcW w:w="5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 Andrew Edwards</w:t>
            </w:r>
          </w:p>
        </w:tc>
      </w:tr>
      <w:tr>
        <w:trPr>
          <w:trHeight w:val="229"/>
        </w:trPr>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8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9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8, 2022</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 Frasier W. Brickhouse, II</w:t>
            </w:r>
          </w:p>
        </w:tc>
      </w:tr>
      <w:tr>
        <w:trPr>
          <w:trHeight w:val="218"/>
        </w:trPr>
        <w:tc>
          <w:tcPr>
            <w:tcW w:w="800" w:type="dxa"/>
            <w:vAlign w:val="bottom"/>
          </w:tcPr>
          <w:p>
            <w:pPr>
              <w:spacing w:after="0"/>
              <w:rPr>
                <w:sz w:val="18"/>
                <w:szCs w:val="18"/>
                <w:color w:val="auto"/>
              </w:rPr>
            </w:pPr>
          </w:p>
        </w:tc>
        <w:tc>
          <w:tcPr>
            <w:tcW w:w="5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Frasier W. Brickhouse, II</w:t>
            </w:r>
          </w:p>
        </w:tc>
      </w:tr>
      <w:tr>
        <w:trPr>
          <w:trHeight w:val="229"/>
        </w:trPr>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Corporate Treasurer and Controller</w:t>
            </w:r>
          </w:p>
        </w:tc>
      </w:tr>
      <w:tr>
        <w:trPr>
          <w:trHeight w:val="234"/>
        </w:trPr>
        <w:tc>
          <w:tcPr>
            <w:tcW w:w="8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98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M. Steitz, certify that:</w:t>
      </w:r>
    </w:p>
    <w:p>
      <w:pPr>
        <w:spacing w:after="0" w:line="117" w:lineRule="exact"/>
        <w:rPr>
          <w:sz w:val="20"/>
          <w:szCs w:val="20"/>
          <w:color w:val="auto"/>
        </w:rPr>
      </w:pPr>
    </w:p>
    <w:p>
      <w:pPr>
        <w:ind w:left="640" w:hanging="632"/>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2022, of Tredegar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40" w:hanging="644"/>
        <w:spacing w:after="0" w:line="312" w:lineRule="auto"/>
        <w:tabs>
          <w:tab w:leader="none" w:pos="1297"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2022</w:t>
      </w:r>
    </w:p>
    <w:p>
      <w:pPr>
        <w:spacing w:after="0" w:line="5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John M. Steitz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17145</wp:posOffset>
            </wp:positionV>
            <wp:extent cx="25546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John M. Steitz</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 Andrew Edwards, certify that:</w:t>
      </w:r>
    </w:p>
    <w:p>
      <w:pPr>
        <w:spacing w:after="0" w:line="117" w:lineRule="exact"/>
        <w:rPr>
          <w:sz w:val="20"/>
          <w:szCs w:val="20"/>
          <w:color w:val="auto"/>
        </w:rPr>
      </w:pPr>
    </w:p>
    <w:p>
      <w:pPr>
        <w:ind w:left="640" w:hanging="63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2022, of Tredegar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40" w:hanging="644"/>
        <w:spacing w:after="0" w:line="312" w:lineRule="auto"/>
        <w:tabs>
          <w:tab w:leader="none" w:pos="1297"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2022</w:t>
      </w:r>
    </w:p>
    <w:p>
      <w:pPr>
        <w:spacing w:after="0" w:line="5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17145</wp:posOffset>
            </wp:positionV>
            <wp:extent cx="25546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D. Andrew Edwards</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Tredegar Corporation (the “Company”) for the quarter ended June 30, 2022 as filed with the Securities and Exchange Commission on the date hereof (the “Report”), I, John M. Steitz, President and Chief Executive Officer of the Company, certify, pursuant to 18 U.S.C. § 1350, as adopted pursuant to § 906 of the Sarbanes-Oxley Act of 2002, that:</w:t>
      </w:r>
    </w:p>
    <w:p>
      <w:pPr>
        <w:spacing w:after="0" w:line="54" w:lineRule="exact"/>
        <w:rPr>
          <w:sz w:val="20"/>
          <w:szCs w:val="20"/>
          <w:color w:val="auto"/>
        </w:rPr>
      </w:pPr>
    </w:p>
    <w:p>
      <w:pPr>
        <w:ind w:left="920" w:hanging="264"/>
        <w:spacing w:after="0"/>
        <w:tabs>
          <w:tab w:leader="none" w:pos="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31" w:lineRule="exact"/>
        <w:rPr>
          <w:rFonts w:ascii="Times New Roman" w:cs="Times New Roman" w:eastAsia="Times New Roman" w:hAnsi="Times New Roman"/>
          <w:sz w:val="18"/>
          <w:szCs w:val="18"/>
          <w:color w:val="auto"/>
        </w:rPr>
      </w:pPr>
    </w:p>
    <w:p>
      <w:pPr>
        <w:ind w:left="20" w:right="9960"/>
        <w:spacing w:after="0" w:line="29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 John M. Steitz John M. Steitz</w:t>
      </w:r>
    </w:p>
    <w:p>
      <w:pPr>
        <w:ind w:left="20" w:right="84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 and Chief Executive Officer (Principal Executive Officer)</w:t>
      </w: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August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-576580</wp:posOffset>
            </wp:positionV>
            <wp:extent cx="27514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Tredegar Corporation (the “Company”) for the quarter ended June 30, 2022 as filed with the Securities and Exchange Commission on the date hereof (the “Report”), I, D. Andrew Edwards, Executive Vice President and Chief Financial Officer of the Company, certify, pursuant to 18 U.S.C. § 1350, as adopted pursuant to § 906 of the Sarbanes-Oxley Act of 2002, that:</w:t>
      </w:r>
    </w:p>
    <w:p>
      <w:pPr>
        <w:spacing w:after="0" w:line="54" w:lineRule="exact"/>
        <w:rPr>
          <w:sz w:val="20"/>
          <w:szCs w:val="20"/>
          <w:color w:val="auto"/>
        </w:rPr>
      </w:pPr>
    </w:p>
    <w:p>
      <w:pPr>
        <w:ind w:left="920" w:hanging="264"/>
        <w:spacing w:after="0"/>
        <w:tabs>
          <w:tab w:leader="none" w:pos="9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31" w:lineRule="exact"/>
        <w:rPr>
          <w:rFonts w:ascii="Times New Roman" w:cs="Times New Roman" w:eastAsia="Times New Roman" w:hAnsi="Times New Roman"/>
          <w:sz w:val="18"/>
          <w:szCs w:val="18"/>
          <w:color w:val="auto"/>
        </w:rPr>
      </w:pPr>
    </w:p>
    <w:p>
      <w:pPr>
        <w:ind w:left="20" w:right="952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D. Andrew Edwards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27514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8, 2022</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x"/>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lowerLetter"/>
      <w:start w:val="1"/>
    </w:lvl>
  </w:abstractNum>
  <w:abstractNum w:abstractNumId="3">
    <w:nsid w:val="7C83E458"/>
    <w:multiLevelType w:val="hybridMultilevel"/>
    <w:lvl w:ilvl="0">
      <w:lvlJc w:val="left"/>
      <w:lvlText w:val="%1."/>
      <w:numFmt w:val="decimal"/>
      <w:start w:val="11"/>
    </w:lvl>
  </w:abstractNum>
  <w:abstractNum w:abstractNumId="4">
    <w:nsid w:val="257130A3"/>
    <w:multiLevelType w:val="hybridMultilevel"/>
    <w:lvl w:ilvl="0">
      <w:lvlJc w:val="left"/>
      <w:lvlText w:val="(%1)"/>
      <w:numFmt w:val="lowerLetter"/>
      <w:start w:val="1"/>
    </w:lvl>
  </w:abstractNum>
  <w:abstractNum w:abstractNumId="5">
    <w:nsid w:val="62BBD95A"/>
    <w:multiLevelType w:val="hybridMultilevel"/>
    <w:lvl w:ilvl="0">
      <w:lvlJc w:val="left"/>
      <w:lvlText w:val="(%1)"/>
      <w:numFmt w:val="lowerLetter"/>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lvl w:ilvl="1">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1"/>
      <w:numFmt w:val="decimal"/>
      <w:start w:val="104"/>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upp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82" Type="http://schemas.openxmlformats.org/officeDocument/2006/relationships/hyperlink" Target="https://www.sec.gov/Archives/edgar/data/850429/000119312522186190/d376114dex41.htm" TargetMode="External"/><Relationship Id="rId83" Type="http://schemas.openxmlformats.org/officeDocument/2006/relationships/hyperlink" Target="https://www.sec.gov/Archives/edgar/data/850429/000119312522186190/d376114dex42.htm" TargetMode="External"/><Relationship Id="rId84" Type="http://schemas.openxmlformats.org/officeDocument/2006/relationships/hyperlink" Target="https://www.sec.gov/Archives/edgar/data/850429/000119312522186190/d376114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2022-08-09T03:40:32Z</dcterms:created>
  <dcterms:modified xsi:type="dcterms:W3CDTF">2022-08-09T03:40:32Z</dcterms:modified>
</cp:coreProperties>
</file>