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James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28"/>
        <w:gridCol w:w="453"/>
        <w:gridCol w:w="615"/>
        <w:gridCol w:w="1160"/>
        <w:gridCol w:w="995"/>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847,469</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r>
              <w:rPr>
                <w:rFonts w:ascii="Times;serif" w:hAnsi="Times;serif"/>
                <w:color w:val="008000"/>
                <w:position w:val="7"/>
                <w:sz w:val="16"/>
                <w:sz w:val="20"/>
                <w:shd w:fill="FFFFFF" w:val="clear"/>
              </w:rPr>
              <w:t>(5)</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325,620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spouse.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me as co-trustee of the John D. Gottwald Family Trust.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$8.03.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 Attorney-in-Fact for James T.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37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3785</Characters>
  <CharactersWithSpaces>4392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