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55880</wp:posOffset>
            </wp:positionV>
            <wp:extent cx="23863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6330" cy="8255"/>
                    </a:xfrm>
                    <a:prstGeom prst="rect">
                      <a:avLst/>
                    </a:prstGeom>
                    <a:noFill/>
                  </pic:spPr>
                </pic:pic>
              </a:graphicData>
            </a:graphic>
          </wp:anchor>
        </w:drawing>
      </w:r>
    </w:p>
    <w:p>
      <w:pPr>
        <w:spacing w:after="0" w:line="1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85090</wp:posOffset>
            </wp:positionV>
            <wp:extent cx="2386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6330" cy="8255"/>
                    </a:xfrm>
                    <a:prstGeom prst="rect">
                      <a:avLst/>
                    </a:prstGeom>
                    <a:noFill/>
                  </pic:spPr>
                </pic:pic>
              </a:graphicData>
            </a:graphic>
          </wp:anchor>
        </w:drawing>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8" w:lineRule="exact"/>
        <w:rPr>
          <w:sz w:val="24"/>
          <w:szCs w:val="24"/>
          <w:color w:val="auto"/>
        </w:rPr>
      </w:pPr>
    </w:p>
    <w:p>
      <w:pPr>
        <w:ind w:left="680" w:right="100" w:hanging="459"/>
        <w:spacing w:after="0" w:line="253" w:lineRule="auto"/>
        <w:tabs>
          <w:tab w:leader="none" w:pos="680" w:val="left"/>
        </w:tabs>
        <w:numPr>
          <w:ilvl w:val="0"/>
          <w:numId w:val="1"/>
        </w:numPr>
        <w:rPr>
          <w:rFonts w:ascii="Wingdings" w:cs="Wingdings" w:eastAsia="Wingdings" w:hAnsi="Wingdings"/>
          <w:sz w:val="21"/>
          <w:szCs w:val="21"/>
          <w:b w:val="1"/>
          <w:bCs w:val="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1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8" w:lineRule="exact"/>
        <w:rPr>
          <w:sz w:val="24"/>
          <w:szCs w:val="24"/>
          <w:color w:val="auto"/>
        </w:rPr>
      </w:pPr>
    </w:p>
    <w:p>
      <w:pPr>
        <w:ind w:left="680" w:right="100" w:hanging="439"/>
        <w:spacing w:after="0" w:line="253" w:lineRule="auto"/>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158" w:lineRule="exact"/>
        <w:rPr>
          <w:sz w:val="24"/>
          <w:szCs w:val="24"/>
          <w:color w:val="auto"/>
        </w:rPr>
      </w:pPr>
    </w:p>
    <w:tbl>
      <w:tblPr>
        <w:tblLayout w:type="fixed"/>
        <w:tblInd w:w="3440" w:type="dxa"/>
        <w:tblCellMar>
          <w:top w:w="0" w:type="dxa"/>
          <w:left w:w="0" w:type="dxa"/>
          <w:bottom w:w="0" w:type="dxa"/>
          <w:right w:w="0" w:type="dxa"/>
        </w:tblCellMar>
      </w:tblPr>
      <w:tr>
        <w:trPr>
          <w:trHeight w:val="207"/>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For the transition period from</w:t>
            </w: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5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r>
      <w:tr>
        <w:trPr>
          <w:trHeight w:val="301"/>
        </w:trPr>
        <w:tc>
          <w:tcPr>
            <w:tcW w:w="320" w:type="dxa"/>
            <w:vAlign w:val="bottom"/>
          </w:tcPr>
          <w:p>
            <w:pPr>
              <w:spacing w:after="0"/>
              <w:rPr>
                <w:sz w:val="24"/>
                <w:szCs w:val="24"/>
                <w:color w:val="auto"/>
              </w:rPr>
            </w:pPr>
          </w:p>
        </w:tc>
        <w:tc>
          <w:tcPr>
            <w:tcW w:w="374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Commission file number 1-10258</w:t>
            </w:r>
          </w:p>
        </w:tc>
        <w:tc>
          <w:tcPr>
            <w:tcW w:w="300" w:type="dxa"/>
            <w:vAlign w:val="bottom"/>
          </w:tcPr>
          <w:p>
            <w:pPr>
              <w:spacing w:after="0"/>
              <w:rPr>
                <w:sz w:val="24"/>
                <w:szCs w:val="24"/>
                <w:color w:val="auto"/>
              </w:rPr>
            </w:pPr>
          </w:p>
        </w:tc>
      </w:tr>
      <w:tr>
        <w:trPr>
          <w:trHeight w:val="100"/>
        </w:trPr>
        <w:tc>
          <w:tcPr>
            <w:tcW w:w="320" w:type="dxa"/>
            <w:vAlign w:val="bottom"/>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r>
    </w:tbl>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Tredegar Corporation</w:t>
      </w:r>
    </w:p>
    <w:p>
      <w:pPr>
        <w:spacing w:after="0" w:line="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54610</wp:posOffset>
            </wp:positionV>
            <wp:extent cx="2386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6330" cy="8255"/>
                    </a:xfrm>
                    <a:prstGeom prst="rect">
                      <a:avLst/>
                    </a:prstGeom>
                    <a:noFill/>
                  </pic:spPr>
                </pic:pic>
              </a:graphicData>
            </a:graphic>
          </wp:anchor>
        </w:drawing>
      </w:r>
    </w:p>
    <w:p>
      <w:pPr>
        <w:sectPr>
          <w:pgSz w:w="11900" w:h="16838" w:orient="portrait"/>
          <w:cols w:equalWidth="0" w:num="1">
            <w:col w:w="11180"/>
          </w:cols>
          <w:pgMar w:left="320" w:top="761" w:right="399" w:bottom="1440" w:gutter="0" w:footer="0" w:header="0"/>
        </w:sectPr>
      </w:pPr>
    </w:p>
    <w:p>
      <w:pPr>
        <w:spacing w:after="0" w:line="200" w:lineRule="exact"/>
        <w:rPr>
          <w:sz w:val="24"/>
          <w:szCs w:val="24"/>
          <w:color w:val="auto"/>
        </w:rPr>
      </w:pPr>
    </w:p>
    <w:p>
      <w:pPr>
        <w:spacing w:after="0" w:line="211"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Virginia</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54-1497771</w:t>
      </w:r>
    </w:p>
    <w:p>
      <w:pPr>
        <w:spacing w:after="0" w:line="34" w:lineRule="exact"/>
        <w:rPr>
          <w:sz w:val="24"/>
          <w:szCs w:val="24"/>
          <w:color w:val="auto"/>
        </w:rPr>
      </w:pPr>
    </w:p>
    <w:p>
      <w:pPr>
        <w:sectPr>
          <w:pgSz w:w="11900" w:h="16838" w:orient="portrait"/>
          <w:cols w:equalWidth="0" w:num="2">
            <w:col w:w="7360" w:space="720"/>
            <w:col w:w="3100"/>
          </w:cols>
          <w:pgMar w:left="320" w:top="761" w:right="39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1" w:lineRule="exact"/>
        <w:rPr>
          <w:sz w:val="24"/>
          <w:szCs w:val="24"/>
          <w:color w:val="auto"/>
        </w:rPr>
      </w:pPr>
    </w:p>
    <w:p>
      <w:pPr>
        <w:sectPr>
          <w:pgSz w:w="11900" w:h="16838" w:orient="portrait"/>
          <w:cols w:equalWidth="0" w:num="2">
            <w:col w:w="7220" w:space="720"/>
            <w:col w:w="3240"/>
          </w:cols>
          <w:pgMar w:left="320" w:top="761" w:right="399" w:bottom="1440" w:gutter="0" w:footer="0" w:header="0"/>
          <w:type w:val="continuous"/>
        </w:sectPr>
      </w:pPr>
    </w:p>
    <w:p>
      <w:pPr>
        <w:ind w:left="2520"/>
        <w:spacing w:after="0"/>
        <w:rPr>
          <w:sz w:val="20"/>
          <w:szCs w:val="20"/>
          <w:color w:val="auto"/>
        </w:rPr>
      </w:pPr>
      <w:r>
        <w:rPr>
          <w:rFonts w:ascii="Times New Roman" w:cs="Times New Roman" w:eastAsia="Times New Roman" w:hAnsi="Times New Roman"/>
          <w:sz w:val="17"/>
          <w:szCs w:val="17"/>
          <w:b w:val="1"/>
          <w:bCs w:val="1"/>
          <w:color w:val="auto"/>
        </w:rPr>
        <w:t>1100 Boulders Parkway</w:t>
      </w:r>
    </w:p>
    <w:p>
      <w:pPr>
        <w:spacing w:after="0" w:line="41"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Richmond, Virginia</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23225</w:t>
      </w:r>
    </w:p>
    <w:p>
      <w:pPr>
        <w:spacing w:after="0" w:line="29" w:lineRule="exact"/>
        <w:rPr>
          <w:sz w:val="24"/>
          <w:szCs w:val="24"/>
          <w:color w:val="auto"/>
        </w:rPr>
      </w:pPr>
    </w:p>
    <w:p>
      <w:pPr>
        <w:sectPr>
          <w:pgSz w:w="11900" w:h="16838" w:orient="portrait"/>
          <w:cols w:equalWidth="0" w:num="2">
            <w:col w:w="8220" w:space="720"/>
            <w:col w:w="2240"/>
          </w:cols>
          <w:pgMar w:left="320" w:top="761" w:right="399" w:bottom="1440" w:gutter="0" w:footer="0" w:header="0"/>
          <w:type w:val="continuous"/>
        </w:sectPr>
      </w:pPr>
    </w:p>
    <w:p>
      <w:pPr>
        <w:ind w:left="22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8120" w:space="720"/>
            <w:col w:w="2340"/>
          </w:cols>
          <w:pgMar w:left="320" w:top="761" w:right="399" w:bottom="1440" w:gutter="0" w:footer="0" w:header="0"/>
          <w:type w:val="continuous"/>
        </w:sectPr>
      </w:pPr>
    </w:p>
    <w:p>
      <w:pPr>
        <w:spacing w:after="0" w:line="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(804) 330-1000</w:t>
      </w:r>
    </w:p>
    <w:p>
      <w:pPr>
        <w:spacing w:after="0" w:line="1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136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8"/>
              </w:rPr>
              <w:t>Trading</w:t>
            </w:r>
          </w:p>
        </w:tc>
        <w:tc>
          <w:tcPr>
            <w:tcW w:w="3360" w:type="dxa"/>
            <w:vAlign w:val="bottom"/>
          </w:tcPr>
          <w:p>
            <w:pPr>
              <w:spacing w:after="0"/>
              <w:rPr>
                <w:sz w:val="18"/>
                <w:szCs w:val="18"/>
                <w:color w:val="auto"/>
              </w:rPr>
            </w:pPr>
          </w:p>
        </w:tc>
      </w:tr>
      <w:tr>
        <w:trPr>
          <w:trHeight w:val="241"/>
        </w:trPr>
        <w:tc>
          <w:tcPr>
            <w:tcW w:w="308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36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8"/>
                <w:szCs w:val="18"/>
                <w:color w:val="auto"/>
                <w:w w:val="98"/>
              </w:rPr>
              <w:t>Symbol(s)</w:t>
            </w:r>
          </w:p>
        </w:tc>
        <w:tc>
          <w:tcPr>
            <w:tcW w:w="336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1"/>
        </w:trPr>
        <w:tc>
          <w:tcPr>
            <w:tcW w:w="308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360" w:type="dxa"/>
            <w:vAlign w:val="bottom"/>
            <w:tcBorders>
              <w:bottom w:val="single" w:sz="8" w:color="auto"/>
            </w:tcBorders>
          </w:tcPr>
          <w:p>
            <w:pPr>
              <w:jc w:val="center"/>
              <w:ind w:left="191"/>
              <w:spacing w:after="0"/>
              <w:rPr>
                <w:sz w:val="20"/>
                <w:szCs w:val="20"/>
                <w:color w:val="auto"/>
              </w:rPr>
            </w:pPr>
            <w:r>
              <w:rPr>
                <w:rFonts w:ascii="Times New Roman" w:cs="Times New Roman" w:eastAsia="Times New Roman" w:hAnsi="Times New Roman"/>
                <w:sz w:val="18"/>
                <w:szCs w:val="18"/>
                <w:color w:val="auto"/>
                <w:w w:val="99"/>
              </w:rPr>
              <w:t>TG</w:t>
            </w:r>
          </w:p>
        </w:tc>
        <w:tc>
          <w:tcPr>
            <w:tcW w:w="336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w w:val="97"/>
              </w:rPr>
              <w:t>New York Stock Exchange</w:t>
            </w:r>
          </w:p>
        </w:tc>
      </w:tr>
    </w:tbl>
    <w:p>
      <w:pPr>
        <w:spacing w:after="0" w:line="387" w:lineRule="exact"/>
        <w:rPr>
          <w:sz w:val="24"/>
          <w:szCs w:val="24"/>
          <w:color w:val="auto"/>
        </w:rPr>
      </w:pPr>
    </w:p>
    <w:p>
      <w:pPr>
        <w:ind w:right="320" w:firstLine="401"/>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firstLine="441"/>
        <w:spacing w:after="0" w:line="21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jc w:val="both"/>
        <w:ind w:right="340" w:firstLine="441"/>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761" w:right="399" w:bottom="1440" w:gutter="0" w:footer="0" w:header="0"/>
          <w:type w:val="continuous"/>
        </w:sectPr>
      </w:pP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13" w:lineRule="exact"/>
        <w:rPr>
          <w:sz w:val="24"/>
          <w:szCs w:val="24"/>
          <w:color w:val="auto"/>
        </w:rPr>
      </w:pPr>
    </w:p>
    <w:p>
      <w:pPr>
        <w:sectPr>
          <w:pgSz w:w="11900" w:h="16838" w:orient="portrait"/>
          <w:cols w:equalWidth="0" w:num="6">
            <w:col w:w="1560" w:space="720"/>
            <w:col w:w="2200" w:space="720"/>
            <w:col w:w="1400" w:space="720"/>
            <w:col w:w="180" w:space="120"/>
            <w:col w:w="2020" w:space="720"/>
            <w:col w:w="820"/>
          </w:cols>
          <w:pgMar w:left="320" w:top="761" w:right="399" w:bottom="1440" w:gutter="0" w:footer="0" w:header="0"/>
          <w:type w:val="continuous"/>
        </w:sectPr>
      </w:pPr>
    </w:p>
    <w:p>
      <w:pPr>
        <w:spacing w:after="0" w:line="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40" w:lineRule="exact"/>
        <w:rPr>
          <w:sz w:val="24"/>
          <w:szCs w:val="24"/>
          <w:color w:val="auto"/>
        </w:rPr>
      </w:pPr>
    </w:p>
    <w:p>
      <w:pPr>
        <w:sectPr>
          <w:pgSz w:w="11900" w:h="16838" w:orient="portrait"/>
          <w:cols w:equalWidth="0" w:num="4">
            <w:col w:w="1560" w:space="720"/>
            <w:col w:w="4620" w:space="720"/>
            <w:col w:w="2020" w:space="720"/>
            <w:col w:w="820"/>
          </w:cols>
          <w:pgMar w:left="320" w:top="761" w:right="399" w:bottom="1440" w:gutter="0" w:footer="0" w:header="0"/>
          <w:type w:val="continuous"/>
        </w:sectPr>
      </w:pPr>
    </w:p>
    <w:p>
      <w:pPr>
        <w:ind w:right="220" w:firstLine="401"/>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7" w:lineRule="exact"/>
        <w:rPr>
          <w:sz w:val="24"/>
          <w:szCs w:val="24"/>
          <w:color w:val="auto"/>
        </w:rPr>
      </w:pPr>
    </w:p>
    <w:p>
      <w:pPr>
        <w:ind w:left="440" w:right="2220"/>
        <w:spacing w:after="0" w:line="2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The number of shares of Common Stock, no par value, outstanding as of May 3, 2024: 34,484,893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433070</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761" w:right="3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Tredegar Corporation</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9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5"/>
        </w:trPr>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460" w:type="dxa"/>
            <w:vAlign w:val="bottom"/>
            <w:gridSpan w:val="3"/>
          </w:tcPr>
          <w:p>
            <w:pPr>
              <w:spacing w:after="0"/>
              <w:rPr>
                <w:sz w:val="24"/>
                <w:szCs w:val="24"/>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Income (Loss) (unaudited)</w:t>
            </w:r>
          </w:p>
        </w:tc>
        <w:tc>
          <w:tcPr>
            <w:tcW w:w="4580" w:type="dxa"/>
            <w:vAlign w:val="bottom"/>
            <w:gridSpan w:val="5"/>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Comprehensive Income (Loss) (unaudited)</w:t>
            </w:r>
          </w:p>
        </w:tc>
        <w:tc>
          <w:tcPr>
            <w:tcW w:w="342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 (unaudited)</w:t>
            </w:r>
          </w:p>
        </w:tc>
        <w:tc>
          <w:tcPr>
            <w:tcW w:w="4780" w:type="dxa"/>
            <w:vAlign w:val="bottom"/>
            <w:gridSpan w:val="6"/>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(unaudited)</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Notes to the Condensed Consolidated Financial Statements (unaudited)</w:t>
            </w:r>
          </w:p>
        </w:tc>
        <w:tc>
          <w:tcPr>
            <w:tcW w:w="100" w:type="dxa"/>
            <w:vAlign w:val="bottom"/>
            <w:tcBorders>
              <w:top w:val="single" w:sz="8" w:color="0000FF"/>
            </w:tcBorders>
          </w:tcPr>
          <w:p>
            <w:pPr>
              <w:spacing w:after="0"/>
              <w:rPr>
                <w:sz w:val="18"/>
                <w:szCs w:val="18"/>
                <w:color w:val="auto"/>
              </w:rPr>
            </w:pPr>
          </w:p>
        </w:tc>
        <w:tc>
          <w:tcPr>
            <w:tcW w:w="4140" w:type="dxa"/>
            <w:vAlign w:val="bottom"/>
            <w:gridSpan w:val="3"/>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r>
              <w:rPr>
                <w:rFonts w:ascii="Times New Roman" w:cs="Times New Roman" w:eastAsia="Times New Roman" w:hAnsi="Times New Roman"/>
                <w:sz w:val="18"/>
                <w:szCs w:val="18"/>
                <w:color w:val="000000"/>
              </w:rPr>
              <w:t>.</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5"/>
        </w:trPr>
        <w:tc>
          <w:tcPr>
            <w:tcW w:w="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2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420" w:type="dxa"/>
            <w:vAlign w:val="bottom"/>
            <w:gridSpan w:val="14"/>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280" w:type="dxa"/>
            <w:vAlign w:val="bottom"/>
          </w:tcPr>
          <w:p>
            <w:pPr>
              <w:spacing w:after="0"/>
              <w:rPr>
                <w:sz w:val="18"/>
                <w:szCs w:val="18"/>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40" w:type="dxa"/>
            <w:vAlign w:val="bottom"/>
            <w:gridSpan w:val="6"/>
            <w:shd w:val="clear" w:color="auto" w:fill="0000FF"/>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20" w:type="dxa"/>
            <w:vAlign w:val="bottom"/>
            <w:gridSpan w:val="1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r>
      <w:tr>
        <w:trPr>
          <w:trHeight w:val="990"/>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249"/>
        </w:trPr>
        <w:tc>
          <w:tcPr>
            <w:tcW w:w="84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7"/>
              </w:rPr>
              <w:t>December 31,</w:t>
            </w:r>
          </w:p>
        </w:tc>
      </w:tr>
      <w:tr>
        <w:trPr>
          <w:trHeight w:val="232"/>
        </w:trPr>
        <w:tc>
          <w:tcPr>
            <w:tcW w:w="8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w:t>
            </w:r>
          </w:p>
        </w:tc>
      </w:tr>
      <w:tr>
        <w:trPr>
          <w:trHeight w:val="227"/>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1,299</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r>
      <w:tr>
        <w:trPr>
          <w:trHeight w:val="227"/>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73,032</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67,938</w:t>
            </w:r>
          </w:p>
        </w:tc>
      </w:tr>
      <w:tr>
        <w:trPr>
          <w:trHeight w:val="227"/>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recoverable</w:t>
            </w:r>
          </w:p>
        </w:tc>
        <w:tc>
          <w:tcPr>
            <w:tcW w:w="2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793</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27"/>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86,822</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82,037</w:t>
            </w:r>
          </w:p>
        </w:tc>
      </w:tr>
      <w:tr>
        <w:trPr>
          <w:trHeight w:val="227"/>
        </w:trPr>
        <w:tc>
          <w:tcPr>
            <w:tcW w:w="84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9,438</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w:t>
            </w:r>
          </w:p>
        </w:tc>
      </w:tr>
      <w:tr>
        <w:trPr>
          <w:trHeight w:val="221"/>
        </w:trPr>
        <w:tc>
          <w:tcPr>
            <w:tcW w:w="8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174,877</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176,677</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2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540,856</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541,046</w:t>
            </w:r>
          </w:p>
        </w:tc>
      </w:tr>
      <w:tr>
        <w:trPr>
          <w:trHeight w:val="227"/>
        </w:trPr>
        <w:tc>
          <w:tcPr>
            <w:tcW w:w="8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(362,884)</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(357,591)</w:t>
            </w:r>
          </w:p>
        </w:tc>
      </w:tr>
      <w:tr>
        <w:trPr>
          <w:trHeight w:val="221"/>
        </w:trPr>
        <w:tc>
          <w:tcPr>
            <w:tcW w:w="8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177,972</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183,455</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leased 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16,761</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net</w:t>
            </w:r>
          </w:p>
        </w:tc>
        <w:tc>
          <w:tcPr>
            <w:tcW w:w="2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9,364</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9,851</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35,717</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35,717</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24,320</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25,034</w:t>
            </w:r>
          </w:p>
        </w:tc>
      </w:tr>
      <w:tr>
        <w:trPr>
          <w:trHeight w:val="227"/>
        </w:trPr>
        <w:tc>
          <w:tcPr>
            <w:tcW w:w="8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3,520</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r>
      <w:tr>
        <w:trPr>
          <w:trHeight w:val="227"/>
        </w:trPr>
        <w:tc>
          <w:tcPr>
            <w:tcW w:w="84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442,531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446,461</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84,925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95,023</w:t>
            </w:r>
          </w:p>
        </w:tc>
      </w:tr>
      <w:tr>
        <w:trPr>
          <w:trHeight w:val="227"/>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23,083</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24,442</w:t>
            </w:r>
          </w:p>
        </w:tc>
      </w:tr>
      <w:tr>
        <w:trPr>
          <w:trHeight w:val="227"/>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 short-term</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2,871</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r>
      <w:tr>
        <w:trPr>
          <w:trHeight w:val="227"/>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ABL revolving facility (matures June 30, 2026)</w:t>
            </w:r>
          </w:p>
        </w:tc>
        <w:tc>
          <w:tcPr>
            <w:tcW w:w="2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128,330</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126,322</w:t>
            </w:r>
          </w:p>
        </w:tc>
      </w:tr>
      <w:tr>
        <w:trPr>
          <w:trHeight w:val="227"/>
        </w:trPr>
        <w:tc>
          <w:tcPr>
            <w:tcW w:w="84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21"/>
        </w:trPr>
        <w:tc>
          <w:tcPr>
            <w:tcW w:w="8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239,434</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249,104</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long-term</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15,318</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obligations, net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6,582</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w:t>
            </w:r>
          </w:p>
        </w:tc>
      </w:tr>
      <w:tr>
        <w:trPr>
          <w:trHeight w:val="227"/>
        </w:trPr>
        <w:tc>
          <w:tcPr>
            <w:tcW w:w="8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4,382</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w:t>
            </w:r>
          </w:p>
        </w:tc>
      </w:tr>
      <w:tr>
        <w:trPr>
          <w:trHeight w:val="221"/>
        </w:trPr>
        <w:tc>
          <w:tcPr>
            <w:tcW w:w="8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285,716</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290,808</w:t>
            </w: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74"/>
        </w:trPr>
        <w:tc>
          <w:tcPr>
            <w:tcW w:w="84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w w:val="99"/>
              </w:rPr>
              <w:t>Common stock, no par value (authorized shares 150,000,000, issued and outstanding 34,533,870 shares at March 31,</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and 34,408,638 shares at December 31, 2023)</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61,959</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61,606</w:t>
            </w:r>
          </w:p>
        </w:tc>
      </w:tr>
      <w:tr>
        <w:trPr>
          <w:trHeight w:val="174"/>
        </w:trPr>
        <w:tc>
          <w:tcPr>
            <w:tcW w:w="84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Common stock held in trust for savings restoration plan (118,543 shares at March 31, 2024 and 118,543 shares at</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1"/>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r>
      <w:tr>
        <w:trPr>
          <w:trHeight w:val="227"/>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8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(84,985)</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(83,037)</w:t>
            </w:r>
          </w:p>
        </w:tc>
      </w:tr>
      <w:tr>
        <w:trPr>
          <w:trHeight w:val="227"/>
        </w:trPr>
        <w:tc>
          <w:tcPr>
            <w:tcW w:w="8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Gain (loss) on derivative financial instruments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27"/>
        </w:trPr>
        <w:tc>
          <w:tcPr>
            <w:tcW w:w="8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Pension and other postretirement benefit adjustments</w:t>
            </w:r>
          </w:p>
        </w:tc>
        <w:tc>
          <w:tcPr>
            <w:tcW w:w="24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512</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27"/>
        </w:trPr>
        <w:tc>
          <w:tcPr>
            <w:tcW w:w="84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181,265</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177,977</w:t>
            </w:r>
          </w:p>
        </w:tc>
      </w:tr>
      <w:tr>
        <w:trPr>
          <w:trHeight w:val="221"/>
        </w:trPr>
        <w:tc>
          <w:tcPr>
            <w:tcW w:w="84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156,815</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155,653</w:t>
            </w:r>
          </w:p>
        </w:tc>
      </w:tr>
      <w:tr>
        <w:trPr>
          <w:trHeight w:val="227"/>
        </w:trPr>
        <w:tc>
          <w:tcPr>
            <w:tcW w:w="84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442,531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446,461</w:t>
            </w: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71120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60"/>
          </w:cols>
          <w:pgMar w:left="400" w:top="599"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5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820" w:type="dxa"/>
            <w:vAlign w:val="bottom"/>
            <w:tcBorders>
              <w:top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2"/>
        </w:trPr>
        <w:tc>
          <w:tcPr>
            <w:tcW w:w="7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other items:</w:t>
            </w: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w:t>
            </w: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175,736</w:t>
            </w:r>
          </w:p>
        </w:tc>
        <w:tc>
          <w:tcPr>
            <w:tcW w:w="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191,122</w:t>
            </w:r>
          </w:p>
        </w:tc>
      </w:tr>
      <w:tr>
        <w:trPr>
          <w:trHeight w:val="227"/>
        </w:trPr>
        <w:tc>
          <w:tcPr>
            <w:tcW w:w="75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1"/>
        </w:trPr>
        <w:tc>
          <w:tcPr>
            <w:tcW w:w="7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175,744</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191,402</w:t>
            </w:r>
          </w:p>
        </w:tc>
      </w:tr>
      <w:tr>
        <w:trPr>
          <w:trHeight w:val="227"/>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142,043</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159,525</w:t>
            </w:r>
          </w:p>
        </w:tc>
      </w:tr>
      <w:tr>
        <w:trPr>
          <w:trHeight w:val="227"/>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Freight</w:t>
            </w:r>
          </w:p>
        </w:tc>
        <w:tc>
          <w:tcPr>
            <w:tcW w:w="9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w:t>
            </w:r>
          </w:p>
        </w:tc>
      </w:tr>
      <w:tr>
        <w:trPr>
          <w:trHeight w:val="227"/>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18,258</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w:t>
            </w:r>
          </w:p>
        </w:tc>
      </w:tr>
      <w:tr>
        <w:trPr>
          <w:trHeight w:val="227"/>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27"/>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7"/>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9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r>
      <w:tr>
        <w:trPr>
          <w:trHeight w:val="227"/>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r>
      <w:tr>
        <w:trPr>
          <w:trHeight w:val="227"/>
        </w:trPr>
        <w:tc>
          <w:tcPr>
            <w:tcW w:w="75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Asset impairments and costs associated with exit and disposal activities, net of adjustments</w:t>
            </w:r>
          </w:p>
        </w:tc>
        <w:tc>
          <w:tcPr>
            <w:tcW w:w="9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1"/>
        </w:trPr>
        <w:tc>
          <w:tcPr>
            <w:tcW w:w="75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171,799</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192,080</w:t>
            </w:r>
          </w:p>
        </w:tc>
      </w:tr>
      <w:tr>
        <w:trPr>
          <w:trHeight w:val="221"/>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27"/>
        </w:trPr>
        <w:tc>
          <w:tcPr>
            <w:tcW w:w="7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7"/>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54"/>
        </w:trPr>
        <w:tc>
          <w:tcPr>
            <w:tcW w:w="75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27"/>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7"/>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54"/>
        </w:trPr>
        <w:tc>
          <w:tcPr>
            <w:tcW w:w="75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27"/>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Shares used to compute earnings (loss) per share:</w:t>
            </w: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34,323</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33,895</w:t>
            </w:r>
          </w:p>
        </w:tc>
      </w:tr>
      <w:tr>
        <w:trPr>
          <w:trHeight w:val="233"/>
        </w:trPr>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34,323</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33,895</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2"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8"/>
          <w:szCs w:val="18"/>
          <w:color w:val="auto"/>
        </w:rPr>
        <w:t>Three Months Ended March</w:t>
      </w:r>
    </w:p>
    <w:p>
      <w:pPr>
        <w:jc w:val="center"/>
        <w:ind w:left="9000"/>
        <w:spacing w:after="0"/>
        <w:rPr>
          <w:sz w:val="20"/>
          <w:szCs w:val="20"/>
          <w:color w:val="auto"/>
        </w:rPr>
      </w:pPr>
      <w:r>
        <w:rPr>
          <w:rFonts w:ascii="Times New Roman" w:cs="Times New Roman" w:eastAsia="Times New Roman" w:hAnsi="Times New Roman"/>
          <w:sz w:val="18"/>
          <w:szCs w:val="18"/>
          <w:color w:val="auto"/>
        </w:rPr>
        <w:t>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3,288</w:t>
            </w:r>
          </w:p>
        </w:tc>
        <w:tc>
          <w:tcPr>
            <w:tcW w:w="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8"/>
              </w:rPr>
              <w:t>(1,009)</w:t>
            </w:r>
          </w:p>
        </w:tc>
      </w:tr>
      <w:tr>
        <w:trPr>
          <w:trHeight w:val="227"/>
        </w:trPr>
        <w:tc>
          <w:tcPr>
            <w:tcW w:w="8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74"/>
        </w:trPr>
        <w:tc>
          <w:tcPr>
            <w:tcW w:w="89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Unrealized foreign currency translation adjustment (net of tax expense of $221 in 2024 and net of tax expense of $436 in</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1"/>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8"/>
              </w:rPr>
              <w:t>1,120</w:t>
            </w:r>
          </w:p>
        </w:tc>
      </w:tr>
      <w:tr>
        <w:trPr>
          <w:trHeight w:val="227"/>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 (net of tax benefit of $140 in 2024 and net of tax expense of $836 in 2023)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80" w:type="dxa"/>
            <w:vAlign w:val="bottom"/>
          </w:tcPr>
          <w:p>
            <w:pPr>
              <w:spacing w:after="0"/>
              <w:rPr>
                <w:sz w:val="19"/>
                <w:szCs w:val="19"/>
                <w:color w:val="auto"/>
              </w:rPr>
            </w:pPr>
          </w:p>
        </w:tc>
        <w:tc>
          <w:tcPr>
            <w:tcW w:w="8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8"/>
              </w:rPr>
              <w:t>1,269</w:t>
            </w:r>
          </w:p>
        </w:tc>
      </w:tr>
      <w:tr>
        <w:trPr>
          <w:trHeight w:val="174"/>
        </w:trPr>
        <w:tc>
          <w:tcPr>
            <w:tcW w:w="89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w w:val="99"/>
              </w:rPr>
              <w:t>Amortization of prior service costs and net gains or losses (net of tax benefit of $8 in 2024 and net of tax expense of $637 in</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1"/>
        </w:trPr>
        <w:tc>
          <w:tcPr>
            <w:tcW w:w="8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8"/>
              </w:rPr>
              <w:t>2,287</w:t>
            </w:r>
          </w:p>
        </w:tc>
      </w:tr>
      <w:tr>
        <w:trPr>
          <w:trHeight w:val="221"/>
        </w:trPr>
        <w:tc>
          <w:tcPr>
            <w:tcW w:w="89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8"/>
                <w:szCs w:val="18"/>
                <w:color w:val="auto"/>
                <w:w w:val="98"/>
              </w:rPr>
              <w:t>4,676</w:t>
            </w:r>
          </w:p>
        </w:tc>
      </w:tr>
      <w:tr>
        <w:trPr>
          <w:trHeight w:val="227"/>
        </w:trPr>
        <w:tc>
          <w:tcPr>
            <w:tcW w:w="8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809</w:t>
            </w:r>
          </w:p>
        </w:tc>
        <w:tc>
          <w:tcPr>
            <w:tcW w:w="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8"/>
              </w:rPr>
              <w:t>3,667</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0827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2790" cy="17145"/>
                    </a:xfrm>
                    <a:prstGeom prst="rect">
                      <a:avLst/>
                    </a:prstGeom>
                    <a:noFill/>
                  </pic:spPr>
                </pic:pic>
              </a:graphicData>
            </a:graphic>
          </wp:anchor>
        </w:drawing>
      </w:r>
    </w:p>
    <w:p>
      <w:pPr>
        <w:spacing w:after="0" w:line="22"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9240"/>
        <w:spacing w:after="0"/>
        <w:rPr>
          <w:sz w:val="20"/>
          <w:szCs w:val="20"/>
          <w:color w:val="auto"/>
        </w:rPr>
      </w:pPr>
      <w:r>
        <w:rPr>
          <w:rFonts w:ascii="Times New Roman" w:cs="Times New Roman" w:eastAsia="Times New Roman" w:hAnsi="Times New Roman"/>
          <w:sz w:val="18"/>
          <w:szCs w:val="18"/>
          <w:color w:val="auto"/>
        </w:rPr>
        <w:t>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7"/>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3,288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7"/>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for noncash items:</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7"/>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w:t>
            </w:r>
          </w:p>
        </w:tc>
        <w:tc>
          <w:tcPr>
            <w:tcW w:w="22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6,252</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r>
      <w:tr>
        <w:trPr>
          <w:trHeight w:val="227"/>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7"/>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Reduction of right-of-use lease asset</w:t>
            </w:r>
          </w:p>
        </w:tc>
        <w:tc>
          <w:tcPr>
            <w:tcW w:w="22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610</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7"/>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7"/>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pension and post-retirement benefits</w:t>
            </w:r>
          </w:p>
        </w:tc>
        <w:tc>
          <w:tcPr>
            <w:tcW w:w="22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r>
      <w:tr>
        <w:trPr>
          <w:trHeight w:val="227"/>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7"/>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Gain on investment in kaléo</w:t>
            </w:r>
          </w:p>
        </w:tc>
        <w:tc>
          <w:tcPr>
            <w:tcW w:w="22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7"/>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7"/>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2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r>
      <w:tr>
        <w:trPr>
          <w:trHeight w:val="227"/>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14,840</w:t>
            </w:r>
          </w:p>
        </w:tc>
      </w:tr>
      <w:tr>
        <w:trPr>
          <w:trHeight w:val="227"/>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taxes recoverable/payable</w:t>
            </w:r>
          </w:p>
        </w:tc>
        <w:tc>
          <w:tcPr>
            <w:tcW w:w="2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27"/>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1,890</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r>
      <w:tr>
        <w:trPr>
          <w:trHeight w:val="227"/>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(28,977)</w:t>
            </w:r>
          </w:p>
        </w:tc>
      </w:tr>
      <w:tr>
        <w:trPr>
          <w:trHeight w:val="227"/>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Lease liability</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27"/>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 plan contributions</w:t>
            </w:r>
          </w:p>
        </w:tc>
        <w:tc>
          <w:tcPr>
            <w:tcW w:w="2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7"/>
        </w:trPr>
        <w:tc>
          <w:tcPr>
            <w:tcW w:w="71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2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965</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21"/>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(9,108)</w:t>
            </w:r>
          </w:p>
        </w:tc>
      </w:tr>
      <w:tr>
        <w:trPr>
          <w:trHeight w:val="22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7"/>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2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(9,025)</w:t>
            </w:r>
          </w:p>
        </w:tc>
      </w:tr>
      <w:tr>
        <w:trPr>
          <w:trHeight w:val="227"/>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sale of kaléo</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7"/>
        </w:trPr>
        <w:tc>
          <w:tcPr>
            <w:tcW w:w="7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Proceeds from the sale of assets</w:t>
            </w:r>
          </w:p>
        </w:tc>
        <w:tc>
          <w:tcPr>
            <w:tcW w:w="2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w:t>
            </w:r>
          </w:p>
        </w:tc>
      </w:tr>
      <w:tr>
        <w:trPr>
          <w:trHeight w:val="227"/>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7"/>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Borrowings</w:t>
            </w:r>
          </w:p>
        </w:tc>
        <w:tc>
          <w:tcPr>
            <w:tcW w:w="2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179,248</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37,250</w:t>
            </w:r>
          </w:p>
        </w:tc>
      </w:tr>
      <w:tr>
        <w:trPr>
          <w:trHeight w:val="227"/>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principal payments</w:t>
            </w:r>
          </w:p>
        </w:tc>
        <w:tc>
          <w:tcPr>
            <w:tcW w:w="2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(177,240)</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w:t>
            </w:r>
          </w:p>
        </w:tc>
      </w:tr>
      <w:tr>
        <w:trPr>
          <w:trHeight w:val="227"/>
        </w:trPr>
        <w:tc>
          <w:tcPr>
            <w:tcW w:w="71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2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r>
      <w:tr>
        <w:trPr>
          <w:trHeight w:val="221"/>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13,581</w:t>
            </w:r>
          </w:p>
        </w:tc>
      </w:tr>
      <w:tr>
        <w:trPr>
          <w:trHeight w:val="227"/>
        </w:trPr>
        <w:tc>
          <w:tcPr>
            <w:tcW w:w="7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2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1"/>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cash, cash equivalents and restricted cash</w:t>
            </w:r>
          </w:p>
        </w:tc>
        <w:tc>
          <w:tcPr>
            <w:tcW w:w="2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r>
      <w:tr>
        <w:trPr>
          <w:trHeight w:val="227"/>
        </w:trPr>
        <w:tc>
          <w:tcPr>
            <w:tcW w:w="7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2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13,455</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19,232</w:t>
            </w:r>
          </w:p>
        </w:tc>
      </w:tr>
      <w:tr>
        <w:trPr>
          <w:trHeight w:val="227"/>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4,792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15,025</w:t>
            </w: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60" w:top="879"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three month period ended March 31, 2024:</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4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1"/>
              <w:spacing w:after="0" w:line="201" w:lineRule="exact"/>
              <w:rPr>
                <w:sz w:val="20"/>
                <w:szCs w:val="20"/>
                <w:color w:val="auto"/>
              </w:rPr>
            </w:pPr>
            <w:r>
              <w:rPr>
                <w:rFonts w:ascii="Times New Roman" w:cs="Times New Roman" w:eastAsia="Times New Roman" w:hAnsi="Times New Roman"/>
                <w:sz w:val="18"/>
                <w:szCs w:val="18"/>
                <w:color w:val="auto"/>
                <w:w w:val="97"/>
              </w:rPr>
              <w:t>Trust for</w:t>
            </w:r>
          </w:p>
        </w:tc>
        <w:tc>
          <w:tcPr>
            <w:tcW w:w="15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Accumulated Other</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vMerge w:val="restart"/>
          </w:tcPr>
          <w:p>
            <w:pPr>
              <w:jc w:val="center"/>
              <w:ind w:right="51"/>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74"/>
        </w:trPr>
        <w:tc>
          <w:tcPr>
            <w:tcW w:w="4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91"/>
              <w:spacing w:after="0" w:line="174" w:lineRule="exact"/>
              <w:rPr>
                <w:sz w:val="20"/>
                <w:szCs w:val="20"/>
                <w:color w:val="auto"/>
              </w:rPr>
            </w:pPr>
            <w:r>
              <w:rPr>
                <w:rFonts w:ascii="Times New Roman" w:cs="Times New Roman" w:eastAsia="Times New Roman" w:hAnsi="Times New Roman"/>
                <w:sz w:val="18"/>
                <w:szCs w:val="18"/>
                <w:color w:val="auto"/>
              </w:rPr>
              <w:t>Savings</w:t>
            </w: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151"/>
              <w:spacing w:after="0" w:line="188" w:lineRule="exact"/>
              <w:rPr>
                <w:sz w:val="20"/>
                <w:szCs w:val="20"/>
                <w:color w:val="auto"/>
              </w:rPr>
            </w:pPr>
            <w:r>
              <w:rPr>
                <w:rFonts w:ascii="Times New Roman" w:cs="Times New Roman" w:eastAsia="Times New Roman" w:hAnsi="Times New Roman"/>
                <w:sz w:val="18"/>
                <w:szCs w:val="18"/>
                <w:color w:val="auto"/>
              </w:rPr>
              <w:t>Common</w:t>
            </w:r>
          </w:p>
        </w:tc>
        <w:tc>
          <w:tcPr>
            <w:tcW w:w="200" w:type="dxa"/>
            <w:vAlign w:val="bottom"/>
          </w:tcPr>
          <w:p>
            <w:pPr>
              <w:spacing w:after="0"/>
              <w:rPr>
                <w:sz w:val="16"/>
                <w:szCs w:val="16"/>
                <w:color w:val="auto"/>
              </w:rPr>
            </w:pPr>
          </w:p>
        </w:tc>
        <w:tc>
          <w:tcPr>
            <w:tcW w:w="900" w:type="dxa"/>
            <w:vAlign w:val="bottom"/>
          </w:tcPr>
          <w:p>
            <w:pPr>
              <w:jc w:val="right"/>
              <w:ind w:right="131"/>
              <w:spacing w:after="0" w:line="188" w:lineRule="exact"/>
              <w:rPr>
                <w:sz w:val="20"/>
                <w:szCs w:val="20"/>
                <w:color w:val="auto"/>
              </w:rPr>
            </w:pPr>
            <w:r>
              <w:rPr>
                <w:rFonts w:ascii="Times New Roman" w:cs="Times New Roman" w:eastAsia="Times New Roman" w:hAnsi="Times New Roman"/>
                <w:sz w:val="18"/>
                <w:szCs w:val="18"/>
                <w:color w:val="auto"/>
              </w:rPr>
              <w:t>Retained</w:t>
            </w:r>
          </w:p>
        </w:tc>
        <w:tc>
          <w:tcPr>
            <w:tcW w:w="220" w:type="dxa"/>
            <w:vAlign w:val="bottom"/>
          </w:tcPr>
          <w:p>
            <w:pPr>
              <w:spacing w:after="0"/>
              <w:rPr>
                <w:sz w:val="16"/>
                <w:szCs w:val="16"/>
                <w:color w:val="auto"/>
              </w:rPr>
            </w:pPr>
          </w:p>
        </w:tc>
        <w:tc>
          <w:tcPr>
            <w:tcW w:w="1040" w:type="dxa"/>
            <w:vAlign w:val="bottom"/>
          </w:tcPr>
          <w:p>
            <w:pPr>
              <w:jc w:val="center"/>
              <w:ind w:right="91"/>
              <w:spacing w:after="0" w:line="188"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6"/>
                <w:szCs w:val="16"/>
                <w:color w:val="auto"/>
              </w:rPr>
            </w:pPr>
          </w:p>
        </w:tc>
        <w:tc>
          <w:tcPr>
            <w:tcW w:w="1360" w:type="dxa"/>
            <w:vAlign w:val="bottom"/>
          </w:tcPr>
          <w:p>
            <w:pPr>
              <w:jc w:val="right"/>
              <w:ind w:right="131"/>
              <w:spacing w:after="0" w:line="188" w:lineRule="exact"/>
              <w:rPr>
                <w:sz w:val="20"/>
                <w:szCs w:val="20"/>
                <w:color w:val="auto"/>
              </w:rPr>
            </w:pPr>
            <w:r>
              <w:rPr>
                <w:rFonts w:ascii="Times New Roman" w:cs="Times New Roman" w:eastAsia="Times New Roman" w:hAnsi="Times New Roman"/>
                <w:sz w:val="18"/>
                <w:szCs w:val="18"/>
                <w:color w:val="auto"/>
                <w:w w:val="99"/>
              </w:rPr>
              <w:t>Comprehensive</w:t>
            </w:r>
          </w:p>
        </w:tc>
        <w:tc>
          <w:tcPr>
            <w:tcW w:w="220" w:type="dxa"/>
            <w:vAlign w:val="bottom"/>
          </w:tcPr>
          <w:p>
            <w:pPr>
              <w:spacing w:after="0"/>
              <w:rPr>
                <w:sz w:val="16"/>
                <w:szCs w:val="16"/>
                <w:color w:val="auto"/>
              </w:rPr>
            </w:pPr>
          </w:p>
        </w:tc>
        <w:tc>
          <w:tcPr>
            <w:tcW w:w="1220" w:type="dxa"/>
            <w:vAlign w:val="bottom"/>
          </w:tcPr>
          <w:p>
            <w:pPr>
              <w:jc w:val="center"/>
              <w:ind w:right="71"/>
              <w:spacing w:after="0" w:line="188" w:lineRule="exact"/>
              <w:rPr>
                <w:sz w:val="20"/>
                <w:szCs w:val="20"/>
                <w:color w:val="auto"/>
              </w:rPr>
            </w:pPr>
            <w:r>
              <w:rPr>
                <w:rFonts w:ascii="Times New Roman" w:cs="Times New Roman" w:eastAsia="Times New Roman" w:hAnsi="Times New Roman"/>
                <w:sz w:val="18"/>
                <w:szCs w:val="18"/>
                <w:color w:val="auto"/>
                <w:w w:val="97"/>
              </w:rPr>
              <w:t>Shareholders’</w:t>
            </w:r>
          </w:p>
        </w:tc>
        <w:tc>
          <w:tcPr>
            <w:tcW w:w="0" w:type="dxa"/>
            <w:vAlign w:val="bottom"/>
          </w:tcPr>
          <w:p>
            <w:pPr>
              <w:spacing w:after="0"/>
              <w:rPr>
                <w:sz w:val="1"/>
                <w:szCs w:val="1"/>
                <w:color w:val="auto"/>
              </w:rPr>
            </w:pPr>
          </w:p>
        </w:tc>
      </w:tr>
      <w:tr>
        <w:trPr>
          <w:trHeight w:val="227"/>
        </w:trPr>
        <w:tc>
          <w:tcPr>
            <w:tcW w:w="4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Earnings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3"/>
              </w:rPr>
              <w:t>Plan</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Income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1"/>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2024</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61,606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155,653</w:t>
            </w:r>
          </w:p>
        </w:tc>
        <w:tc>
          <w:tcPr>
            <w:tcW w:w="0" w:type="dxa"/>
            <w:vAlign w:val="bottom"/>
          </w:tcPr>
          <w:p>
            <w:pPr>
              <w:spacing w:after="0"/>
              <w:rPr>
                <w:sz w:val="1"/>
                <w:szCs w:val="1"/>
                <w:color w:val="auto"/>
              </w:rPr>
            </w:pPr>
          </w:p>
        </w:tc>
      </w:tr>
      <w:tr>
        <w:trPr>
          <w:trHeight w:val="221"/>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0" w:type="dxa"/>
            <w:vAlign w:val="bottom"/>
          </w:tcPr>
          <w:p>
            <w:pPr>
              <w:spacing w:after="0"/>
              <w:rPr>
                <w:sz w:val="1"/>
                <w:szCs w:val="1"/>
                <w:color w:val="auto"/>
              </w:rPr>
            </w:pPr>
          </w:p>
        </w:tc>
      </w:tr>
      <w:tr>
        <w:trPr>
          <w:trHeight w:val="22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2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4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2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6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174"/>
        </w:trPr>
        <w:tc>
          <w:tcPr>
            <w:tcW w:w="44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Repurchase of employee common stock for tax</w:t>
            </w: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4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7"/>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61,959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181,265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(84,176)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156,815</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three month period ended March 31, 2023: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7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1"/>
              <w:spacing w:after="0" w:line="201" w:lineRule="exact"/>
              <w:rPr>
                <w:sz w:val="20"/>
                <w:szCs w:val="20"/>
                <w:color w:val="auto"/>
              </w:rPr>
            </w:pPr>
            <w:r>
              <w:rPr>
                <w:rFonts w:ascii="Times New Roman" w:cs="Times New Roman" w:eastAsia="Times New Roman" w:hAnsi="Times New Roman"/>
                <w:sz w:val="18"/>
                <w:szCs w:val="18"/>
                <w:color w:val="auto"/>
                <w:w w:val="97"/>
              </w:rPr>
              <w:t>Trust for</w:t>
            </w:r>
          </w:p>
        </w:tc>
        <w:tc>
          <w:tcPr>
            <w:tcW w:w="15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Accumulated Other</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vMerge w:val="restart"/>
          </w:tcPr>
          <w:p>
            <w:pPr>
              <w:jc w:val="center"/>
              <w:ind w:right="71"/>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74"/>
        </w:trPr>
        <w:tc>
          <w:tcPr>
            <w:tcW w:w="4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91"/>
              <w:spacing w:after="0" w:line="174" w:lineRule="exact"/>
              <w:rPr>
                <w:sz w:val="20"/>
                <w:szCs w:val="20"/>
                <w:color w:val="auto"/>
              </w:rPr>
            </w:pPr>
            <w:r>
              <w:rPr>
                <w:rFonts w:ascii="Times New Roman" w:cs="Times New Roman" w:eastAsia="Times New Roman" w:hAnsi="Times New Roman"/>
                <w:sz w:val="18"/>
                <w:szCs w:val="18"/>
                <w:color w:val="auto"/>
              </w:rPr>
              <w:t>Savings</w:t>
            </w:r>
          </w:p>
        </w:tc>
        <w:tc>
          <w:tcPr>
            <w:tcW w:w="1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31"/>
              <w:spacing w:after="0" w:line="188" w:lineRule="exact"/>
              <w:rPr>
                <w:sz w:val="20"/>
                <w:szCs w:val="20"/>
                <w:color w:val="auto"/>
              </w:rPr>
            </w:pPr>
            <w:r>
              <w:rPr>
                <w:rFonts w:ascii="Times New Roman" w:cs="Times New Roman" w:eastAsia="Times New Roman" w:hAnsi="Times New Roman"/>
                <w:sz w:val="18"/>
                <w:szCs w:val="18"/>
                <w:color w:val="auto"/>
              </w:rPr>
              <w:t>Common</w:t>
            </w:r>
          </w:p>
        </w:tc>
        <w:tc>
          <w:tcPr>
            <w:tcW w:w="200" w:type="dxa"/>
            <w:vAlign w:val="bottom"/>
          </w:tcPr>
          <w:p>
            <w:pPr>
              <w:spacing w:after="0"/>
              <w:rPr>
                <w:sz w:val="16"/>
                <w:szCs w:val="16"/>
                <w:color w:val="auto"/>
              </w:rPr>
            </w:pPr>
          </w:p>
        </w:tc>
        <w:tc>
          <w:tcPr>
            <w:tcW w:w="900" w:type="dxa"/>
            <w:vAlign w:val="bottom"/>
          </w:tcPr>
          <w:p>
            <w:pPr>
              <w:jc w:val="right"/>
              <w:ind w:right="131"/>
              <w:spacing w:after="0" w:line="188" w:lineRule="exact"/>
              <w:rPr>
                <w:sz w:val="20"/>
                <w:szCs w:val="20"/>
                <w:color w:val="auto"/>
              </w:rPr>
            </w:pPr>
            <w:r>
              <w:rPr>
                <w:rFonts w:ascii="Times New Roman" w:cs="Times New Roman" w:eastAsia="Times New Roman" w:hAnsi="Times New Roman"/>
                <w:sz w:val="18"/>
                <w:szCs w:val="18"/>
                <w:color w:val="auto"/>
              </w:rPr>
              <w:t>Retained</w:t>
            </w:r>
          </w:p>
        </w:tc>
        <w:tc>
          <w:tcPr>
            <w:tcW w:w="200" w:type="dxa"/>
            <w:vAlign w:val="bottom"/>
          </w:tcPr>
          <w:p>
            <w:pPr>
              <w:spacing w:after="0"/>
              <w:rPr>
                <w:sz w:val="16"/>
                <w:szCs w:val="16"/>
                <w:color w:val="auto"/>
              </w:rPr>
            </w:pPr>
          </w:p>
        </w:tc>
        <w:tc>
          <w:tcPr>
            <w:tcW w:w="1040" w:type="dxa"/>
            <w:vAlign w:val="bottom"/>
          </w:tcPr>
          <w:p>
            <w:pPr>
              <w:jc w:val="center"/>
              <w:ind w:right="91"/>
              <w:spacing w:after="0" w:line="188"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6"/>
                <w:szCs w:val="16"/>
                <w:color w:val="auto"/>
              </w:rPr>
            </w:pPr>
          </w:p>
        </w:tc>
        <w:tc>
          <w:tcPr>
            <w:tcW w:w="1380" w:type="dxa"/>
            <w:vAlign w:val="bottom"/>
          </w:tcPr>
          <w:p>
            <w:pPr>
              <w:jc w:val="right"/>
              <w:ind w:right="131"/>
              <w:spacing w:after="0" w:line="188" w:lineRule="exact"/>
              <w:rPr>
                <w:sz w:val="20"/>
                <w:szCs w:val="20"/>
                <w:color w:val="auto"/>
              </w:rPr>
            </w:pPr>
            <w:r>
              <w:rPr>
                <w:rFonts w:ascii="Times New Roman" w:cs="Times New Roman" w:eastAsia="Times New Roman" w:hAnsi="Times New Roman"/>
                <w:sz w:val="18"/>
                <w:szCs w:val="18"/>
                <w:color w:val="auto"/>
              </w:rPr>
              <w:t>Comprehensive</w:t>
            </w:r>
          </w:p>
        </w:tc>
        <w:tc>
          <w:tcPr>
            <w:tcW w:w="200" w:type="dxa"/>
            <w:vAlign w:val="bottom"/>
          </w:tcPr>
          <w:p>
            <w:pPr>
              <w:spacing w:after="0"/>
              <w:rPr>
                <w:sz w:val="16"/>
                <w:szCs w:val="16"/>
                <w:color w:val="auto"/>
              </w:rPr>
            </w:pPr>
          </w:p>
        </w:tc>
        <w:tc>
          <w:tcPr>
            <w:tcW w:w="1240" w:type="dxa"/>
            <w:vAlign w:val="bottom"/>
          </w:tcPr>
          <w:p>
            <w:pPr>
              <w:jc w:val="center"/>
              <w:ind w:right="51"/>
              <w:spacing w:after="0" w:line="188" w:lineRule="exact"/>
              <w:rPr>
                <w:sz w:val="20"/>
                <w:szCs w:val="20"/>
                <w:color w:val="auto"/>
              </w:rPr>
            </w:pPr>
            <w:r>
              <w:rPr>
                <w:rFonts w:ascii="Times New Roman" w:cs="Times New Roman" w:eastAsia="Times New Roman" w:hAnsi="Times New Roman"/>
                <w:sz w:val="18"/>
                <w:szCs w:val="18"/>
                <w:color w:val="auto"/>
                <w:w w:val="97"/>
              </w:rPr>
              <w:t>Shareholders’</w:t>
            </w:r>
          </w:p>
        </w:tc>
        <w:tc>
          <w:tcPr>
            <w:tcW w:w="0" w:type="dxa"/>
            <w:vAlign w:val="bottom"/>
          </w:tcPr>
          <w:p>
            <w:pPr>
              <w:spacing w:after="0"/>
              <w:rPr>
                <w:sz w:val="1"/>
                <w:szCs w:val="1"/>
                <w:color w:val="auto"/>
              </w:rPr>
            </w:pPr>
          </w:p>
        </w:tc>
      </w:tr>
      <w:tr>
        <w:trPr>
          <w:trHeight w:val="227"/>
        </w:trPr>
        <w:tc>
          <w:tcPr>
            <w:tcW w:w="4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Earnings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3"/>
              </w:rPr>
              <w:t>Plan</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1"/>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58,824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292,721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201,762</w:t>
            </w:r>
          </w:p>
        </w:tc>
        <w:tc>
          <w:tcPr>
            <w:tcW w:w="0" w:type="dxa"/>
            <w:vAlign w:val="bottom"/>
          </w:tcPr>
          <w:p>
            <w:pPr>
              <w:spacing w:after="0"/>
              <w:rPr>
                <w:sz w:val="1"/>
                <w:szCs w:val="1"/>
                <w:color w:val="auto"/>
              </w:rPr>
            </w:pPr>
          </w:p>
        </w:tc>
      </w:tr>
      <w:tr>
        <w:trPr>
          <w:trHeight w:val="221"/>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2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1,120</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18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1,269</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2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2,287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($0.13 per share)</w:t>
            </w:r>
          </w:p>
        </w:tc>
        <w:tc>
          <w:tcPr>
            <w:tcW w:w="18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2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0" w:type="dxa"/>
            <w:vAlign w:val="bottom"/>
          </w:tcPr>
          <w:p>
            <w:pPr>
              <w:spacing w:after="0"/>
              <w:rPr>
                <w:sz w:val="1"/>
                <w:szCs w:val="1"/>
                <w:color w:val="auto"/>
              </w:rPr>
            </w:pPr>
          </w:p>
        </w:tc>
      </w:tr>
      <w:tr>
        <w:trPr>
          <w:trHeight w:val="22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853</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employee common stock for tax withholdings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174"/>
        </w:trPr>
        <w:tc>
          <w:tcPr>
            <w:tcW w:w="47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w w:val="99"/>
              </w:rPr>
              <w:t>Tredegar common stock purchased by trust for savings restoration</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59,423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287,308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(142,919)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201,609</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05" w:lineRule="exact"/>
        <w:rPr>
          <w:sz w:val="20"/>
          <w:szCs w:val="20"/>
          <w:color w:val="auto"/>
        </w:rPr>
      </w:pPr>
    </w:p>
    <w:p>
      <w:pPr>
        <w:ind w:firstLine="401"/>
        <w:spacing w:after="0" w:line="271" w:lineRule="auto"/>
        <w:rPr>
          <w:sz w:val="20"/>
          <w:szCs w:val="20"/>
          <w:color w:val="auto"/>
        </w:rPr>
      </w:pPr>
      <w:r>
        <w:rPr>
          <w:rFonts w:ascii="Times New Roman" w:cs="Times New Roman" w:eastAsia="Times New Roman" w:hAnsi="Times New Roman"/>
          <w:sz w:val="17"/>
          <w:szCs w:val="17"/>
          <w:color w:val="auto"/>
        </w:rPr>
        <w:t>In the opinion of management, the accompanying condensed consolidated financial statements of Tredegar Corporation and its subsidiaries (“Tredegar,” “the Company,” “we,” “us” or “our”) contain all adjustments necessary to state fairly, in all material respects, Tredegar’s condensed consolidated financial position as of March 31, 2024, the condensed consolidated results of operations for the three months ended March 31, 2024 and 2023, the condensed consolidated cash flows for the three months ended March 31, 2024 and 2023, and the condensed consolidated changes in shareholders’ equity for the three months ended March 31, 2024 and 2023, in accordance with U.S. generally accepted accounting principles (“GAAP”). All such adjustments, unless otherwise detailed in the notes to the condensed consolidated financial statements, are deemed to be of a normal, recurring nature.</w:t>
      </w:r>
    </w:p>
    <w:p>
      <w:pPr>
        <w:spacing w:after="0" w:line="40" w:lineRule="exact"/>
        <w:rPr>
          <w:sz w:val="20"/>
          <w:szCs w:val="20"/>
          <w:color w:val="auto"/>
        </w:rPr>
      </w:pPr>
    </w:p>
    <w:p>
      <w:pPr>
        <w:ind w:firstLine="401"/>
        <w:spacing w:after="0" w:line="255" w:lineRule="auto"/>
        <w:rPr>
          <w:sz w:val="20"/>
          <w:szCs w:val="20"/>
          <w:color w:val="auto"/>
        </w:rPr>
      </w:pPr>
      <w:r>
        <w:rPr>
          <w:rFonts w:ascii="Times New Roman" w:cs="Times New Roman" w:eastAsia="Times New Roman" w:hAnsi="Times New Roman"/>
          <w:sz w:val="18"/>
          <w:szCs w:val="18"/>
          <w:color w:val="auto"/>
        </w:rPr>
        <w:t>The Company operates on a calendar fiscal year except for the Aluminum Extrusions segment, which operates on a 52/53-week fiscal year basis. As such, the fiscal first quarter for 2024 and 2023 for this segment references 13-week periods ended March 31, 2024 and March 26, 2023, respectively. The Company does not believe the impact of reporting the results of this segment as stated above is material to the consolidated financial results. The Company may fund or receive cash from the Aluminum Extrusions segment based on Aluminum Extrusion’s cash flows from operations during the intervening period from Aluminum Extrusion’s fiscal quarter end and the Company’s fiscal quarter end.</w:t>
      </w:r>
    </w:p>
    <w:p>
      <w:pPr>
        <w:spacing w:after="0" w:line="64" w:lineRule="exact"/>
        <w:rPr>
          <w:sz w:val="20"/>
          <w:szCs w:val="20"/>
          <w:color w:val="auto"/>
        </w:rPr>
      </w:pPr>
    </w:p>
    <w:p>
      <w:pPr>
        <w:ind w:right="20" w:firstLine="401"/>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as of December 31, 2023 that is included herein was derived from the audited consolidated financial statements provided in the Company’s Annual Report on Form 10-K for the year ended December 31, 2023 (“2023 Form 10-K”) but does not include all disclosures required by GAAP. These financial statements should be read in conjunction with the audited consolidated financial statements and related notes included in the 2023 Form 10-K.</w:t>
      </w:r>
    </w:p>
    <w:p>
      <w:pPr>
        <w:spacing w:after="0" w:line="46" w:lineRule="exact"/>
        <w:rPr>
          <w:sz w:val="20"/>
          <w:szCs w:val="20"/>
          <w:color w:val="auto"/>
        </w:rPr>
      </w:pPr>
    </w:p>
    <w:p>
      <w:pPr>
        <w:ind w:right="480" w:firstLine="401"/>
        <w:spacing w:after="0" w:line="356" w:lineRule="auto"/>
        <w:rPr>
          <w:sz w:val="20"/>
          <w:szCs w:val="20"/>
          <w:color w:val="auto"/>
        </w:rPr>
      </w:pPr>
      <w:r>
        <w:rPr>
          <w:rFonts w:ascii="Times New Roman" w:cs="Times New Roman" w:eastAsia="Times New Roman" w:hAnsi="Times New Roman"/>
          <w:sz w:val="18"/>
          <w:szCs w:val="18"/>
          <w:color w:val="auto"/>
        </w:rPr>
        <w:t xml:space="preserve">The results of operations for the three months ended March 31, 2024, are not necessarily indicative of the results to be expected for the full year. </w:t>
      </w:r>
      <w:r>
        <w:rPr>
          <w:rFonts w:ascii="Times New Roman" w:cs="Times New Roman" w:eastAsia="Times New Roman" w:hAnsi="Times New Roman"/>
          <w:sz w:val="18"/>
          <w:szCs w:val="18"/>
          <w:b w:val="1"/>
          <w:bCs w:val="1"/>
          <w:i w:val="1"/>
          <w:iCs w:val="1"/>
          <w:color w:val="auto"/>
        </w:rPr>
        <w:t>Sale of Flexible Packaging Films</w:t>
      </w:r>
    </w:p>
    <w:p>
      <w:pPr>
        <w:spacing w:after="0" w:line="1" w:lineRule="exact"/>
        <w:rPr>
          <w:sz w:val="20"/>
          <w:szCs w:val="20"/>
          <w:color w:val="auto"/>
        </w:rPr>
      </w:pPr>
    </w:p>
    <w:p>
      <w:pPr>
        <w:ind w:right="40" w:firstLine="401"/>
        <w:spacing w:after="0" w:line="254" w:lineRule="auto"/>
        <w:rPr>
          <w:sz w:val="20"/>
          <w:szCs w:val="20"/>
          <w:color w:val="auto"/>
        </w:rPr>
      </w:pPr>
      <w:r>
        <w:rPr>
          <w:rFonts w:ascii="Times New Roman" w:cs="Times New Roman" w:eastAsia="Times New Roman" w:hAnsi="Times New Roman"/>
          <w:sz w:val="18"/>
          <w:szCs w:val="18"/>
          <w:color w:val="auto"/>
        </w:rPr>
        <w:t>On September 1, 2023, the Company announced that it had entered into a definitive agreement to sell its Flexible Packaging Films business (also referred to as "Terphane") to Oben Group (the “Contingent Terphane Sale”). Completion of the sale is contingent upon the satisfaction of customary closing conditions, including the receipt of certain competition filing approvals by authorities in Brazil and Colombia. On October 27, 2023, the Company filed the requisite competition forms with the Administrative Council for Economic Defense (“CADE”) in Brazil. The regulatory review process is ongoing and in line with the Company’s expectations. CADE’s maximum deadline for completing its review is no later than November 18, 2024. The merger review regarding the transaction was cleared by the Colombian authority in early February 2024.</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Closure of PE Films Technical Center</w:t>
      </w:r>
    </w:p>
    <w:p>
      <w:pPr>
        <w:spacing w:after="0" w:line="105" w:lineRule="exact"/>
        <w:rPr>
          <w:sz w:val="20"/>
          <w:szCs w:val="20"/>
          <w:color w:val="auto"/>
        </w:rPr>
      </w:pPr>
    </w:p>
    <w:p>
      <w:pPr>
        <w:ind w:right="40" w:firstLine="401"/>
        <w:spacing w:after="0" w:line="254" w:lineRule="auto"/>
        <w:rPr>
          <w:sz w:val="20"/>
          <w:szCs w:val="20"/>
          <w:color w:val="auto"/>
        </w:rPr>
      </w:pPr>
      <w:r>
        <w:rPr>
          <w:rFonts w:ascii="Times New Roman" w:cs="Times New Roman" w:eastAsia="Times New Roman" w:hAnsi="Times New Roman"/>
          <w:sz w:val="18"/>
          <w:szCs w:val="18"/>
          <w:color w:val="auto"/>
        </w:rPr>
        <w:t>In August 2023, the Company adopted a plan to close the PE Films technical center in Richmond, VA and reduce its efforts to develop and sell films supporting the semiconductor market. Future research &amp; development activities for PE Films will be performed at the production facility in Pottsville, PA. PE Films continues to have new business opportunities primarily relating to surface protection films that protect components of flat panel and flexible displays. All activities ceased at the PE Films technical center in Richmond, VA as of the end of the first quarter of 2024. The Company recognized expense incurred through March 31, 2024 associated with the exit activities of $0.2 million for building closure costs. In addition, the Company recognized a non-cash loss on the lease abandonment ($0.3 million).</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879"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Financing</w:t>
      </w:r>
    </w:p>
    <w:p>
      <w:pPr>
        <w:spacing w:after="0" w:line="91" w:lineRule="exact"/>
        <w:rPr>
          <w:sz w:val="20"/>
          <w:szCs w:val="20"/>
          <w:color w:val="auto"/>
        </w:rPr>
      </w:pPr>
    </w:p>
    <w:p>
      <w:pPr>
        <w:ind w:right="420" w:firstLine="401"/>
        <w:spacing w:after="0" w:line="278" w:lineRule="auto"/>
        <w:rPr>
          <w:sz w:val="20"/>
          <w:szCs w:val="20"/>
          <w:color w:val="auto"/>
        </w:rPr>
      </w:pPr>
      <w:r>
        <w:rPr>
          <w:rFonts w:ascii="Times New Roman" w:cs="Times New Roman" w:eastAsia="Times New Roman" w:hAnsi="Times New Roman"/>
          <w:sz w:val="18"/>
          <w:szCs w:val="18"/>
          <w:color w:val="auto"/>
        </w:rPr>
        <w:t>As of March 31, 2024 and December 31, 2023, $8.8 million and $15.8 million, respectively, of the Company’s accounts payable were financed by participating suppliers through third-party financial institutions.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05" w:lineRule="exact"/>
        <w:rPr>
          <w:sz w:val="20"/>
          <w:szCs w:val="20"/>
          <w:color w:val="auto"/>
        </w:rPr>
      </w:pPr>
    </w:p>
    <w:p>
      <w:pPr>
        <w:ind w:right="40" w:firstLine="401"/>
        <w:spacing w:after="0" w:line="253" w:lineRule="auto"/>
        <w:rPr>
          <w:sz w:val="20"/>
          <w:szCs w:val="20"/>
          <w:color w:val="auto"/>
        </w:rPr>
      </w:pPr>
      <w:r>
        <w:rPr>
          <w:rFonts w:ascii="Times New Roman" w:cs="Times New Roman" w:eastAsia="Times New Roman" w:hAnsi="Times New Roman"/>
          <w:sz w:val="18"/>
          <w:szCs w:val="18"/>
          <w:color w:val="auto"/>
        </w:rPr>
        <w:t>In October 2023, the Financial Accounting Standards Board ("FASB") issued Accounting Standards Update ("ASU") 2023-06 to amend various paragraphs in the Accounting Standards Codification ("ASC") to primarily reflect the issuance of U.S. Securities and Exchange Commission ("SEC") Staff Bulletin No. 33-10532. ASU 2023-06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not permitted. The Company does not expect a material impact from the adoption of this standard on our consolidated financial statements and related disclosures.</w:t>
      </w:r>
    </w:p>
    <w:p>
      <w:pPr>
        <w:spacing w:after="0" w:line="51" w:lineRule="exact"/>
        <w:rPr>
          <w:sz w:val="20"/>
          <w:szCs w:val="20"/>
          <w:color w:val="auto"/>
        </w:rPr>
      </w:pPr>
    </w:p>
    <w:p>
      <w:pPr>
        <w:ind w:right="20" w:firstLine="401"/>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to improve reportable segment disclosure and requirements, primarily through the enhanced disclosures about significant segment expenses. ASU 2023-07 expands public entities’ segment disclosures by requiring disclosure of significant segment expenses that are regularly provided to the chief operating decision maker ("CODM") and included within each reported measure of segment profit or loss, an amount and description of its composition for other segment items, and interim disclosures of a reportable segment’s profit or loss and assets. This ASU is effective for fiscal years beginning after December 15, 2023 and interim period beginning after December 15, 2024, with early adoption permitted. The amendments in this ASU are to be applied retrospectively to all prior periods presented in the financial statements. The Company is currently evaluating the impact of this standard on our consolidated financial statements and related disclosures.</w:t>
      </w:r>
    </w:p>
    <w:p>
      <w:pPr>
        <w:spacing w:after="0" w:line="64" w:lineRule="exact"/>
        <w:rPr>
          <w:sz w:val="20"/>
          <w:szCs w:val="20"/>
          <w:color w:val="auto"/>
        </w:rPr>
      </w:pPr>
    </w:p>
    <w:p>
      <w:pPr>
        <w:ind w:right="140" w:firstLine="401"/>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to improve the income tax disclosures related to the rate reconciliation and income taxes paid information and to improve the effectiveness of income tax disclosures. The amendments in this ASU will require the Company to disclose specified additional information in its income tax rate reconciliation and provide additional information for reconciling items that meet a quantitative threshold. ASU 2023-09 will also require the Company to disaggregate its income taxes paid disclosure by federal, state and foreign taxes, with further disaggregation required for significant individual jurisdictions. This ASU is effective for annual periods beginning after December 15, 2024; early adoption is permitted. The Company is currently evaluating the impact of this standard on our consolidated financial statements and related disclosures.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AND OTHER RECEIVABLES</w:t>
      </w:r>
    </w:p>
    <w:p>
      <w:pPr>
        <w:spacing w:after="0" w:line="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31, 2024 and December 31, 2023, accounts and other receivables, net include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760" w:type="dxa"/>
            <w:vAlign w:val="bottom"/>
            <w:tcBorders>
              <w:top w:val="single" w:sz="8" w:color="auto"/>
              <w:bottom w:val="single" w:sz="8" w:color="auto"/>
            </w:tcBorders>
          </w:tcPr>
          <w:p>
            <w:pPr>
              <w:spacing w:after="0"/>
              <w:rPr>
                <w:sz w:val="22"/>
                <w:szCs w:val="22"/>
                <w:color w:val="auto"/>
              </w:rPr>
            </w:pPr>
          </w:p>
        </w:tc>
        <w:tc>
          <w:tcPr>
            <w:tcW w:w="19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March 31, 2024</w:t>
            </w:r>
          </w:p>
        </w:tc>
        <w:tc>
          <w:tcPr>
            <w:tcW w:w="36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receivables</w:t>
            </w:r>
          </w:p>
        </w:tc>
        <w:tc>
          <w:tcPr>
            <w:tcW w:w="17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73,333</w:t>
            </w:r>
          </w:p>
        </w:tc>
        <w:tc>
          <w:tcPr>
            <w:tcW w:w="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67,183</w:t>
            </w:r>
          </w:p>
        </w:tc>
      </w:tr>
      <w:tr>
        <w:trPr>
          <w:trHeight w:val="227"/>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7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1,754</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w:t>
            </w:r>
          </w:p>
        </w:tc>
      </w:tr>
      <w:tr>
        <w:trPr>
          <w:trHeight w:val="221"/>
        </w:trPr>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accounts and other receivables</w:t>
            </w:r>
          </w:p>
        </w:tc>
        <w:tc>
          <w:tcPr>
            <w:tcW w:w="17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75,087</w:t>
            </w: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70,239</w:t>
            </w:r>
          </w:p>
        </w:tc>
      </w:tr>
      <w:tr>
        <w:trPr>
          <w:trHeight w:val="227"/>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bad debts</w:t>
            </w:r>
          </w:p>
        </w:tc>
        <w:tc>
          <w:tcPr>
            <w:tcW w:w="17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r>
      <w:tr>
        <w:trPr>
          <w:trHeight w:val="227"/>
        </w:trPr>
        <w:tc>
          <w:tcPr>
            <w:tcW w:w="51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accounts and other receivables, net</w:t>
            </w:r>
          </w:p>
        </w:tc>
        <w:tc>
          <w:tcPr>
            <w:tcW w:w="17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73,032</w:t>
            </w:r>
          </w:p>
        </w:tc>
        <w:tc>
          <w:tcPr>
            <w:tcW w:w="3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67,938</w:t>
            </w:r>
          </w:p>
        </w:tc>
      </w:tr>
      <w:tr>
        <w:trPr>
          <w:trHeight w:val="402"/>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94"/>
        </w:trPr>
        <w:tc>
          <w:tcPr>
            <w:tcW w:w="5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components of inventories are as follows:</w:t>
            </w:r>
          </w:p>
        </w:tc>
        <w:tc>
          <w:tcPr>
            <w:tcW w:w="1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3"/>
        </w:trPr>
        <w:tc>
          <w:tcPr>
            <w:tcW w:w="5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7"/>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7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March 31, 2024</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28,939</w:t>
            </w:r>
          </w:p>
        </w:tc>
        <w:tc>
          <w:tcPr>
            <w:tcW w:w="3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29,821</w:t>
            </w:r>
          </w:p>
        </w:tc>
      </w:tr>
      <w:tr>
        <w:trPr>
          <w:trHeight w:val="22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7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3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w:t>
            </w:r>
          </w:p>
        </w:tc>
      </w:tr>
      <w:tr>
        <w:trPr>
          <w:trHeight w:val="22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7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25,182</w:t>
            </w: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21,939</w:t>
            </w:r>
          </w:p>
        </w:tc>
      </w:tr>
      <w:tr>
        <w:trPr>
          <w:trHeight w:val="227"/>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Stores, supplies and other</w:t>
            </w:r>
          </w:p>
        </w:tc>
        <w:tc>
          <w:tcPr>
            <w:tcW w:w="17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22,866</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22,447</w:t>
            </w:r>
          </w:p>
        </w:tc>
      </w:tr>
      <w:tr>
        <w:trPr>
          <w:trHeight w:val="227"/>
        </w:trPr>
        <w:tc>
          <w:tcPr>
            <w:tcW w:w="51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86,822</w:t>
            </w:r>
          </w:p>
        </w:tc>
        <w:tc>
          <w:tcPr>
            <w:tcW w:w="3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82,037</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4. PENSION AND OTHER POSTRETIREMENT BENEFITS</w:t>
      </w:r>
    </w:p>
    <w:p>
      <w:pPr>
        <w:spacing w:after="0" w:line="91" w:lineRule="exact"/>
        <w:rPr>
          <w:sz w:val="20"/>
          <w:szCs w:val="20"/>
          <w:color w:val="auto"/>
        </w:rPr>
      </w:pPr>
    </w:p>
    <w:p>
      <w:pPr>
        <w:ind w:right="120" w:firstLine="401"/>
        <w:spacing w:after="0" w:line="254" w:lineRule="auto"/>
        <w:rPr>
          <w:sz w:val="20"/>
          <w:szCs w:val="20"/>
          <w:color w:val="auto"/>
        </w:rPr>
      </w:pPr>
      <w:r>
        <w:rPr>
          <w:rFonts w:ascii="Times New Roman" w:cs="Times New Roman" w:eastAsia="Times New Roman" w:hAnsi="Times New Roman"/>
          <w:sz w:val="18"/>
          <w:szCs w:val="18"/>
          <w:color w:val="auto"/>
        </w:rPr>
        <w:t>Tredegar sponsored a noncontributory defined benefit (pension) plan covering certain current and former U.S. employees.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through lump sum distributions and the purchase of annuity contracts. On November 3, 2023, the pension plan termination and settlement process for the Company was completed, and the remaining pension plan obligation was transferred to Massachusetts Mutual Life Insurance Company. During 2023, the Company recognized a pre-tax pension settlement loss of $92.3 million.</w:t>
      </w:r>
    </w:p>
    <w:p>
      <w:pPr>
        <w:spacing w:after="0" w:line="50" w:lineRule="exact"/>
        <w:rPr>
          <w:sz w:val="20"/>
          <w:szCs w:val="20"/>
          <w:color w:val="auto"/>
        </w:rPr>
      </w:pPr>
    </w:p>
    <w:p>
      <w:pPr>
        <w:ind w:right="140" w:firstLine="401"/>
        <w:spacing w:after="0" w:line="247" w:lineRule="auto"/>
        <w:rPr>
          <w:sz w:val="20"/>
          <w:szCs w:val="20"/>
          <w:color w:val="auto"/>
        </w:rPr>
      </w:pPr>
      <w:r>
        <w:rPr>
          <w:rFonts w:ascii="Times New Roman" w:cs="Times New Roman" w:eastAsia="Times New Roman" w:hAnsi="Times New Roman"/>
          <w:sz w:val="18"/>
          <w:szCs w:val="18"/>
          <w:color w:val="auto"/>
        </w:rPr>
        <w:t>Tredegar also has a non-qualified supplemental pension plan covering certain employees. Effective December 31, 2005, further participation in this plan was terminated and benefit accruals for existing participants were frozen. Pension expense recognized for this plan was immaterial in the three months ended March 31, 2024 and 2023. This information has been included in the pension benefit table below.</w:t>
      </w:r>
    </w:p>
    <w:p>
      <w:pPr>
        <w:spacing w:after="0" w:line="56" w:lineRule="exact"/>
        <w:rPr>
          <w:sz w:val="20"/>
          <w:szCs w:val="20"/>
          <w:color w:val="auto"/>
        </w:rPr>
      </w:pPr>
    </w:p>
    <w:p>
      <w:pPr>
        <w:ind w:right="680" w:firstLine="401"/>
        <w:spacing w:after="0" w:line="274" w:lineRule="auto"/>
        <w:rPr>
          <w:sz w:val="20"/>
          <w:szCs w:val="20"/>
          <w:color w:val="auto"/>
        </w:rPr>
      </w:pPr>
      <w:r>
        <w:rPr>
          <w:rFonts w:ascii="Times New Roman" w:cs="Times New Roman" w:eastAsia="Times New Roman" w:hAnsi="Times New Roman"/>
          <w:sz w:val="18"/>
          <w:szCs w:val="18"/>
          <w:color w:val="auto"/>
        </w:rPr>
        <w:t>The components of net periodic benefit cost for the pension and other postretirement benefit programs reflected in the condensed consolidated statements of income for the three months ended March 31, 2024 and 2023, are shown below:</w:t>
      </w:r>
    </w:p>
    <w:tbl>
      <w:tblPr>
        <w:tblLayout w:type="fixed"/>
        <w:tblInd w:w="0" w:type="dxa"/>
        <w:tblCellMar>
          <w:top w:w="0" w:type="dxa"/>
          <w:left w:w="0" w:type="dxa"/>
          <w:bottom w:w="0" w:type="dxa"/>
          <w:right w:w="0" w:type="dxa"/>
        </w:tblCellMar>
      </w:tblPr>
      <w:tr>
        <w:trPr>
          <w:trHeight w:val="189"/>
        </w:trPr>
        <w:tc>
          <w:tcPr>
            <w:tcW w:w="6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3"/>
          </w:tcPr>
          <w:p>
            <w:pPr>
              <w:jc w:val="center"/>
              <w:ind w:right="111"/>
              <w:spacing w:after="0" w:line="189" w:lineRule="exact"/>
              <w:rPr>
                <w:sz w:val="20"/>
                <w:szCs w:val="20"/>
                <w:color w:val="auto"/>
              </w:rPr>
            </w:pPr>
            <w:r>
              <w:rPr>
                <w:rFonts w:ascii="Times New Roman" w:cs="Times New Roman" w:eastAsia="Times New Roman" w:hAnsi="Times New Roman"/>
                <w:sz w:val="18"/>
                <w:szCs w:val="18"/>
                <w:color w:val="auto"/>
                <w:w w:val="99"/>
              </w:rPr>
              <w:t>Other Post-Retirement</w:t>
            </w:r>
          </w:p>
        </w:tc>
      </w:tr>
      <w:tr>
        <w:trPr>
          <w:trHeight w:val="232"/>
        </w:trPr>
        <w:tc>
          <w:tcPr>
            <w:tcW w:w="6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8"/>
              </w:rPr>
              <w:t>Pension Benefits</w:t>
            </w:r>
          </w:p>
        </w:tc>
        <w:tc>
          <w:tcPr>
            <w:tcW w:w="200" w:type="dxa"/>
            <w:vAlign w:val="bottom"/>
          </w:tcPr>
          <w:p>
            <w:pPr>
              <w:spacing w:after="0"/>
              <w:rPr>
                <w:sz w:val="20"/>
                <w:szCs w:val="20"/>
                <w:color w:val="auto"/>
              </w:rPr>
            </w:pPr>
          </w:p>
        </w:tc>
        <w:tc>
          <w:tcPr>
            <w:tcW w:w="1260" w:type="dxa"/>
            <w:vAlign w:val="bottom"/>
            <w:gridSpan w:val="2"/>
          </w:tcPr>
          <w:p>
            <w:pPr>
              <w:jc w:val="center"/>
              <w:ind w:left="471"/>
              <w:spacing w:after="0"/>
              <w:rPr>
                <w:sz w:val="20"/>
                <w:szCs w:val="20"/>
                <w:color w:val="auto"/>
              </w:rPr>
            </w:pPr>
            <w:r>
              <w:rPr>
                <w:rFonts w:ascii="Times New Roman" w:cs="Times New Roman" w:eastAsia="Times New Roman" w:hAnsi="Times New Roman"/>
                <w:sz w:val="18"/>
                <w:szCs w:val="18"/>
                <w:color w:val="auto"/>
                <w:w w:val="96"/>
              </w:rPr>
              <w:t>Benefits</w:t>
            </w:r>
          </w:p>
        </w:tc>
        <w:tc>
          <w:tcPr>
            <w:tcW w:w="760" w:type="dxa"/>
            <w:vAlign w:val="bottom"/>
          </w:tcPr>
          <w:p>
            <w:pPr>
              <w:spacing w:after="0"/>
              <w:rPr>
                <w:sz w:val="20"/>
                <w:szCs w:val="20"/>
                <w:color w:val="auto"/>
              </w:rPr>
            </w:pPr>
          </w:p>
        </w:tc>
      </w:tr>
      <w:tr>
        <w:trPr>
          <w:trHeight w:val="176"/>
        </w:trPr>
        <w:tc>
          <w:tcPr>
            <w:tcW w:w="6700" w:type="dxa"/>
            <w:vAlign w:val="bottom"/>
          </w:tcPr>
          <w:p>
            <w:pPr>
              <w:spacing w:after="0"/>
              <w:rPr>
                <w:sz w:val="15"/>
                <w:szCs w:val="15"/>
                <w:color w:val="auto"/>
              </w:rPr>
            </w:pPr>
          </w:p>
        </w:tc>
        <w:tc>
          <w:tcPr>
            <w:tcW w:w="2220" w:type="dxa"/>
            <w:vAlign w:val="bottom"/>
            <w:tcBorders>
              <w:top w:val="single" w:sz="8" w:color="auto"/>
            </w:tcBorders>
            <w:gridSpan w:val="4"/>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Three Months Ended March</w:t>
            </w:r>
          </w:p>
        </w:tc>
        <w:tc>
          <w:tcPr>
            <w:tcW w:w="100" w:type="dxa"/>
            <w:vAlign w:val="bottom"/>
          </w:tcPr>
          <w:p>
            <w:pPr>
              <w:spacing w:after="0"/>
              <w:rPr>
                <w:sz w:val="15"/>
                <w:szCs w:val="15"/>
                <w:color w:val="auto"/>
              </w:rPr>
            </w:pPr>
          </w:p>
        </w:tc>
        <w:tc>
          <w:tcPr>
            <w:tcW w:w="2220" w:type="dxa"/>
            <w:vAlign w:val="bottom"/>
            <w:tcBorders>
              <w:top w:val="single" w:sz="8" w:color="auto"/>
            </w:tcBorders>
            <w:gridSpan w:val="4"/>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Three Months Ended March</w:t>
            </w:r>
          </w:p>
        </w:tc>
      </w:tr>
      <w:tr>
        <w:trPr>
          <w:trHeight w:val="232"/>
        </w:trPr>
        <w:tc>
          <w:tcPr>
            <w:tcW w:w="6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7"/>
              </w:rPr>
              <w:t>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7"/>
              </w:rPr>
              <w:t>31,</w:t>
            </w:r>
          </w:p>
        </w:tc>
        <w:tc>
          <w:tcPr>
            <w:tcW w:w="760" w:type="dxa"/>
            <w:vAlign w:val="bottom"/>
            <w:tcBorders>
              <w:bottom w:val="single" w:sz="8" w:color="auto"/>
            </w:tcBorders>
          </w:tcPr>
          <w:p>
            <w:pPr>
              <w:spacing w:after="0"/>
              <w:rPr>
                <w:sz w:val="20"/>
                <w:szCs w:val="20"/>
                <w:color w:val="auto"/>
              </w:rPr>
            </w:pPr>
          </w:p>
        </w:tc>
      </w:tr>
      <w:tr>
        <w:trPr>
          <w:trHeight w:val="221"/>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(gains) losses and net transition asset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331"/>
              <w:spacing w:after="0"/>
              <w:rPr>
                <w:sz w:val="20"/>
                <w:szCs w:val="20"/>
                <w:color w:val="auto"/>
              </w:rPr>
            </w:pPr>
            <w:r>
              <w:rPr>
                <w:rFonts w:ascii="Times New Roman" w:cs="Times New Roman" w:eastAsia="Times New Roman" w:hAnsi="Times New Roman"/>
                <w:sz w:val="18"/>
                <w:szCs w:val="18"/>
                <w:color w:val="auto"/>
              </w:rPr>
              <w:t>(40)</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6"/>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6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firstLine="401"/>
        <w:spacing w:after="0" w:line="263" w:lineRule="auto"/>
        <w:rPr>
          <w:sz w:val="20"/>
          <w:szCs w:val="20"/>
          <w:color w:val="auto"/>
        </w:rPr>
      </w:pPr>
      <w:r>
        <w:rPr>
          <w:rFonts w:ascii="Times New Roman" w:cs="Times New Roman" w:eastAsia="Times New Roman" w:hAnsi="Times New Roman"/>
          <w:sz w:val="18"/>
          <w:szCs w:val="18"/>
          <w:color w:val="auto"/>
        </w:rPr>
        <w:t>Pension and other postretirement liabilities were $7.2 million and $7.3 million at March 31, 2024 and December 31, 2023, respectively ($0.6 million and $0.7 million included in “Accrued expenses” at March 31, 2024 and December 31, 2023, respectively, with the remainder included in “Pension and other postretirement benefit obligations, net” in the condensed consolidated balance sheets).</w:t>
      </w:r>
    </w:p>
    <w:p>
      <w:pPr>
        <w:spacing w:after="0" w:line="42" w:lineRule="exact"/>
        <w:rPr>
          <w:sz w:val="20"/>
          <w:szCs w:val="20"/>
          <w:color w:val="auto"/>
        </w:rPr>
      </w:pPr>
    </w:p>
    <w:p>
      <w:pPr>
        <w:ind w:right="40" w:firstLine="401"/>
        <w:spacing w:after="0" w:line="278" w:lineRule="auto"/>
        <w:rPr>
          <w:sz w:val="20"/>
          <w:szCs w:val="20"/>
          <w:color w:val="auto"/>
        </w:rPr>
      </w:pPr>
      <w:r>
        <w:rPr>
          <w:rFonts w:ascii="Times New Roman" w:cs="Times New Roman" w:eastAsia="Times New Roman" w:hAnsi="Times New Roman"/>
          <w:sz w:val="18"/>
          <w:szCs w:val="18"/>
          <w:color w:val="auto"/>
        </w:rPr>
        <w:t>Tredegar funds its other postretirement benefits on a claims-made basis; for 2024, the Company anticipates the amount will be consistent with amounts paid for the year ended December 31, 2023, or approximately $0.4 million.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105" w:lineRule="exact"/>
        <w:rPr>
          <w:sz w:val="20"/>
          <w:szCs w:val="20"/>
          <w:color w:val="auto"/>
        </w:rPr>
      </w:pPr>
    </w:p>
    <w:p>
      <w:pPr>
        <w:ind w:right="220" w:firstLine="401"/>
        <w:spacing w:after="0" w:line="263"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(loss) by the weighted average number of shares of common stock outstanding. Diluted earnings per share is computed by dividing net income (loss) by the weighted average common and potentially dilutive common equivalent shares outstanding,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35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8"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76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used to compute basic earnings per share</w:t>
            </w:r>
          </w:p>
        </w:tc>
        <w:tc>
          <w:tcPr>
            <w:tcW w:w="27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34,323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33,895</w:t>
            </w:r>
          </w:p>
        </w:tc>
      </w:tr>
      <w:tr>
        <w:trPr>
          <w:trHeight w:val="227"/>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Incremental dilutive shares attributable to stock options and restricted stock</w:t>
            </w:r>
          </w:p>
        </w:tc>
        <w:tc>
          <w:tcPr>
            <w:tcW w:w="2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share</w:t>
            </w:r>
          </w:p>
        </w:tc>
        <w:tc>
          <w:tcPr>
            <w:tcW w:w="27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34,323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33,895</w:t>
            </w:r>
          </w:p>
        </w:tc>
      </w:tr>
    </w:tbl>
    <w:p>
      <w:pPr>
        <w:spacing w:after="0" w:line="156" w:lineRule="exact"/>
        <w:rPr>
          <w:sz w:val="20"/>
          <w:szCs w:val="20"/>
          <w:color w:val="auto"/>
        </w:rPr>
      </w:pPr>
    </w:p>
    <w:p>
      <w:pPr>
        <w:ind w:right="20" w:firstLine="401"/>
        <w:spacing w:after="0" w:line="255" w:lineRule="auto"/>
        <w:rPr>
          <w:sz w:val="20"/>
          <w:szCs w:val="20"/>
          <w:color w:val="auto"/>
        </w:rPr>
      </w:pPr>
      <w:r>
        <w:rPr>
          <w:rFonts w:ascii="Times New Roman" w:cs="Times New Roman" w:eastAsia="Times New Roman" w:hAnsi="Times New Roman"/>
          <w:sz w:val="18"/>
          <w:szCs w:val="18"/>
          <w:color w:val="auto"/>
        </w:rPr>
        <w:t>Incremental shares attributable to stock options and restricted stock are computed under the treasury stock method using the average market price during the related period. Average out-of-the-money options to purchase shares that were excluded from the calculation of incremental shares attributable to stock options and restricted stock were 2,870,670 for the three months ended March 31, 2024. If the Company had reported net income for the three months ended March 31, 2023, the average out-of-the-money options to purchase shares that were excluded from the calculation of incremental shares attributable to stock options and restricted stock would have been 2,645,365.</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6. ACCUMULATED OTHER COMPREHENSIVE INCOME (LOSS)</w:t>
      </w:r>
    </w:p>
    <w:p>
      <w:pPr>
        <w:spacing w:after="0" w:line="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three months ended March 31,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Foreign Currency</w:t>
            </w:r>
          </w:p>
        </w:tc>
        <w:tc>
          <w:tcPr>
            <w:tcW w:w="2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center"/>
              <w:ind w:right="131"/>
              <w:spacing w:after="0" w:line="201" w:lineRule="exact"/>
              <w:rPr>
                <w:sz w:val="20"/>
                <w:szCs w:val="20"/>
                <w:color w:val="auto"/>
              </w:rPr>
            </w:pPr>
            <w:r>
              <w:rPr>
                <w:rFonts w:ascii="Times New Roman" w:cs="Times New Roman" w:eastAsia="Times New Roman" w:hAnsi="Times New Roman"/>
                <w:sz w:val="18"/>
                <w:szCs w:val="18"/>
                <w:color w:val="auto"/>
                <w:w w:val="99"/>
              </w:rPr>
              <w:t>Gain (Loss) on</w:t>
            </w: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11"/>
              <w:spacing w:after="0" w:line="201" w:lineRule="exact"/>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jc w:val="center"/>
              <w:ind w:right="151"/>
              <w:spacing w:after="0" w:line="174" w:lineRule="exact"/>
              <w:rPr>
                <w:sz w:val="20"/>
                <w:szCs w:val="20"/>
                <w:color w:val="auto"/>
              </w:rPr>
            </w:pPr>
            <w:r>
              <w:rPr>
                <w:rFonts w:ascii="Times New Roman" w:cs="Times New Roman" w:eastAsia="Times New Roman" w:hAnsi="Times New Roman"/>
                <w:sz w:val="18"/>
                <w:szCs w:val="18"/>
                <w:color w:val="auto"/>
                <w:w w:val="98"/>
              </w:rPr>
              <w:t>Derivative Financial</w:t>
            </w:r>
          </w:p>
        </w:tc>
        <w:tc>
          <w:tcPr>
            <w:tcW w:w="180" w:type="dxa"/>
            <w:vAlign w:val="bottom"/>
          </w:tcPr>
          <w:p>
            <w:pPr>
              <w:spacing w:after="0"/>
              <w:rPr>
                <w:sz w:val="15"/>
                <w:szCs w:val="15"/>
                <w:color w:val="auto"/>
              </w:rPr>
            </w:pPr>
          </w:p>
        </w:tc>
        <w:tc>
          <w:tcPr>
            <w:tcW w:w="1420" w:type="dxa"/>
            <w:vAlign w:val="bottom"/>
          </w:tcPr>
          <w:p>
            <w:pPr>
              <w:jc w:val="right"/>
              <w:ind w:right="191"/>
              <w:spacing w:after="0" w:line="174" w:lineRule="exact"/>
              <w:rPr>
                <w:sz w:val="20"/>
                <w:szCs w:val="20"/>
                <w:color w:val="auto"/>
              </w:rPr>
            </w:pPr>
            <w:r>
              <w:rPr>
                <w:rFonts w:ascii="Times New Roman" w:cs="Times New Roman" w:eastAsia="Times New Roman" w:hAnsi="Times New Roman"/>
                <w:sz w:val="18"/>
                <w:szCs w:val="18"/>
                <w:color w:val="auto"/>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Translation</w:t>
            </w: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8"/>
              </w:rPr>
              <w:t>Instruments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Benefit Adjust</w:t>
            </w:r>
          </w:p>
        </w:tc>
        <w:tc>
          <w:tcPr>
            <w:tcW w:w="2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1"/>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center"/>
              <w:ind w:left="1171"/>
              <w:spacing w:after="0"/>
              <w:rPr>
                <w:sz w:val="20"/>
                <w:szCs w:val="20"/>
                <w:color w:val="auto"/>
              </w:rPr>
            </w:pPr>
            <w:r>
              <w:rPr>
                <w:rFonts w:ascii="Times New Roman" w:cs="Times New Roman" w:eastAsia="Times New Roman" w:hAnsi="Times New Roman"/>
                <w:sz w:val="18"/>
                <w:szCs w:val="18"/>
                <w:color w:val="auto"/>
              </w:rPr>
              <w:t>801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(81,697)</w:t>
            </w: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40" w:type="dxa"/>
            <w:vAlign w:val="bottom"/>
          </w:tcPr>
          <w:p>
            <w:pPr>
              <w:spacing w:after="0"/>
              <w:rPr>
                <w:sz w:val="19"/>
                <w:szCs w:val="19"/>
                <w:color w:val="auto"/>
              </w:rPr>
            </w:pPr>
          </w:p>
        </w:tc>
        <w:tc>
          <w:tcPr>
            <w:tcW w:w="1780" w:type="dxa"/>
            <w:vAlign w:val="bottom"/>
          </w:tcPr>
          <w:p>
            <w:pPr>
              <w:jc w:val="center"/>
              <w:ind w:left="1171"/>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27"/>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center"/>
              <w:ind w:left="1151"/>
              <w:spacing w:after="0"/>
              <w:rPr>
                <w:sz w:val="20"/>
                <w:szCs w:val="20"/>
                <w:color w:val="auto"/>
              </w:rPr>
            </w:pPr>
            <w:r>
              <w:rPr>
                <w:rFonts w:ascii="Times New Roman" w:cs="Times New Roman" w:eastAsia="Times New Roman" w:hAnsi="Times New Roman"/>
                <w:sz w:val="18"/>
                <w:szCs w:val="18"/>
                <w:color w:val="auto"/>
                <w:w w:val="97"/>
              </w:rPr>
              <w:t>(112)</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67"/>
        </w:trPr>
        <w:tc>
          <w:tcPr>
            <w:tcW w:w="3200" w:type="dxa"/>
            <w:vAlign w:val="bottom"/>
          </w:tcPr>
          <w:p>
            <w:pPr>
              <w:ind w:left="140"/>
              <w:spacing w:after="0" w:line="167" w:lineRule="exact"/>
              <w:rPr>
                <w:sz w:val="20"/>
                <w:szCs w:val="20"/>
                <w:color w:val="auto"/>
              </w:rPr>
            </w:pPr>
            <w:r>
              <w:rPr>
                <w:rFonts w:ascii="Times New Roman" w:cs="Times New Roman" w:eastAsia="Times New Roman" w:hAnsi="Times New Roman"/>
                <w:sz w:val="18"/>
                <w:szCs w:val="18"/>
                <w:color w:val="auto"/>
                <w:w w:val="99"/>
              </w:rPr>
              <w:t>Other comprehensive income (loss), net of</w:t>
            </w: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40" w:type="dxa"/>
            <w:vAlign w:val="bottom"/>
          </w:tcPr>
          <w:p>
            <w:pPr>
              <w:spacing w:after="0"/>
              <w:rPr>
                <w:sz w:val="20"/>
                <w:szCs w:val="20"/>
                <w:color w:val="auto"/>
              </w:rPr>
            </w:pPr>
          </w:p>
        </w:tc>
        <w:tc>
          <w:tcPr>
            <w:tcW w:w="1780" w:type="dxa"/>
            <w:vAlign w:val="bottom"/>
          </w:tcPr>
          <w:p>
            <w:pPr>
              <w:jc w:val="center"/>
              <w:ind w:left="1171"/>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174"/>
        </w:trPr>
        <w:tc>
          <w:tcPr>
            <w:tcW w:w="32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780" w:type="dxa"/>
            <w:vAlign w:val="bottom"/>
            <w:shd w:val="clear" w:color="auto" w:fill="CCEEFF"/>
          </w:tcPr>
          <w:p>
            <w:pPr>
              <w:jc w:val="center"/>
              <w:ind w:left="1131"/>
              <w:spacing w:after="0"/>
              <w:rPr>
                <w:sz w:val="20"/>
                <w:szCs w:val="20"/>
                <w:color w:val="auto"/>
              </w:rPr>
            </w:pPr>
            <w:r>
              <w:rPr>
                <w:rFonts w:ascii="Times New Roman" w:cs="Times New Roman" w:eastAsia="Times New Roman" w:hAnsi="Times New Roman"/>
                <w:sz w:val="18"/>
                <w:szCs w:val="18"/>
                <w:color w:val="auto"/>
              </w:rPr>
              <w:t>(927)</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27"/>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left="1171"/>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167"/>
        </w:trPr>
        <w:tc>
          <w:tcPr>
            <w:tcW w:w="3200" w:type="dxa"/>
            <w:vAlign w:val="bottom"/>
            <w:shd w:val="clear" w:color="auto" w:fill="CCEEFF"/>
          </w:tcPr>
          <w:p>
            <w:pPr>
              <w:ind w:left="140"/>
              <w:spacing w:after="0" w:line="167"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2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20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center"/>
              <w:ind w:left="1131"/>
              <w:spacing w:after="0"/>
              <w:rPr>
                <w:sz w:val="20"/>
                <w:szCs w:val="20"/>
                <w:color w:val="auto"/>
              </w:rPr>
            </w:pPr>
            <w:r>
              <w:rPr>
                <w:rFonts w:ascii="Times New Roman" w:cs="Times New Roman" w:eastAsia="Times New Roman" w:hAnsi="Times New Roman"/>
                <w:sz w:val="18"/>
                <w:szCs w:val="18"/>
                <w:color w:val="auto"/>
              </w:rPr>
              <w:t>(674)</w:t>
            </w: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167"/>
        </w:trPr>
        <w:tc>
          <w:tcPr>
            <w:tcW w:w="3200" w:type="dxa"/>
            <w:vAlign w:val="bottom"/>
          </w:tcPr>
          <w:p>
            <w:pPr>
              <w:ind w:left="240"/>
              <w:spacing w:after="0" w:line="167" w:lineRule="exact"/>
              <w:rPr>
                <w:sz w:val="20"/>
                <w:szCs w:val="20"/>
                <w:color w:val="auto"/>
              </w:rPr>
            </w:pPr>
            <w:r>
              <w:rPr>
                <w:rFonts w:ascii="Times New Roman" w:cs="Times New Roman" w:eastAsia="Times New Roman" w:hAnsi="Times New Roman"/>
                <w:sz w:val="18"/>
                <w:szCs w:val="18"/>
                <w:color w:val="auto"/>
              </w:rPr>
              <w:t>Other comprehensive income (loss), net</w:t>
            </w: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of tax</w:t>
            </w: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left="1131"/>
              <w:spacing w:after="0"/>
              <w:rPr>
                <w:sz w:val="20"/>
                <w:szCs w:val="20"/>
                <w:color w:val="auto"/>
              </w:rPr>
            </w:pPr>
            <w:r>
              <w:rPr>
                <w:rFonts w:ascii="Times New Roman" w:cs="Times New Roman" w:eastAsia="Times New Roman" w:hAnsi="Times New Roman"/>
                <w:sz w:val="18"/>
                <w:szCs w:val="18"/>
                <w:color w:val="auto"/>
              </w:rPr>
              <w:t>(504)</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0" w:type="dxa"/>
            <w:vAlign w:val="bottom"/>
          </w:tcPr>
          <w:p>
            <w:pPr>
              <w:spacing w:after="0"/>
              <w:rPr>
                <w:sz w:val="1"/>
                <w:szCs w:val="1"/>
                <w:color w:val="auto"/>
              </w:rPr>
            </w:pPr>
          </w:p>
        </w:tc>
      </w:tr>
      <w:tr>
        <w:trPr>
          <w:trHeight w:val="227"/>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center"/>
              <w:ind w:left="1171"/>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(84,176)</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three months ended March 31, 2023.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vMerge w:val="restart"/>
          </w:tcPr>
          <w:p>
            <w:pPr>
              <w:jc w:val="right"/>
              <w:ind w:right="211"/>
              <w:spacing w:after="0"/>
              <w:rPr>
                <w:sz w:val="20"/>
                <w:szCs w:val="20"/>
                <w:color w:val="auto"/>
              </w:rPr>
            </w:pPr>
            <w:r>
              <w:rPr>
                <w:rFonts w:ascii="Times New Roman" w:cs="Times New Roman" w:eastAsia="Times New Roman" w:hAnsi="Times New Roman"/>
                <w:sz w:val="18"/>
                <w:szCs w:val="18"/>
                <w:color w:val="auto"/>
              </w:rPr>
              <w:t>Foreign Currency</w:t>
            </w:r>
          </w:p>
        </w:tc>
        <w:tc>
          <w:tcPr>
            <w:tcW w:w="2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center"/>
              <w:ind w:right="111"/>
              <w:spacing w:after="0" w:line="201" w:lineRule="exact"/>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11"/>
              <w:spacing w:after="0" w:line="201" w:lineRule="exact"/>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74"/>
        </w:trPr>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center"/>
              <w:ind w:right="131"/>
              <w:spacing w:after="0" w:line="174" w:lineRule="exact"/>
              <w:rPr>
                <w:sz w:val="20"/>
                <w:szCs w:val="20"/>
                <w:color w:val="auto"/>
              </w:rPr>
            </w:pPr>
            <w:r>
              <w:rPr>
                <w:rFonts w:ascii="Times New Roman" w:cs="Times New Roman" w:eastAsia="Times New Roman" w:hAnsi="Times New Roman"/>
                <w:sz w:val="18"/>
                <w:szCs w:val="18"/>
                <w:color w:val="auto"/>
                <w:w w:val="98"/>
              </w:rPr>
              <w:t>Derivative Financial</w:t>
            </w:r>
          </w:p>
        </w:tc>
        <w:tc>
          <w:tcPr>
            <w:tcW w:w="200" w:type="dxa"/>
            <w:vAlign w:val="bottom"/>
          </w:tcPr>
          <w:p>
            <w:pPr>
              <w:spacing w:after="0"/>
              <w:rPr>
                <w:sz w:val="15"/>
                <w:szCs w:val="15"/>
                <w:color w:val="auto"/>
              </w:rPr>
            </w:pPr>
          </w:p>
        </w:tc>
        <w:tc>
          <w:tcPr>
            <w:tcW w:w="1420" w:type="dxa"/>
            <w:vAlign w:val="bottom"/>
          </w:tcPr>
          <w:p>
            <w:pPr>
              <w:jc w:val="right"/>
              <w:ind w:right="191"/>
              <w:spacing w:after="0" w:line="174" w:lineRule="exact"/>
              <w:rPr>
                <w:sz w:val="20"/>
                <w:szCs w:val="20"/>
                <w:color w:val="auto"/>
              </w:rPr>
            </w:pPr>
            <w:r>
              <w:rPr>
                <w:rFonts w:ascii="Times New Roman" w:cs="Times New Roman" w:eastAsia="Times New Roman" w:hAnsi="Times New Roman"/>
                <w:sz w:val="18"/>
                <w:szCs w:val="18"/>
                <w:color w:val="auto"/>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Translation</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Benefit Adjust</w:t>
            </w:r>
          </w:p>
        </w:tc>
        <w:tc>
          <w:tcPr>
            <w:tcW w:w="2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(86,079)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(147,595)</w:t>
            </w:r>
          </w:p>
        </w:tc>
        <w:tc>
          <w:tcPr>
            <w:tcW w:w="0" w:type="dxa"/>
            <w:vAlign w:val="bottom"/>
          </w:tcPr>
          <w:p>
            <w:pPr>
              <w:spacing w:after="0"/>
              <w:rPr>
                <w:sz w:val="1"/>
                <w:szCs w:val="1"/>
                <w:color w:val="auto"/>
              </w:rPr>
            </w:pPr>
          </w:p>
        </w:tc>
      </w:tr>
      <w:tr>
        <w:trPr>
          <w:trHeight w:val="227"/>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1,557</w:t>
            </w:r>
          </w:p>
        </w:tc>
        <w:tc>
          <w:tcPr>
            <w:tcW w:w="220" w:type="dxa"/>
            <w:vAlign w:val="bottom"/>
          </w:tcPr>
          <w:p>
            <w:pPr>
              <w:spacing w:after="0"/>
              <w:rPr>
                <w:sz w:val="19"/>
                <w:szCs w:val="19"/>
                <w:color w:val="auto"/>
              </w:rPr>
            </w:pPr>
          </w:p>
        </w:tc>
        <w:tc>
          <w:tcPr>
            <w:tcW w:w="1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3,078</w:t>
            </w:r>
          </w:p>
        </w:tc>
        <w:tc>
          <w:tcPr>
            <w:tcW w:w="20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0" w:type="dxa"/>
            <w:vAlign w:val="bottom"/>
          </w:tcPr>
          <w:p>
            <w:pPr>
              <w:spacing w:after="0"/>
              <w:rPr>
                <w:sz w:val="1"/>
                <w:szCs w:val="1"/>
                <w:color w:val="auto"/>
              </w:rPr>
            </w:pPr>
          </w:p>
        </w:tc>
      </w:tr>
      <w:tr>
        <w:trPr>
          <w:trHeight w:val="227"/>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21"/>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6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tcPr>
          <w:p>
            <w:pPr>
              <w:spacing w:after="0"/>
              <w:rPr>
                <w:sz w:val="19"/>
                <w:szCs w:val="19"/>
                <w:color w:val="auto"/>
              </w:rPr>
            </w:pPr>
          </w:p>
        </w:tc>
        <w:tc>
          <w:tcPr>
            <w:tcW w:w="1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1,991</w:t>
            </w:r>
          </w:p>
        </w:tc>
        <w:tc>
          <w:tcPr>
            <w:tcW w:w="20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22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Reclassification adjustment to net income (loss)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2,924</w:t>
            </w:r>
          </w:p>
        </w:tc>
        <w:tc>
          <w:tcPr>
            <w:tcW w:w="24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27"/>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167"/>
        </w:trPr>
        <w:tc>
          <w:tcPr>
            <w:tcW w:w="3480" w:type="dxa"/>
            <w:vAlign w:val="bottom"/>
            <w:shd w:val="clear" w:color="auto" w:fill="CCEEFF"/>
          </w:tcPr>
          <w:p>
            <w:pPr>
              <w:ind w:left="140"/>
              <w:spacing w:after="0" w:line="167"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2,287</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167"/>
        </w:trPr>
        <w:tc>
          <w:tcPr>
            <w:tcW w:w="3480" w:type="dxa"/>
            <w:vAlign w:val="bottom"/>
          </w:tcPr>
          <w:p>
            <w:pPr>
              <w:ind w:left="240"/>
              <w:spacing w:after="0" w:line="167"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1,269</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2,287</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0" w:type="dxa"/>
            <w:vAlign w:val="bottom"/>
          </w:tcPr>
          <w:p>
            <w:pPr>
              <w:spacing w:after="0"/>
              <w:rPr>
                <w:sz w:val="1"/>
                <w:szCs w:val="1"/>
                <w:color w:val="auto"/>
              </w:rPr>
            </w:pPr>
          </w:p>
        </w:tc>
      </w:tr>
      <w:tr>
        <w:trPr>
          <w:trHeight w:val="227"/>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(84,959)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(142,919)</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20" w:firstLine="401"/>
        <w:spacing w:after="0" w:line="278"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income (loss) related to pension and other postretirement benefits is included in the computation of net periodic pension costs. See Note 4 for additional details.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w:t>
      </w:r>
    </w:p>
    <w:p>
      <w:pPr>
        <w:spacing w:after="0" w:line="105" w:lineRule="exact"/>
        <w:rPr>
          <w:sz w:val="20"/>
          <w:szCs w:val="20"/>
          <w:color w:val="auto"/>
        </w:rPr>
      </w:pPr>
    </w:p>
    <w:p>
      <w:pPr>
        <w:ind w:right="180" w:firstLine="401"/>
        <w:spacing w:after="0" w:line="255" w:lineRule="auto"/>
        <w:rPr>
          <w:sz w:val="20"/>
          <w:szCs w:val="20"/>
          <w:color w:val="auto"/>
        </w:rPr>
      </w:pPr>
      <w:r>
        <w:rPr>
          <w:rFonts w:ascii="Times New Roman" w:cs="Times New Roman" w:eastAsia="Times New Roman" w:hAnsi="Times New Roman"/>
          <w:sz w:val="18"/>
          <w:szCs w:val="18"/>
          <w:color w:val="auto"/>
        </w:rPr>
        <w:t>Tredegar uses derivative financial instruments for the purpose of hedging margin exposure from fixed-price forward sales contracts in Aluminum Extrusions and exposure from currency volatility that exists as part of ongoing business operations in Flexible Packaging Films. These derivative financial instruments are designated as and qualify as cash flow hedges and are recognized in the condensed consolidated balance sheet at fair value. If individual derivative instruments with the same counterparty can be settled on a net basis, the Company records the corresponding derivative fair values as a net asset or net liability.</w:t>
      </w:r>
    </w:p>
    <w:p>
      <w:pPr>
        <w:spacing w:after="0" w:line="51" w:lineRule="exact"/>
        <w:rPr>
          <w:sz w:val="20"/>
          <w:szCs w:val="20"/>
          <w:color w:val="auto"/>
        </w:rPr>
      </w:pPr>
    </w:p>
    <w:p>
      <w:pPr>
        <w:ind w:right="60" w:firstLine="401"/>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Aluminum Extrusions enters into fixed-price forward sales contracts with a small subset of its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1" w:name="page12"/>
    <w:bookmarkEnd w:id="11"/>
    <w:p>
      <w:pPr>
        <w:ind w:right="200"/>
        <w:spacing w:after="0" w:line="258" w:lineRule="auto"/>
        <w:rPr>
          <w:sz w:val="20"/>
          <w:szCs w:val="20"/>
          <w:color w:val="auto"/>
        </w:rPr>
      </w:pPr>
      <w:r>
        <w:rPr>
          <w:rFonts w:ascii="Times New Roman" w:cs="Times New Roman" w:eastAsia="Times New Roman" w:hAnsi="Times New Roman"/>
          <w:sz w:val="18"/>
          <w:szCs w:val="18"/>
          <w:color w:val="auto"/>
        </w:rPr>
        <w:t>scheduled purchases for the firm sales commitments. The fixed-price firm sales commitments and related hedging instruments have durations generally no longer than 12 months. The notional amount of aluminum futures contracts that hedged future purchases of aluminum to meet fixed-price forward sales contract obligations was $6.8 million (5.1 million pounds of aluminum) at March 31, 2024 and $7.7 million (5.6 million pounds of aluminum) at December 31, 2023.</w:t>
      </w:r>
    </w:p>
    <w:p>
      <w:pPr>
        <w:spacing w:after="0" w:line="46" w:lineRule="exact"/>
        <w:rPr>
          <w:sz w:val="20"/>
          <w:szCs w:val="20"/>
          <w:color w:val="auto"/>
        </w:rPr>
      </w:pPr>
    </w:p>
    <w:p>
      <w:pPr>
        <w:ind w:right="140" w:firstLine="401"/>
        <w:spacing w:after="0" w:line="274" w:lineRule="auto"/>
        <w:rPr>
          <w:sz w:val="20"/>
          <w:szCs w:val="20"/>
          <w:color w:val="auto"/>
        </w:rPr>
      </w:pPr>
      <w:r>
        <w:rPr>
          <w:rFonts w:ascii="Times New Roman" w:cs="Times New Roman" w:eastAsia="Times New Roman" w:hAnsi="Times New Roman"/>
          <w:sz w:val="18"/>
          <w:szCs w:val="18"/>
          <w:color w:val="auto"/>
        </w:rPr>
        <w:t>The table below summarizes the location and gross amounts of aluminum futures contract fair values (Level 2) in the condensed consolidated balance sheets as of March 31, 2024 and December 31, 2023:</w:t>
      </w:r>
    </w:p>
    <w:tbl>
      <w:tblPr>
        <w:tblLayout w:type="fixed"/>
        <w:tblInd w:w="0" w:type="dxa"/>
        <w:tblCellMar>
          <w:top w:w="0" w:type="dxa"/>
          <w:left w:w="0" w:type="dxa"/>
          <w:bottom w:w="0" w:type="dxa"/>
          <w:right w:w="0" w:type="dxa"/>
        </w:tblCellMar>
      </w:tblPr>
      <w:tr>
        <w:trPr>
          <w:trHeight w:val="235"/>
        </w:trPr>
        <w:tc>
          <w:tcPr>
            <w:tcW w:w="5180" w:type="dxa"/>
            <w:vAlign w:val="bottom"/>
            <w:tcBorders>
              <w:top w:val="single" w:sz="8" w:color="auto"/>
            </w:tcBorders>
          </w:tcPr>
          <w:p>
            <w:pPr>
              <w:spacing w:after="0"/>
              <w:rPr>
                <w:sz w:val="20"/>
                <w:szCs w:val="20"/>
                <w:color w:val="auto"/>
              </w:rPr>
            </w:pPr>
          </w:p>
        </w:tc>
        <w:tc>
          <w:tcPr>
            <w:tcW w:w="2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March 31, 2024</w:t>
            </w:r>
          </w:p>
        </w:tc>
        <w:tc>
          <w:tcPr>
            <w:tcW w:w="8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740" w:type="dxa"/>
            <w:vAlign w:val="bottom"/>
            <w:tcBorders>
              <w:top w:val="single" w:sz="8" w:color="auto"/>
              <w:bottom w:val="single" w:sz="8" w:color="auto"/>
            </w:tcBorders>
          </w:tcPr>
          <w:p>
            <w:pPr>
              <w:spacing w:after="0"/>
              <w:rPr>
                <w:sz w:val="20"/>
                <w:szCs w:val="20"/>
                <w:color w:val="auto"/>
              </w:rPr>
            </w:pPr>
          </w:p>
        </w:tc>
      </w:tr>
      <w:tr>
        <w:trPr>
          <w:trHeight w:val="176"/>
        </w:trPr>
        <w:tc>
          <w:tcPr>
            <w:tcW w:w="5180" w:type="dxa"/>
            <w:vAlign w:val="bottom"/>
          </w:tcPr>
          <w:p>
            <w:pPr>
              <w:spacing w:after="0"/>
              <w:rPr>
                <w:sz w:val="15"/>
                <w:szCs w:val="15"/>
                <w:color w:val="auto"/>
              </w:rPr>
            </w:pPr>
          </w:p>
        </w:tc>
        <w:tc>
          <w:tcPr>
            <w:tcW w:w="2180" w:type="dxa"/>
            <w:vAlign w:val="bottom"/>
          </w:tcPr>
          <w:p>
            <w:pPr>
              <w:jc w:val="center"/>
              <w:ind w:right="211"/>
              <w:spacing w:after="0" w:line="176" w:lineRule="exact"/>
              <w:rPr>
                <w:sz w:val="20"/>
                <w:szCs w:val="20"/>
                <w:color w:val="auto"/>
              </w:rPr>
            </w:pPr>
            <w:r>
              <w:rPr>
                <w:rFonts w:ascii="Times New Roman" w:cs="Times New Roman" w:eastAsia="Times New Roman" w:hAnsi="Times New Roman"/>
                <w:sz w:val="18"/>
                <w:szCs w:val="18"/>
                <w:color w:val="auto"/>
                <w:w w:val="97"/>
              </w:rPr>
              <w:t>Balance Sheet</w:t>
            </w:r>
          </w:p>
        </w:tc>
        <w:tc>
          <w:tcPr>
            <w:tcW w:w="800" w:type="dxa"/>
            <w:vAlign w:val="bottom"/>
          </w:tcPr>
          <w:p>
            <w:pPr>
              <w:jc w:val="center"/>
              <w:ind w:right="111"/>
              <w:spacing w:after="0" w:line="176"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5"/>
                <w:szCs w:val="15"/>
                <w:color w:val="auto"/>
              </w:rPr>
            </w:pPr>
          </w:p>
        </w:tc>
        <w:tc>
          <w:tcPr>
            <w:tcW w:w="2240" w:type="dxa"/>
            <w:vAlign w:val="bottom"/>
          </w:tcPr>
          <w:p>
            <w:pPr>
              <w:jc w:val="center"/>
              <w:ind w:right="271"/>
              <w:spacing w:after="0" w:line="176" w:lineRule="exact"/>
              <w:rPr>
                <w:sz w:val="20"/>
                <w:szCs w:val="20"/>
                <w:color w:val="auto"/>
              </w:rPr>
            </w:pPr>
            <w:r>
              <w:rPr>
                <w:rFonts w:ascii="Times New Roman" w:cs="Times New Roman" w:eastAsia="Times New Roman" w:hAnsi="Times New Roman"/>
                <w:sz w:val="18"/>
                <w:szCs w:val="18"/>
                <w:color w:val="auto"/>
                <w:w w:val="97"/>
              </w:rPr>
              <w:t>Balance Sheet</w:t>
            </w:r>
          </w:p>
        </w:tc>
        <w:tc>
          <w:tcPr>
            <w:tcW w:w="740" w:type="dxa"/>
            <w:vAlign w:val="bottom"/>
          </w:tcPr>
          <w:p>
            <w:pPr>
              <w:jc w:val="right"/>
              <w:ind w:right="271"/>
              <w:spacing w:after="0" w:line="176" w:lineRule="exact"/>
              <w:rPr>
                <w:sz w:val="20"/>
                <w:szCs w:val="20"/>
                <w:color w:val="auto"/>
              </w:rPr>
            </w:pPr>
            <w:r>
              <w:rPr>
                <w:rFonts w:ascii="Times New Roman" w:cs="Times New Roman" w:eastAsia="Times New Roman" w:hAnsi="Times New Roman"/>
                <w:sz w:val="18"/>
                <w:szCs w:val="18"/>
                <w:color w:val="auto"/>
              </w:rPr>
              <w:t>Fair</w:t>
            </w:r>
          </w:p>
        </w:tc>
      </w:tr>
      <w:tr>
        <w:trPr>
          <w:trHeight w:val="232"/>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1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w w:val="98"/>
              </w:rPr>
              <w:t>Account</w:t>
            </w: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2"/>
              </w:rPr>
              <w:t>Value</w:t>
            </w:r>
          </w:p>
        </w:tc>
        <w:tc>
          <w:tcPr>
            <w:tcW w:w="224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8"/>
                <w:szCs w:val="18"/>
                <w:color w:val="auto"/>
                <w:w w:val="98"/>
              </w:rPr>
              <w:t>Account</w:t>
            </w: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2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182"/>
        </w:trPr>
        <w:tc>
          <w:tcPr>
            <w:tcW w:w="51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Asset derivatives:</w:t>
            </w:r>
          </w:p>
        </w:tc>
        <w:tc>
          <w:tcPr>
            <w:tcW w:w="2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2"/>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218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24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2"/>
        </w:trPr>
        <w:tc>
          <w:tcPr>
            <w:tcW w:w="51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Liability derivatives:</w:t>
            </w:r>
          </w:p>
        </w:tc>
        <w:tc>
          <w:tcPr>
            <w:tcW w:w="2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32"/>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2180" w:type="dxa"/>
            <w:vAlign w:val="bottom"/>
            <w:shd w:val="clear" w:color="auto" w:fill="CCEEFF"/>
          </w:tcPr>
          <w:p>
            <w:pPr>
              <w:jc w:val="center"/>
              <w:ind w:right="211"/>
              <w:spacing w:after="0"/>
              <w:rPr>
                <w:sz w:val="20"/>
                <w:szCs w:val="20"/>
                <w:color w:val="auto"/>
              </w:rPr>
            </w:pPr>
            <w:r>
              <w:rPr>
                <w:rFonts w:ascii="Times New Roman" w:cs="Times New Roman" w:eastAsia="Times New Roman" w:hAnsi="Times New Roman"/>
                <w:sz w:val="18"/>
                <w:szCs w:val="18"/>
                <w:color w:val="auto"/>
                <w:w w:val="98"/>
              </w:rPr>
              <w:t>Accrued expenses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jc w:val="center"/>
              <w:ind w:right="271"/>
              <w:spacing w:after="0"/>
              <w:rPr>
                <w:sz w:val="20"/>
                <w:szCs w:val="20"/>
                <w:color w:val="auto"/>
              </w:rPr>
            </w:pPr>
            <w:r>
              <w:rPr>
                <w:rFonts w:ascii="Times New Roman" w:cs="Times New Roman" w:eastAsia="Times New Roman" w:hAnsi="Times New Roman"/>
                <w:sz w:val="18"/>
                <w:szCs w:val="18"/>
                <w:color w:val="auto"/>
                <w:w w:val="98"/>
              </w:rPr>
              <w:t>Accrued expenses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182"/>
        </w:trPr>
        <w:tc>
          <w:tcPr>
            <w:tcW w:w="5180" w:type="dxa"/>
            <w:vAlign w:val="bottom"/>
          </w:tcPr>
          <w:p>
            <w:pPr>
              <w:spacing w:after="0"/>
              <w:rPr>
                <w:sz w:val="15"/>
                <w:szCs w:val="15"/>
                <w:color w:val="auto"/>
              </w:rPr>
            </w:pPr>
          </w:p>
        </w:tc>
        <w:tc>
          <w:tcPr>
            <w:tcW w:w="2180" w:type="dxa"/>
            <w:vAlign w:val="bottom"/>
          </w:tcPr>
          <w:p>
            <w:pPr>
              <w:jc w:val="center"/>
              <w:ind w:right="211"/>
              <w:spacing w:after="0" w:line="182" w:lineRule="exact"/>
              <w:rPr>
                <w:sz w:val="20"/>
                <w:szCs w:val="20"/>
                <w:color w:val="auto"/>
              </w:rPr>
            </w:pPr>
            <w:r>
              <w:rPr>
                <w:rFonts w:ascii="Times New Roman" w:cs="Times New Roman" w:eastAsia="Times New Roman" w:hAnsi="Times New Roman"/>
                <w:sz w:val="18"/>
                <w:szCs w:val="18"/>
                <w:color w:val="auto"/>
                <w:w w:val="98"/>
              </w:rPr>
              <w:t>Other non-current</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jc w:val="center"/>
              <w:ind w:right="271"/>
              <w:spacing w:after="0" w:line="182" w:lineRule="exact"/>
              <w:rPr>
                <w:sz w:val="20"/>
                <w:szCs w:val="20"/>
                <w:color w:val="auto"/>
              </w:rPr>
            </w:pPr>
            <w:r>
              <w:rPr>
                <w:rFonts w:ascii="Times New Roman" w:cs="Times New Roman" w:eastAsia="Times New Roman" w:hAnsi="Times New Roman"/>
                <w:sz w:val="18"/>
                <w:szCs w:val="18"/>
                <w:color w:val="auto"/>
                <w:w w:val="98"/>
              </w:rPr>
              <w:t>Other non-current</w:t>
            </w:r>
          </w:p>
        </w:tc>
        <w:tc>
          <w:tcPr>
            <w:tcW w:w="740" w:type="dxa"/>
            <w:vAlign w:val="bottom"/>
          </w:tcPr>
          <w:p>
            <w:pPr>
              <w:spacing w:after="0"/>
              <w:rPr>
                <w:sz w:val="15"/>
                <w:szCs w:val="15"/>
                <w:color w:val="auto"/>
              </w:rPr>
            </w:pPr>
          </w:p>
        </w:tc>
      </w:tr>
      <w:tr>
        <w:trPr>
          <w:trHeight w:val="232"/>
        </w:trPr>
        <w:tc>
          <w:tcPr>
            <w:tcW w:w="5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21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rPr>
              <w:t>liabilities</w:t>
            </w:r>
          </w:p>
        </w:tc>
        <w:tc>
          <w:tcPr>
            <w:tcW w:w="9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8"/>
                <w:szCs w:val="18"/>
                <w:color w:val="auto"/>
              </w:rPr>
              <w:t>liabilities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7"/>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(liability)</w:t>
            </w:r>
          </w:p>
        </w:tc>
        <w:tc>
          <w:tcPr>
            <w:tcW w:w="2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bl>
    <w:p>
      <w:pPr>
        <w:spacing w:after="0" w:line="169" w:lineRule="exact"/>
        <w:rPr>
          <w:sz w:val="20"/>
          <w:szCs w:val="20"/>
          <w:color w:val="auto"/>
        </w:rPr>
      </w:pPr>
    </w:p>
    <w:p>
      <w:pPr>
        <w:ind w:right="20" w:firstLine="401"/>
        <w:spacing w:after="0" w:line="263" w:lineRule="auto"/>
        <w:rPr>
          <w:sz w:val="20"/>
          <w:szCs w:val="20"/>
          <w:color w:val="auto"/>
        </w:rPr>
      </w:pPr>
      <w:r>
        <w:rPr>
          <w:rFonts w:ascii="Times New Roman" w:cs="Times New Roman" w:eastAsia="Times New Roman" w:hAnsi="Times New Roman"/>
          <w:sz w:val="18"/>
          <w:szCs w:val="18"/>
          <w:color w:val="auto"/>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spacing w:after="0" w:line="42" w:lineRule="exact"/>
        <w:rPr>
          <w:sz w:val="20"/>
          <w:szCs w:val="20"/>
          <w:color w:val="auto"/>
        </w:rPr>
      </w:pPr>
    </w:p>
    <w:p>
      <w:pPr>
        <w:ind w:right="60" w:firstLine="401"/>
        <w:spacing w:after="0" w:line="255" w:lineRule="auto"/>
        <w:rPr>
          <w:sz w:val="20"/>
          <w:szCs w:val="20"/>
          <w:color w:val="auto"/>
        </w:rPr>
      </w:pPr>
      <w:r>
        <w:rPr>
          <w:rFonts w:ascii="Times New Roman" w:cs="Times New Roman" w:eastAsia="Times New Roman" w:hAnsi="Times New Roman"/>
          <w:sz w:val="18"/>
          <w:szCs w:val="18"/>
          <w:color w:val="auto"/>
        </w:rPr>
        <w:t>The Company's earnings are exposed to foreign currency exchange risk primarily through the translation of the financial statements of subsidiaries that have a functional currency other than the U.S. Dollar. The Company estimates that the net mismatch translation exposure for the Flexible Packaging Film's business unit in Brazil (“Terphane Ltda.”) of its sales and raw materials quoted or priced in U.S. Dollars and its variable conversion, fixed conversion and sales, general and administrative costs (before depreciation and amortization) quoted or priced in Brazilian Real ("R$") will result in an annual net cost of R$139 million for the full year of 2024.</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Terphane Ltda. had the following outstanding foreign exchange average forward rate contracts to purchase Brazilian Real and sell U.S. Dollars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32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Average Forward Rate</w:t>
            </w:r>
          </w:p>
        </w:tc>
        <w:tc>
          <w:tcPr>
            <w:tcW w:w="254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tcPr>
          <w:p>
            <w:pPr>
              <w:jc w:val="center"/>
              <w:ind w:left="31"/>
              <w:spacing w:after="0" w:line="201" w:lineRule="exact"/>
              <w:rPr>
                <w:sz w:val="20"/>
                <w:szCs w:val="20"/>
                <w:color w:val="auto"/>
              </w:rPr>
            </w:pPr>
            <w:r>
              <w:rPr>
                <w:rFonts w:ascii="Times New Roman" w:cs="Times New Roman" w:eastAsia="Times New Roman" w:hAnsi="Times New Roman"/>
                <w:sz w:val="18"/>
                <w:szCs w:val="18"/>
                <w:color w:val="auto"/>
                <w:w w:val="98"/>
              </w:rPr>
              <w:t>Estimated % of Terphane</w:t>
            </w:r>
          </w:p>
        </w:tc>
        <w:tc>
          <w:tcPr>
            <w:tcW w:w="0" w:type="dxa"/>
            <w:vAlign w:val="bottom"/>
          </w:tcPr>
          <w:p>
            <w:pPr>
              <w:spacing w:after="0"/>
              <w:rPr>
                <w:sz w:val="1"/>
                <w:szCs w:val="1"/>
                <w:color w:val="auto"/>
              </w:rPr>
            </w:pPr>
          </w:p>
        </w:tc>
      </w:tr>
      <w:tr>
        <w:trPr>
          <w:trHeight w:val="174"/>
        </w:trPr>
        <w:tc>
          <w:tcPr>
            <w:tcW w:w="2320" w:type="dxa"/>
            <w:vAlign w:val="bottom"/>
          </w:tcPr>
          <w:p>
            <w:pPr>
              <w:spacing w:after="0"/>
              <w:rPr>
                <w:sz w:val="15"/>
                <w:szCs w:val="15"/>
                <w:color w:val="auto"/>
              </w:rPr>
            </w:pPr>
          </w:p>
        </w:tc>
        <w:tc>
          <w:tcPr>
            <w:tcW w:w="206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360" w:type="dxa"/>
            <w:vAlign w:val="bottom"/>
          </w:tcPr>
          <w:p>
            <w:pPr>
              <w:jc w:val="center"/>
              <w:ind w:left="31"/>
              <w:spacing w:after="0" w:line="174" w:lineRule="exact"/>
              <w:rPr>
                <w:sz w:val="20"/>
                <w:szCs w:val="20"/>
                <w:color w:val="auto"/>
              </w:rPr>
            </w:pPr>
            <w:r>
              <w:rPr>
                <w:rFonts w:ascii="Times New Roman" w:cs="Times New Roman" w:eastAsia="Times New Roman" w:hAnsi="Times New Roman"/>
                <w:sz w:val="18"/>
                <w:szCs w:val="18"/>
                <w:color w:val="auto"/>
                <w:w w:val="99"/>
              </w:rPr>
              <w:t>Ltda. R$ Operating Cost</w:t>
            </w:r>
          </w:p>
        </w:tc>
        <w:tc>
          <w:tcPr>
            <w:tcW w:w="0" w:type="dxa"/>
            <w:vAlign w:val="bottom"/>
          </w:tcPr>
          <w:p>
            <w:pPr>
              <w:spacing w:after="0"/>
              <w:rPr>
                <w:sz w:val="1"/>
                <w:szCs w:val="1"/>
                <w:color w:val="auto"/>
              </w:rPr>
            </w:pPr>
          </w:p>
        </w:tc>
      </w:tr>
      <w:tr>
        <w:trPr>
          <w:trHeight w:val="241"/>
        </w:trPr>
        <w:tc>
          <w:tcPr>
            <w:tcW w:w="2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USD Notional Amount (000s)</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Contracted on USD/BRL</w:t>
            </w:r>
          </w:p>
        </w:tc>
        <w:tc>
          <w:tcPr>
            <w:tcW w:w="25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8"/>
              </w:rPr>
              <w:t>R$ Equivalent Amount (000s)</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Applicable Month</w:t>
            </w:r>
          </w:p>
        </w:tc>
        <w:tc>
          <w:tcPr>
            <w:tcW w:w="236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9"/>
              </w:rPr>
              <w:t>Exposure Hedged</w:t>
            </w:r>
          </w:p>
        </w:tc>
        <w:tc>
          <w:tcPr>
            <w:tcW w:w="0" w:type="dxa"/>
            <w:vAlign w:val="bottom"/>
          </w:tcPr>
          <w:p>
            <w:pPr>
              <w:spacing w:after="0"/>
              <w:rPr>
                <w:sz w:val="1"/>
                <w:szCs w:val="1"/>
                <w:color w:val="auto"/>
              </w:rPr>
            </w:pPr>
          </w:p>
        </w:tc>
      </w:tr>
      <w:tr>
        <w:trPr>
          <w:trHeight w:val="221"/>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$1,827</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5.3373</w:t>
            </w:r>
          </w:p>
        </w:tc>
        <w:tc>
          <w:tcPr>
            <w:tcW w:w="254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R$9,751</w:t>
            </w:r>
          </w:p>
        </w:tc>
        <w:tc>
          <w:tcPr>
            <w:tcW w:w="190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Apr-24</w:t>
            </w:r>
          </w:p>
        </w:tc>
        <w:tc>
          <w:tcPr>
            <w:tcW w:w="23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84%</w:t>
            </w:r>
          </w:p>
        </w:tc>
        <w:tc>
          <w:tcPr>
            <w:tcW w:w="0" w:type="dxa"/>
            <w:vAlign w:val="bottom"/>
          </w:tcPr>
          <w:p>
            <w:pPr>
              <w:spacing w:after="0"/>
              <w:rPr>
                <w:sz w:val="1"/>
                <w:szCs w:val="1"/>
                <w:color w:val="auto"/>
              </w:rPr>
            </w:pPr>
          </w:p>
        </w:tc>
      </w:tr>
      <w:tr>
        <w:trPr>
          <w:trHeight w:val="227"/>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$1,798</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5.3588</w:t>
            </w:r>
          </w:p>
        </w:tc>
        <w:tc>
          <w:tcPr>
            <w:tcW w:w="25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R$9,635</w:t>
            </w:r>
          </w:p>
        </w:tc>
        <w:tc>
          <w:tcPr>
            <w:tcW w:w="19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8"/>
              </w:rPr>
              <w:t>May-24</w:t>
            </w:r>
          </w:p>
        </w:tc>
        <w:tc>
          <w:tcPr>
            <w:tcW w:w="23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83%</w:t>
            </w:r>
          </w:p>
        </w:tc>
        <w:tc>
          <w:tcPr>
            <w:tcW w:w="0" w:type="dxa"/>
            <w:vAlign w:val="bottom"/>
          </w:tcPr>
          <w:p>
            <w:pPr>
              <w:spacing w:after="0"/>
              <w:rPr>
                <w:sz w:val="1"/>
                <w:szCs w:val="1"/>
                <w:color w:val="auto"/>
              </w:rPr>
            </w:pPr>
          </w:p>
        </w:tc>
      </w:tr>
      <w:tr>
        <w:trPr>
          <w:trHeight w:val="227"/>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$1,812</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5.3708</w:t>
            </w:r>
          </w:p>
        </w:tc>
        <w:tc>
          <w:tcPr>
            <w:tcW w:w="254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R$9,732</w:t>
            </w:r>
          </w:p>
        </w:tc>
        <w:tc>
          <w:tcPr>
            <w:tcW w:w="190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7"/>
              </w:rPr>
              <w:t>Jun-24</w:t>
            </w:r>
          </w:p>
        </w:tc>
        <w:tc>
          <w:tcPr>
            <w:tcW w:w="23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84%</w:t>
            </w:r>
          </w:p>
        </w:tc>
        <w:tc>
          <w:tcPr>
            <w:tcW w:w="0" w:type="dxa"/>
            <w:vAlign w:val="bottom"/>
          </w:tcPr>
          <w:p>
            <w:pPr>
              <w:spacing w:after="0"/>
              <w:rPr>
                <w:sz w:val="1"/>
                <w:szCs w:val="1"/>
                <w:color w:val="auto"/>
              </w:rPr>
            </w:pPr>
          </w:p>
        </w:tc>
      </w:tr>
      <w:tr>
        <w:trPr>
          <w:trHeight w:val="227"/>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$1,804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5.3848</w:t>
            </w:r>
          </w:p>
        </w:tc>
        <w:tc>
          <w:tcPr>
            <w:tcW w:w="25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R$9,714</w:t>
            </w:r>
          </w:p>
        </w:tc>
        <w:tc>
          <w:tcPr>
            <w:tcW w:w="19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Jul-24</w:t>
            </w:r>
          </w:p>
        </w:tc>
        <w:tc>
          <w:tcPr>
            <w:tcW w:w="23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84%</w:t>
            </w:r>
          </w:p>
        </w:tc>
        <w:tc>
          <w:tcPr>
            <w:tcW w:w="0" w:type="dxa"/>
            <w:vAlign w:val="bottom"/>
          </w:tcPr>
          <w:p>
            <w:pPr>
              <w:spacing w:after="0"/>
              <w:rPr>
                <w:sz w:val="1"/>
                <w:szCs w:val="1"/>
                <w:color w:val="auto"/>
              </w:rPr>
            </w:pPr>
          </w:p>
        </w:tc>
      </w:tr>
      <w:tr>
        <w:trPr>
          <w:trHeight w:val="227"/>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$1,806</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5.4014</w:t>
            </w:r>
          </w:p>
        </w:tc>
        <w:tc>
          <w:tcPr>
            <w:tcW w:w="254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R$9,755</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Aug-24</w:t>
            </w:r>
          </w:p>
        </w:tc>
        <w:tc>
          <w:tcPr>
            <w:tcW w:w="23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84%</w:t>
            </w:r>
          </w:p>
        </w:tc>
        <w:tc>
          <w:tcPr>
            <w:tcW w:w="0" w:type="dxa"/>
            <w:vAlign w:val="bottom"/>
          </w:tcPr>
          <w:p>
            <w:pPr>
              <w:spacing w:after="0"/>
              <w:rPr>
                <w:sz w:val="1"/>
                <w:szCs w:val="1"/>
                <w:color w:val="auto"/>
              </w:rPr>
            </w:pPr>
          </w:p>
        </w:tc>
      </w:tr>
      <w:tr>
        <w:trPr>
          <w:trHeight w:val="227"/>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$1,857</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5.4107</w:t>
            </w:r>
          </w:p>
        </w:tc>
        <w:tc>
          <w:tcPr>
            <w:tcW w:w="25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R$10,048</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Sep-24</w:t>
            </w:r>
          </w:p>
        </w:tc>
        <w:tc>
          <w:tcPr>
            <w:tcW w:w="23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87%</w:t>
            </w:r>
          </w:p>
        </w:tc>
        <w:tc>
          <w:tcPr>
            <w:tcW w:w="0" w:type="dxa"/>
            <w:vAlign w:val="bottom"/>
          </w:tcPr>
          <w:p>
            <w:pPr>
              <w:spacing w:after="0"/>
              <w:rPr>
                <w:sz w:val="1"/>
                <w:szCs w:val="1"/>
                <w:color w:val="auto"/>
              </w:rPr>
            </w:pPr>
          </w:p>
        </w:tc>
      </w:tr>
      <w:tr>
        <w:trPr>
          <w:trHeight w:val="227"/>
        </w:trPr>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$1,851</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5.4225</w:t>
            </w:r>
          </w:p>
        </w:tc>
        <w:tc>
          <w:tcPr>
            <w:tcW w:w="254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w w:val="99"/>
              </w:rPr>
              <w:t>R$10,037</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Oct-24</w:t>
            </w:r>
          </w:p>
        </w:tc>
        <w:tc>
          <w:tcPr>
            <w:tcW w:w="23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87%</w:t>
            </w:r>
          </w:p>
        </w:tc>
        <w:tc>
          <w:tcPr>
            <w:tcW w:w="0" w:type="dxa"/>
            <w:vAlign w:val="bottom"/>
          </w:tcPr>
          <w:p>
            <w:pPr>
              <w:spacing w:after="0"/>
              <w:rPr>
                <w:sz w:val="1"/>
                <w:szCs w:val="1"/>
                <w:color w:val="auto"/>
              </w:rPr>
            </w:pPr>
          </w:p>
        </w:tc>
      </w:tr>
      <w:tr>
        <w:trPr>
          <w:trHeight w:val="227"/>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$1,837</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5.4403</w:t>
            </w:r>
          </w:p>
        </w:tc>
        <w:tc>
          <w:tcPr>
            <w:tcW w:w="25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R$9,994</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Nov-24</w:t>
            </w:r>
          </w:p>
        </w:tc>
        <w:tc>
          <w:tcPr>
            <w:tcW w:w="23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6"/>
              </w:rPr>
              <w:t>86%</w:t>
            </w:r>
          </w:p>
        </w:tc>
        <w:tc>
          <w:tcPr>
            <w:tcW w:w="0" w:type="dxa"/>
            <w:vAlign w:val="bottom"/>
          </w:tcPr>
          <w:p>
            <w:pPr>
              <w:spacing w:after="0"/>
              <w:rPr>
                <w:sz w:val="1"/>
                <w:szCs w:val="1"/>
                <w:color w:val="auto"/>
              </w:rPr>
            </w:pPr>
          </w:p>
        </w:tc>
      </w:tr>
      <w:tr>
        <w:trPr>
          <w:trHeight w:val="227"/>
        </w:trPr>
        <w:tc>
          <w:tcPr>
            <w:tcW w:w="2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$1,801</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5.4580</w:t>
            </w:r>
          </w:p>
        </w:tc>
        <w:tc>
          <w:tcPr>
            <w:tcW w:w="2540" w:type="dxa"/>
            <w:vAlign w:val="bottom"/>
            <w:tcBorders>
              <w:bottom w:val="single" w:sz="8" w:color="auto"/>
            </w:tcBorders>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R$9,830</w:t>
            </w:r>
          </w:p>
        </w:tc>
        <w:tc>
          <w:tcPr>
            <w:tcW w:w="1900" w:type="dxa"/>
            <w:vAlign w:val="bottom"/>
            <w:tcBorders>
              <w:bottom w:val="single" w:sz="8" w:color="auto"/>
            </w:tcBorders>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8"/>
              </w:rPr>
              <w:t>Dec-24</w:t>
            </w:r>
          </w:p>
        </w:tc>
        <w:tc>
          <w:tcPr>
            <w:tcW w:w="2360" w:type="dxa"/>
            <w:vAlign w:val="bottom"/>
            <w:tcBorders>
              <w:bottom w:val="single" w:sz="8" w:color="auto"/>
            </w:tcBorders>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85%</w:t>
            </w:r>
          </w:p>
        </w:tc>
        <w:tc>
          <w:tcPr>
            <w:tcW w:w="0" w:type="dxa"/>
            <w:vAlign w:val="bottom"/>
          </w:tcPr>
          <w:p>
            <w:pPr>
              <w:spacing w:after="0"/>
              <w:rPr>
                <w:sz w:val="1"/>
                <w:szCs w:val="1"/>
                <w:color w:val="auto"/>
              </w:rPr>
            </w:pPr>
          </w:p>
        </w:tc>
      </w:tr>
      <w:tr>
        <w:trPr>
          <w:trHeight w:val="227"/>
        </w:trPr>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$16,393</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5.3984</w:t>
            </w:r>
          </w:p>
        </w:tc>
        <w:tc>
          <w:tcPr>
            <w:tcW w:w="25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9"/>
              </w:rPr>
              <w:t>R$88,496</w:t>
            </w:r>
          </w:p>
        </w:tc>
        <w:tc>
          <w:tcPr>
            <w:tcW w:w="19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6"/>
              </w:rPr>
              <w:t>84%</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20" w:firstLine="401"/>
        <w:spacing w:after="0" w:line="258" w:lineRule="auto"/>
        <w:rPr>
          <w:sz w:val="20"/>
          <w:szCs w:val="20"/>
          <w:color w:val="auto"/>
        </w:rPr>
      </w:pPr>
      <w:r>
        <w:rPr>
          <w:rFonts w:ascii="Times New Roman" w:cs="Times New Roman" w:eastAsia="Times New Roman" w:hAnsi="Times New Roman"/>
          <w:sz w:val="18"/>
          <w:szCs w:val="18"/>
          <w:color w:val="auto"/>
        </w:rPr>
        <w:t>These foreign currency exchange contracts have been designated and qualify as cash flow hedges of Terphane Ltda.’s forecasted sales to customers quoted or priced in U.S. Dollars over that period. By changing the currency risk associated with these U.S. Dollar sales, the derivatives have the effect of offsetting operating costs quoted or priced in Brazilian Real and decreasing the net exposure to Brazilian Real in the condensed consolidated statements of income.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2" w:name="page13"/>
    <w:bookmarkEnd w:id="12"/>
    <w:p>
      <w:pPr>
        <w:ind w:right="200" w:firstLine="401"/>
        <w:spacing w:after="0" w:line="274" w:lineRule="auto"/>
        <w:rPr>
          <w:sz w:val="20"/>
          <w:szCs w:val="20"/>
          <w:color w:val="auto"/>
        </w:rPr>
      </w:pPr>
      <w:r>
        <w:rPr>
          <w:rFonts w:ascii="Times New Roman" w:cs="Times New Roman" w:eastAsia="Times New Roman" w:hAnsi="Times New Roman"/>
          <w:sz w:val="18"/>
          <w:szCs w:val="18"/>
          <w:color w:val="auto"/>
        </w:rPr>
        <w:t>The table below summarizes the location and gross amounts of foreign currency forward contract fair values (Level 2) in the condensed consolidated balance sheets as of March 31, 2024 and December 31, 2023:</w:t>
      </w:r>
    </w:p>
    <w:tbl>
      <w:tblPr>
        <w:tblLayout w:type="fixed"/>
        <w:tblInd w:w="0" w:type="dxa"/>
        <w:tblCellMar>
          <w:top w:w="0" w:type="dxa"/>
          <w:left w:w="0" w:type="dxa"/>
          <w:bottom w:w="0" w:type="dxa"/>
          <w:right w:w="0" w:type="dxa"/>
        </w:tblCellMar>
      </w:tblPr>
      <w:tr>
        <w:trPr>
          <w:trHeight w:val="235"/>
        </w:trPr>
        <w:tc>
          <w:tcPr>
            <w:tcW w:w="5160" w:type="dxa"/>
            <w:vAlign w:val="bottom"/>
            <w:tcBorders>
              <w:top w:val="single" w:sz="8" w:color="auto"/>
            </w:tcBorders>
          </w:tcPr>
          <w:p>
            <w:pPr>
              <w:spacing w:after="0"/>
              <w:rPr>
                <w:sz w:val="20"/>
                <w:szCs w:val="20"/>
                <w:color w:val="auto"/>
              </w:rPr>
            </w:pPr>
          </w:p>
        </w:tc>
        <w:tc>
          <w:tcPr>
            <w:tcW w:w="2180" w:type="dxa"/>
            <w:vAlign w:val="bottom"/>
            <w:tcBorders>
              <w:top w:val="single" w:sz="8" w:color="auto"/>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March 31, 2024</w:t>
            </w:r>
          </w:p>
        </w:tc>
        <w:tc>
          <w:tcPr>
            <w:tcW w:w="8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740" w:type="dxa"/>
            <w:vAlign w:val="bottom"/>
            <w:tcBorders>
              <w:top w:val="single" w:sz="8" w:color="auto"/>
              <w:bottom w:val="single" w:sz="8" w:color="auto"/>
            </w:tcBorders>
          </w:tcPr>
          <w:p>
            <w:pPr>
              <w:spacing w:after="0"/>
              <w:rPr>
                <w:sz w:val="20"/>
                <w:szCs w:val="20"/>
                <w:color w:val="auto"/>
              </w:rPr>
            </w:pPr>
          </w:p>
        </w:tc>
      </w:tr>
      <w:tr>
        <w:trPr>
          <w:trHeight w:val="167"/>
        </w:trPr>
        <w:tc>
          <w:tcPr>
            <w:tcW w:w="5160" w:type="dxa"/>
            <w:vAlign w:val="bottom"/>
          </w:tcPr>
          <w:p>
            <w:pPr>
              <w:spacing w:after="0"/>
              <w:rPr>
                <w:sz w:val="14"/>
                <w:szCs w:val="14"/>
                <w:color w:val="auto"/>
              </w:rPr>
            </w:pPr>
          </w:p>
        </w:tc>
        <w:tc>
          <w:tcPr>
            <w:tcW w:w="186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color w:val="auto"/>
                <w:w w:val="97"/>
              </w:rPr>
              <w:t>Balance Sheet</w:t>
            </w:r>
          </w:p>
        </w:tc>
        <w:tc>
          <w:tcPr>
            <w:tcW w:w="320" w:type="dxa"/>
            <w:vAlign w:val="bottom"/>
          </w:tcPr>
          <w:p>
            <w:pPr>
              <w:spacing w:after="0"/>
              <w:rPr>
                <w:sz w:val="14"/>
                <w:szCs w:val="14"/>
                <w:color w:val="auto"/>
              </w:rPr>
            </w:pPr>
          </w:p>
        </w:tc>
        <w:tc>
          <w:tcPr>
            <w:tcW w:w="800" w:type="dxa"/>
            <w:vAlign w:val="bottom"/>
          </w:tcPr>
          <w:p>
            <w:pPr>
              <w:jc w:val="center"/>
              <w:ind w:right="111"/>
              <w:spacing w:after="0" w:line="167"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4"/>
                <w:szCs w:val="14"/>
                <w:color w:val="auto"/>
              </w:rPr>
            </w:pPr>
          </w:p>
        </w:tc>
        <w:tc>
          <w:tcPr>
            <w:tcW w:w="186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color w:val="auto"/>
                <w:w w:val="99"/>
              </w:rPr>
              <w:t>Balance Sheet</w:t>
            </w:r>
          </w:p>
        </w:tc>
        <w:tc>
          <w:tcPr>
            <w:tcW w:w="400" w:type="dxa"/>
            <w:vAlign w:val="bottom"/>
          </w:tcPr>
          <w:p>
            <w:pPr>
              <w:spacing w:after="0"/>
              <w:rPr>
                <w:sz w:val="14"/>
                <w:szCs w:val="14"/>
                <w:color w:val="auto"/>
              </w:rPr>
            </w:pPr>
          </w:p>
        </w:tc>
        <w:tc>
          <w:tcPr>
            <w:tcW w:w="740" w:type="dxa"/>
            <w:vAlign w:val="bottom"/>
          </w:tcPr>
          <w:p>
            <w:pPr>
              <w:jc w:val="right"/>
              <w:ind w:right="271"/>
              <w:spacing w:after="0" w:line="167" w:lineRule="exact"/>
              <w:rPr>
                <w:sz w:val="20"/>
                <w:szCs w:val="20"/>
                <w:color w:val="auto"/>
              </w:rPr>
            </w:pPr>
            <w:r>
              <w:rPr>
                <w:rFonts w:ascii="Times New Roman" w:cs="Times New Roman" w:eastAsia="Times New Roman" w:hAnsi="Times New Roman"/>
                <w:sz w:val="18"/>
                <w:szCs w:val="18"/>
                <w:color w:val="auto"/>
              </w:rPr>
              <w:t>Fair</w:t>
            </w:r>
          </w:p>
        </w:tc>
      </w:tr>
      <w:tr>
        <w:trPr>
          <w:trHeight w:val="241"/>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Account</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2"/>
              </w:rPr>
              <w:t>Value</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Account</w:t>
            </w: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2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174"/>
        </w:trPr>
        <w:tc>
          <w:tcPr>
            <w:tcW w:w="516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Asset derivatives:</w:t>
            </w:r>
          </w:p>
        </w:tc>
        <w:tc>
          <w:tcPr>
            <w:tcW w:w="18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Prepaid expenses and</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Prepaid expenses and</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1"/>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r>
      <w:tr>
        <w:trPr>
          <w:trHeight w:val="227"/>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Other assets</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174"/>
        </w:trPr>
        <w:tc>
          <w:tcPr>
            <w:tcW w:w="516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Liability derivatives:</w:t>
            </w:r>
          </w:p>
        </w:tc>
        <w:tc>
          <w:tcPr>
            <w:tcW w:w="1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Other non-current</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1"/>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Accrued expenses</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516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Other non-current</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Other non-current</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41"/>
        </w:trPr>
        <w:tc>
          <w:tcPr>
            <w:tcW w:w="51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4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asset (liability)</w:t>
            </w:r>
          </w:p>
        </w:tc>
        <w:tc>
          <w:tcPr>
            <w:tcW w:w="1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w:t>
            </w:r>
          </w:p>
        </w:tc>
      </w:tr>
    </w:tbl>
    <w:p>
      <w:pPr>
        <w:spacing w:after="0" w:line="156" w:lineRule="exact"/>
        <w:rPr>
          <w:sz w:val="20"/>
          <w:szCs w:val="20"/>
          <w:color w:val="auto"/>
        </w:rPr>
      </w:pPr>
    </w:p>
    <w:p>
      <w:pPr>
        <w:ind w:firstLine="401"/>
        <w:spacing w:after="0" w:line="255" w:lineRule="auto"/>
        <w:rPr>
          <w:sz w:val="20"/>
          <w:szCs w:val="20"/>
          <w:color w:val="auto"/>
        </w:rPr>
      </w:pPr>
      <w:r>
        <w:rPr>
          <w:rFonts w:ascii="Times New Roman" w:cs="Times New Roman" w:eastAsia="Times New Roman" w:hAnsi="Times New Roman"/>
          <w:sz w:val="18"/>
          <w:szCs w:val="18"/>
          <w:color w:val="auto"/>
        </w:rPr>
        <w:t>These derivative contracts involve elements of market risk that are not reflected on the condensed consolidated balance sheet, including the risk of dealing with counterparties and their ability to meet the terms of the contracts. The counterparties to any forward purchase commitments are major aluminum brokers and suppliers, and the counterparties to any aluminum futures contracts are major financial institutions. Fixed-price forward sales contracts are only made available to the most credit-worthy customers. The counterparties to the Company’s foreign currency cash flow hedge contracts are major financial institutions.</w:t>
      </w:r>
    </w:p>
    <w:p>
      <w:pPr>
        <w:spacing w:after="0" w:line="64" w:lineRule="exact"/>
        <w:rPr>
          <w:sz w:val="20"/>
          <w:szCs w:val="20"/>
          <w:color w:val="auto"/>
        </w:rPr>
      </w:pPr>
    </w:p>
    <w:p>
      <w:pPr>
        <w:ind w:right="180" w:firstLine="401"/>
        <w:spacing w:after="0" w:line="274" w:lineRule="auto"/>
        <w:rPr>
          <w:sz w:val="20"/>
          <w:szCs w:val="20"/>
          <w:color w:val="auto"/>
        </w:rPr>
      </w:pPr>
      <w:r>
        <w:rPr>
          <w:rFonts w:ascii="Times New Roman" w:cs="Times New Roman" w:eastAsia="Times New Roman" w:hAnsi="Times New Roman"/>
          <w:sz w:val="18"/>
          <w:szCs w:val="18"/>
          <w:color w:val="auto"/>
        </w:rPr>
        <w:t>The pre-tax effect on net income (loss) and other comprehensive income (loss) of derivative instruments classified as cash flow hedges and described in the previous paragraphs for the three month periods ended March 31, 2024 and 2023 is summarized in the table below:</w:t>
      </w:r>
    </w:p>
    <w:tbl>
      <w:tblPr>
        <w:tblLayout w:type="fixed"/>
        <w:tblInd w:w="0" w:type="dxa"/>
        <w:tblCellMar>
          <w:top w:w="0" w:type="dxa"/>
          <w:left w:w="0" w:type="dxa"/>
          <w:bottom w:w="0" w:type="dxa"/>
          <w:right w:w="0" w:type="dxa"/>
        </w:tblCellMar>
      </w:tblPr>
      <w:tr>
        <w:trPr>
          <w:trHeight w:val="235"/>
        </w:trPr>
        <w:tc>
          <w:tcPr>
            <w:tcW w:w="534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2260" w:type="dxa"/>
            <w:vAlign w:val="bottom"/>
            <w:tcBorders>
              <w:top w:val="single" w:sz="8" w:color="auto"/>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8"/>
              </w:rPr>
              <w:t>Cash Flow Derivative Hedges</w:t>
            </w:r>
          </w:p>
        </w:tc>
        <w:tc>
          <w:tcPr>
            <w:tcW w:w="6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center"/>
              <w:ind w:left="531"/>
              <w:spacing w:after="0"/>
              <w:rPr>
                <w:sz w:val="20"/>
                <w:szCs w:val="20"/>
                <w:color w:val="auto"/>
              </w:rPr>
            </w:pPr>
            <w:r>
              <w:rPr>
                <w:rFonts w:ascii="Times New Roman" w:cs="Times New Roman" w:eastAsia="Times New Roman" w:hAnsi="Times New Roman"/>
                <w:sz w:val="18"/>
                <w:szCs w:val="18"/>
                <w:color w:val="auto"/>
                <w:w w:val="98"/>
              </w:rPr>
              <w:t>Three Months Ended March 31,</w:t>
            </w: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3"/>
          </w:tcPr>
          <w:p>
            <w:pPr>
              <w:ind w:left="120"/>
              <w:spacing w:after="0" w:line="167" w:lineRule="exact"/>
              <w:rPr>
                <w:sz w:val="20"/>
                <w:szCs w:val="20"/>
                <w:color w:val="auto"/>
              </w:rPr>
            </w:pPr>
            <w:r>
              <w:rPr>
                <w:rFonts w:ascii="Times New Roman" w:cs="Times New Roman" w:eastAsia="Times New Roman" w:hAnsi="Times New Roman"/>
                <w:sz w:val="18"/>
                <w:szCs w:val="18"/>
                <w:color w:val="auto"/>
              </w:rPr>
              <w:t>Aluminum Futures</w:t>
            </w: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Contracts</w:t>
            </w:r>
          </w:p>
        </w:tc>
        <w:tc>
          <w:tcPr>
            <w:tcW w:w="1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5"/>
          </w:tcPr>
          <w:p>
            <w:pPr>
              <w:ind w:left="820"/>
              <w:spacing w:after="0"/>
              <w:rPr>
                <w:sz w:val="20"/>
                <w:szCs w:val="20"/>
                <w:color w:val="auto"/>
              </w:rPr>
            </w:pPr>
            <w:r>
              <w:rPr>
                <w:rFonts w:ascii="Times New Roman" w:cs="Times New Roman" w:eastAsia="Times New Roman" w:hAnsi="Times New Roman"/>
                <w:sz w:val="18"/>
                <w:szCs w:val="18"/>
                <w:color w:val="auto"/>
              </w:rPr>
              <w:t>Foreign Currency Forwards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4"/>
              </w:rPr>
              <w:t>2024</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91"/>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711"/>
              <w:spacing w:after="0"/>
              <w:rPr>
                <w:sz w:val="20"/>
                <w:szCs w:val="20"/>
                <w:color w:val="auto"/>
              </w:rPr>
            </w:pPr>
            <w:r>
              <w:rPr>
                <w:rFonts w:ascii="Times New Roman" w:cs="Times New Roman" w:eastAsia="Times New Roman" w:hAnsi="Times New Roman"/>
                <w:sz w:val="18"/>
                <w:szCs w:val="18"/>
                <w:color w:val="auto"/>
                <w:w w:val="94"/>
              </w:rPr>
              <w:t>2023</w:t>
            </w:r>
          </w:p>
        </w:tc>
        <w:tc>
          <w:tcPr>
            <w:tcW w:w="0" w:type="dxa"/>
            <w:vAlign w:val="bottom"/>
          </w:tcPr>
          <w:p>
            <w:pPr>
              <w:spacing w:after="0"/>
              <w:rPr>
                <w:sz w:val="1"/>
                <w:szCs w:val="1"/>
                <w:color w:val="auto"/>
              </w:rPr>
            </w:pPr>
          </w:p>
        </w:tc>
      </w:tr>
      <w:tr>
        <w:trPr>
          <w:trHeight w:val="167"/>
        </w:trPr>
        <w:tc>
          <w:tcPr>
            <w:tcW w:w="53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Amount of pre-tax gain (loss) recognized in other comprehensive income</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6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174"/>
        </w:trPr>
        <w:tc>
          <w:tcPr>
            <w:tcW w:w="534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Location of gain (loss) reclassified from accumulated other</w:t>
            </w:r>
          </w:p>
        </w:tc>
        <w:tc>
          <w:tcPr>
            <w:tcW w:w="160" w:type="dxa"/>
            <w:vAlign w:val="bottom"/>
          </w:tcPr>
          <w:p>
            <w:pPr>
              <w:spacing w:after="0"/>
              <w:rPr>
                <w:sz w:val="15"/>
                <w:szCs w:val="15"/>
                <w:color w:val="auto"/>
              </w:rPr>
            </w:pPr>
          </w:p>
        </w:tc>
        <w:tc>
          <w:tcPr>
            <w:tcW w:w="800" w:type="dxa"/>
            <w:vAlign w:val="bottom"/>
            <w:vMerge w:val="restart"/>
          </w:tcPr>
          <w:p>
            <w:pPr>
              <w:jc w:val="center"/>
              <w:ind w:right="71"/>
              <w:spacing w:after="0"/>
              <w:rPr>
                <w:sz w:val="20"/>
                <w:szCs w:val="20"/>
                <w:color w:val="auto"/>
              </w:rPr>
            </w:pPr>
            <w:r>
              <w:rPr>
                <w:rFonts w:ascii="Times New Roman" w:cs="Times New Roman" w:eastAsia="Times New Roman" w:hAnsi="Times New Roman"/>
                <w:sz w:val="18"/>
                <w:szCs w:val="18"/>
                <w:color w:val="auto"/>
                <w:w w:val="98"/>
              </w:rPr>
              <w:t>Cost of</w:t>
            </w:r>
          </w:p>
        </w:tc>
        <w:tc>
          <w:tcPr>
            <w:tcW w:w="2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Cost of</w:t>
            </w: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center"/>
              <w:ind w:right="151"/>
              <w:spacing w:after="0"/>
              <w:rPr>
                <w:sz w:val="20"/>
                <w:szCs w:val="20"/>
                <w:color w:val="auto"/>
              </w:rPr>
            </w:pPr>
            <w:r>
              <w:rPr>
                <w:rFonts w:ascii="Times New Roman" w:cs="Times New Roman" w:eastAsia="Times New Roman" w:hAnsi="Times New Roman"/>
                <w:sz w:val="18"/>
                <w:szCs w:val="18"/>
                <w:color w:val="auto"/>
                <w:w w:val="98"/>
              </w:rPr>
              <w:t>Cost of</w:t>
            </w:r>
          </w:p>
        </w:tc>
        <w:tc>
          <w:tcPr>
            <w:tcW w:w="900" w:type="dxa"/>
            <w:vAlign w:val="bottom"/>
          </w:tcPr>
          <w:p>
            <w:pPr>
              <w:jc w:val="center"/>
              <w:ind w:right="71"/>
              <w:spacing w:after="0" w:line="174" w:lineRule="exact"/>
              <w:rPr>
                <w:sz w:val="20"/>
                <w:szCs w:val="20"/>
                <w:color w:val="auto"/>
              </w:rPr>
            </w:pPr>
            <w:r>
              <w:rPr>
                <w:rFonts w:ascii="Times New Roman" w:cs="Times New Roman" w:eastAsia="Times New Roman" w:hAnsi="Times New Roman"/>
                <w:sz w:val="18"/>
                <w:szCs w:val="18"/>
                <w:color w:val="auto"/>
                <w:w w:val="97"/>
              </w:rPr>
              <w:t>Selling,</w:t>
            </w:r>
          </w:p>
        </w:tc>
        <w:tc>
          <w:tcPr>
            <w:tcW w:w="220" w:type="dxa"/>
            <w:vAlign w:val="bottom"/>
          </w:tcPr>
          <w:p>
            <w:pPr>
              <w:spacing w:after="0"/>
              <w:rPr>
                <w:sz w:val="15"/>
                <w:szCs w:val="15"/>
                <w:color w:val="auto"/>
              </w:rPr>
            </w:pPr>
          </w:p>
        </w:tc>
        <w:tc>
          <w:tcPr>
            <w:tcW w:w="620" w:type="dxa"/>
            <w:vAlign w:val="bottom"/>
            <w:vMerge w:val="restart"/>
          </w:tcPr>
          <w:p>
            <w:pPr>
              <w:jc w:val="center"/>
              <w:ind w:right="11"/>
              <w:spacing w:after="0"/>
              <w:rPr>
                <w:sz w:val="20"/>
                <w:szCs w:val="20"/>
                <w:color w:val="auto"/>
              </w:rPr>
            </w:pPr>
            <w:r>
              <w:rPr>
                <w:rFonts w:ascii="Times New Roman" w:cs="Times New Roman" w:eastAsia="Times New Roman" w:hAnsi="Times New Roman"/>
                <w:sz w:val="18"/>
                <w:szCs w:val="18"/>
                <w:color w:val="auto"/>
                <w:w w:val="98"/>
              </w:rPr>
              <w:t>Cost of</w:t>
            </w:r>
          </w:p>
        </w:tc>
        <w:tc>
          <w:tcPr>
            <w:tcW w:w="300" w:type="dxa"/>
            <w:vAlign w:val="bottom"/>
          </w:tcPr>
          <w:p>
            <w:pPr>
              <w:spacing w:after="0"/>
              <w:rPr>
                <w:sz w:val="15"/>
                <w:szCs w:val="15"/>
                <w:color w:val="auto"/>
              </w:rPr>
            </w:pPr>
          </w:p>
        </w:tc>
        <w:tc>
          <w:tcPr>
            <w:tcW w:w="860" w:type="dxa"/>
            <w:vAlign w:val="bottom"/>
          </w:tcPr>
          <w:p>
            <w:pPr>
              <w:jc w:val="center"/>
              <w:ind w:right="31"/>
              <w:spacing w:after="0" w:line="174" w:lineRule="exact"/>
              <w:rPr>
                <w:sz w:val="20"/>
                <w:szCs w:val="20"/>
                <w:color w:val="auto"/>
              </w:rPr>
            </w:pPr>
            <w:r>
              <w:rPr>
                <w:rFonts w:ascii="Times New Roman" w:cs="Times New Roman" w:eastAsia="Times New Roman" w:hAnsi="Times New Roman"/>
                <w:sz w:val="18"/>
                <w:szCs w:val="18"/>
                <w:color w:val="auto"/>
                <w:w w:val="97"/>
              </w:rPr>
              <w:t>Selling,</w:t>
            </w:r>
          </w:p>
        </w:tc>
        <w:tc>
          <w:tcPr>
            <w:tcW w:w="0" w:type="dxa"/>
            <w:vAlign w:val="bottom"/>
          </w:tcPr>
          <w:p>
            <w:pPr>
              <w:spacing w:after="0"/>
              <w:rPr>
                <w:sz w:val="1"/>
                <w:szCs w:val="1"/>
                <w:color w:val="auto"/>
              </w:rPr>
            </w:pPr>
          </w:p>
        </w:tc>
      </w:tr>
      <w:tr>
        <w:trPr>
          <w:trHeight w:val="174"/>
        </w:trPr>
        <w:tc>
          <w:tcPr>
            <w:tcW w:w="534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comprehensive income (loss) into net income (effective portion)</w:t>
            </w: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900" w:type="dxa"/>
            <w:vAlign w:val="bottom"/>
          </w:tcPr>
          <w:p>
            <w:pPr>
              <w:jc w:val="center"/>
              <w:ind w:right="71"/>
              <w:spacing w:after="0" w:line="174" w:lineRule="exact"/>
              <w:rPr>
                <w:sz w:val="20"/>
                <w:szCs w:val="20"/>
                <w:color w:val="auto"/>
              </w:rPr>
            </w:pPr>
            <w:r>
              <w:rPr>
                <w:rFonts w:ascii="Times New Roman" w:cs="Times New Roman" w:eastAsia="Times New Roman" w:hAnsi="Times New Roman"/>
                <w:sz w:val="18"/>
                <w:szCs w:val="18"/>
                <w:color w:val="auto"/>
                <w:w w:val="97"/>
              </w:rPr>
              <w:t>general &amp;</w:t>
            </w:r>
          </w:p>
        </w:tc>
        <w:tc>
          <w:tcPr>
            <w:tcW w:w="2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center"/>
              <w:ind w:right="31"/>
              <w:spacing w:after="0" w:line="174" w:lineRule="exact"/>
              <w:rPr>
                <w:sz w:val="20"/>
                <w:szCs w:val="20"/>
                <w:color w:val="auto"/>
              </w:rPr>
            </w:pPr>
            <w:r>
              <w:rPr>
                <w:rFonts w:ascii="Times New Roman" w:cs="Times New Roman" w:eastAsia="Times New Roman" w:hAnsi="Times New Roman"/>
                <w:sz w:val="18"/>
                <w:szCs w:val="18"/>
                <w:color w:val="auto"/>
                <w:w w:val="97"/>
              </w:rPr>
              <w:t>general &amp;</w:t>
            </w: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goods sold</w:t>
            </w:r>
          </w:p>
        </w:tc>
        <w:tc>
          <w:tcPr>
            <w:tcW w:w="90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7"/>
              </w:rPr>
              <w:t>goods sold</w:t>
            </w:r>
          </w:p>
        </w:tc>
        <w:tc>
          <w:tcPr>
            <w:tcW w:w="160" w:type="dxa"/>
            <w:vAlign w:val="bottom"/>
            <w:tcBorders>
              <w:right w:val="single" w:sz="8" w:color="auto"/>
            </w:tcBorders>
          </w:tcPr>
          <w:p>
            <w:pPr>
              <w:spacing w:after="0"/>
              <w:rPr>
                <w:sz w:val="20"/>
                <w:szCs w:val="20"/>
                <w:color w:val="auto"/>
              </w:rPr>
            </w:pPr>
          </w:p>
        </w:tc>
        <w:tc>
          <w:tcPr>
            <w:tcW w:w="980" w:type="dxa"/>
            <w:vAlign w:val="bottom"/>
            <w:gridSpan w:val="2"/>
          </w:tcPr>
          <w:p>
            <w:pPr>
              <w:jc w:val="center"/>
              <w:ind w:right="31"/>
              <w:spacing w:after="0"/>
              <w:rPr>
                <w:sz w:val="20"/>
                <w:szCs w:val="20"/>
                <w:color w:val="auto"/>
              </w:rPr>
            </w:pPr>
            <w:r>
              <w:rPr>
                <w:rFonts w:ascii="Times New Roman" w:cs="Times New Roman" w:eastAsia="Times New Roman" w:hAnsi="Times New Roman"/>
                <w:sz w:val="18"/>
                <w:szCs w:val="18"/>
                <w:color w:val="auto"/>
              </w:rPr>
              <w:t>goods sold</w:t>
            </w:r>
          </w:p>
        </w:tc>
        <w:tc>
          <w:tcPr>
            <w:tcW w:w="90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7"/>
              </w:rPr>
              <w:t>admin</w:t>
            </w:r>
          </w:p>
        </w:tc>
        <w:tc>
          <w:tcPr>
            <w:tcW w:w="1140" w:type="dxa"/>
            <w:vAlign w:val="bottom"/>
            <w:gridSpan w:val="3"/>
          </w:tcPr>
          <w:p>
            <w:pPr>
              <w:jc w:val="center"/>
              <w:ind w:right="71"/>
              <w:spacing w:after="0"/>
              <w:rPr>
                <w:sz w:val="20"/>
                <w:szCs w:val="20"/>
                <w:color w:val="auto"/>
              </w:rPr>
            </w:pPr>
            <w:r>
              <w:rPr>
                <w:rFonts w:ascii="Times New Roman" w:cs="Times New Roman" w:eastAsia="Times New Roman" w:hAnsi="Times New Roman"/>
                <w:sz w:val="18"/>
                <w:szCs w:val="18"/>
                <w:color w:val="auto"/>
              </w:rPr>
              <w:t>goods sold</w:t>
            </w:r>
          </w:p>
        </w:tc>
        <w:tc>
          <w:tcPr>
            <w:tcW w:w="8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admin</w:t>
            </w:r>
          </w:p>
        </w:tc>
        <w:tc>
          <w:tcPr>
            <w:tcW w:w="0" w:type="dxa"/>
            <w:vAlign w:val="bottom"/>
          </w:tcPr>
          <w:p>
            <w:pPr>
              <w:spacing w:after="0"/>
              <w:rPr>
                <w:sz w:val="1"/>
                <w:szCs w:val="1"/>
                <w:color w:val="auto"/>
              </w:rPr>
            </w:pPr>
          </w:p>
        </w:tc>
      </w:tr>
      <w:tr>
        <w:trPr>
          <w:trHeight w:val="178"/>
        </w:trPr>
        <w:tc>
          <w:tcPr>
            <w:tcW w:w="53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Amount of pre-tax gain (loss) reclassified from accumulated other</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to net income (effective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tcBorders>
              <w:bottom w:val="single" w:sz="8" w:color="auto"/>
              <w:right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15 $</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15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440" w:firstLine="401"/>
        <w:spacing w:after="0" w:line="258" w:lineRule="auto"/>
        <w:rPr>
          <w:sz w:val="20"/>
          <w:szCs w:val="20"/>
          <w:color w:val="auto"/>
        </w:rPr>
      </w:pPr>
      <w:r>
        <w:rPr>
          <w:rFonts w:ascii="Times New Roman" w:cs="Times New Roman" w:eastAsia="Times New Roman" w:hAnsi="Times New Roman"/>
          <w:sz w:val="18"/>
          <w:szCs w:val="18"/>
          <w:color w:val="auto"/>
        </w:rPr>
        <w:t>As of March 31, 2024, the Company expects $0.4 million of unrealized after-tax gains on aluminum and foreign currency derivative instruments reported in accumulated other comprehensive income (loss) to be reclassified to earnings within the next 12 months. For the three month periods ended March 31, 2024 and 2023, net gains or losses realized, from previously unrealized net gains or losses on hedges that had been discontinued, were not material.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91" w:lineRule="exact"/>
        <w:rPr>
          <w:sz w:val="20"/>
          <w:szCs w:val="20"/>
          <w:color w:val="auto"/>
        </w:rPr>
      </w:pPr>
    </w:p>
    <w:p>
      <w:pPr>
        <w:ind w:right="40" w:firstLine="401"/>
        <w:spacing w:after="0" w:line="263" w:lineRule="auto"/>
        <w:rPr>
          <w:sz w:val="20"/>
          <w:szCs w:val="20"/>
          <w:color w:val="auto"/>
        </w:rPr>
      </w:pPr>
      <w:r>
        <w:rPr>
          <w:rFonts w:ascii="Times New Roman" w:cs="Times New Roman" w:eastAsia="Times New Roman" w:hAnsi="Times New Roman"/>
          <w:sz w:val="18"/>
          <w:szCs w:val="18"/>
          <w:color w:val="auto"/>
        </w:rPr>
        <w:t>Tredegar recorded tax expense (benefit) of $0.7 million on pre-tax income (loss) of $3.9 million in the first three months of 2024. The effective tax rate in the first three months of 2024 was 16.7% and (48.8)% in the first three months of 2023. The change in effective tax rate was primarily due to pre-tax income in the first quarter of 2024 versus a pre-tax loss in the first three months of 2023.</w:t>
      </w:r>
    </w:p>
    <w:p>
      <w:pPr>
        <w:spacing w:after="0" w:line="55" w:lineRule="exact"/>
        <w:rPr>
          <w:sz w:val="20"/>
          <w:szCs w:val="20"/>
          <w:color w:val="auto"/>
        </w:rPr>
      </w:pPr>
    </w:p>
    <w:p>
      <w:pPr>
        <w:ind w:firstLine="401"/>
        <w:spacing w:after="0" w:line="258" w:lineRule="auto"/>
        <w:rPr>
          <w:sz w:val="20"/>
          <w:szCs w:val="20"/>
          <w:color w:val="auto"/>
        </w:rPr>
      </w:pPr>
      <w:r>
        <w:rPr>
          <w:rFonts w:ascii="Times New Roman" w:cs="Times New Roman" w:eastAsia="Times New Roman" w:hAnsi="Times New Roman"/>
          <w:sz w:val="18"/>
          <w:szCs w:val="18"/>
          <w:color w:val="auto"/>
        </w:rPr>
        <w:t>The effective tax rate for the first three months of 2024 varies from the 21% statutory rate primarily due to foreign rate differences and non-deductible expenses offset by Brazilian tax incentives and federal tax credits. Brazil income tax was deemed deductible but not creditable in the U.S. in the first three months of 2023. As a result of guidance released by the U.S. Treasury and Internal Revenue Service ("IRS") in the fourth quarter of 2023, and new Brazil tax legislation effective January 1, 2024, Brazil income tax is deemed creditable in the U.S. for 2024.</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3" w:name="page14"/>
    <w:bookmarkEnd w:id="13"/>
    <w:p>
      <w:pPr>
        <w:ind w:right="20" w:firstLine="401"/>
        <w:spacing w:after="0" w:line="258" w:lineRule="auto"/>
        <w:rPr>
          <w:sz w:val="20"/>
          <w:szCs w:val="20"/>
          <w:color w:val="auto"/>
        </w:rPr>
      </w:pPr>
      <w:r>
        <w:rPr>
          <w:rFonts w:ascii="Times New Roman" w:cs="Times New Roman" w:eastAsia="Times New Roman" w:hAnsi="Times New Roman"/>
          <w:sz w:val="18"/>
          <w:szCs w:val="18"/>
          <w:color w:val="auto"/>
        </w:rPr>
        <w:t>The Brazilian federal statutory income tax rate is a composite of 34.0% (25.0% of income tax and 9.0% of social contribution on income). Terphane Ltda.’s manufacturing facility in Brazil is the beneficiary of certain income tax incentives that allow for a reduction in the statutory Brazilian federal income tax rate to 15.25% levied on the operating profit on certain of its products. The incentives have been granted for a 10-year period, from the commencement date of January 1, 2015 and expiring at the end of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SEGMENTS</w:t>
      </w:r>
    </w:p>
    <w:p>
      <w:pPr>
        <w:spacing w:after="0" w:line="91" w:lineRule="exact"/>
        <w:rPr>
          <w:sz w:val="20"/>
          <w:szCs w:val="20"/>
          <w:color w:val="auto"/>
        </w:rPr>
      </w:pPr>
    </w:p>
    <w:p>
      <w:pPr>
        <w:ind w:right="180" w:firstLine="401"/>
        <w:spacing w:after="0" w:line="278" w:lineRule="auto"/>
        <w:rPr>
          <w:sz w:val="20"/>
          <w:szCs w:val="20"/>
          <w:color w:val="auto"/>
        </w:rPr>
      </w:pPr>
      <w:r>
        <w:rPr>
          <w:rFonts w:ascii="Times New Roman" w:cs="Times New Roman" w:eastAsia="Times New Roman" w:hAnsi="Times New Roman"/>
          <w:sz w:val="18"/>
          <w:szCs w:val="18"/>
          <w:color w:val="auto"/>
        </w:rPr>
        <w:t>The Company’s business segments are Aluminum Extrusions, PE Films, and Flexible Packaging Films. Information by business segment is reported below. There are no accounting transactions between segments and no allocations to segments.</w:t>
      </w:r>
    </w:p>
    <w:p>
      <w:pPr>
        <w:spacing w:after="0" w:line="42" w:lineRule="exact"/>
        <w:rPr>
          <w:sz w:val="20"/>
          <w:szCs w:val="20"/>
          <w:color w:val="auto"/>
        </w:rPr>
      </w:pPr>
    </w:p>
    <w:p>
      <w:pPr>
        <w:ind w:firstLine="401"/>
        <w:spacing w:after="0" w:line="254" w:lineRule="auto"/>
        <w:rPr>
          <w:sz w:val="20"/>
          <w:szCs w:val="20"/>
          <w:color w:val="auto"/>
        </w:rPr>
      </w:pPr>
      <w:r>
        <w:rPr>
          <w:rFonts w:ascii="Times New Roman" w:cs="Times New Roman" w:eastAsia="Times New Roman" w:hAnsi="Times New Roman"/>
          <w:sz w:val="18"/>
          <w:szCs w:val="18"/>
          <w:color w:val="auto"/>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CODM assesses performance. Earnings before interest, taxes, depreciation and amortization ("EBITDA") from ongoing operations is the key profitability measure used by the CODM (Tredegar’s President and Chief Executive Officer) for purposes of assessing financial performance. The Company uses sales less freight (“net sales”) as its measure of revenues from external customers at the segment level. This measure is separately included in the financial information regularly provided to the CODM.</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net sales and EBITDA from ongoing operations by segment for the three months ended March 31, 2024 and 2023:</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977" w:right="3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9"/>
        </w:trPr>
        <w:tc>
          <w:tcPr>
            <w:tcW w:w="542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740" w:type="dxa"/>
            <w:vAlign w:val="bottom"/>
            <w:tcBorders>
              <w:top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2"/>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3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114,222</w:t>
            </w:r>
          </w:p>
        </w:tc>
        <w:tc>
          <w:tcPr>
            <w:tcW w:w="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133,370</w:t>
            </w:r>
          </w:p>
        </w:tc>
      </w:tr>
      <w:tr>
        <w:trPr>
          <w:trHeight w:val="22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24,735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20,182</w:t>
            </w:r>
          </w:p>
        </w:tc>
      </w:tr>
      <w:tr>
        <w:trPr>
          <w:trHeight w:val="227"/>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2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30,113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31,527</w:t>
            </w:r>
          </w:p>
        </w:tc>
      </w:tr>
      <w:tr>
        <w:trPr>
          <w:trHeight w:val="221"/>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169,070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185,079</w:t>
            </w:r>
          </w:p>
        </w:tc>
      </w:tr>
      <w:tr>
        <w:trPr>
          <w:trHeight w:val="227"/>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2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8"/>
              </w:rPr>
              <w:t>6,666</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6,043</w:t>
            </w:r>
          </w:p>
        </w:tc>
      </w:tr>
      <w:tr>
        <w:trPr>
          <w:trHeight w:val="227"/>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as shown in the condensed consolidated statements of income (loss)</w:t>
            </w:r>
          </w:p>
        </w:tc>
        <w:tc>
          <w:tcPr>
            <w:tcW w:w="30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175,736</w:t>
            </w:r>
          </w:p>
        </w:tc>
        <w:tc>
          <w:tcPr>
            <w:tcW w:w="3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191,122</w:t>
            </w:r>
          </w:p>
        </w:tc>
      </w:tr>
      <w:tr>
        <w:trPr>
          <w:trHeight w:val="22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 from Ongoing Operations</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Ongoing operations:</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3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12,540</w:t>
            </w:r>
          </w:p>
        </w:tc>
        <w:tc>
          <w:tcPr>
            <w:tcW w:w="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14,638</w:t>
            </w:r>
          </w:p>
        </w:tc>
      </w:tr>
      <w:tr>
        <w:trPr>
          <w:trHeight w:val="227"/>
        </w:trPr>
        <w:tc>
          <w:tcPr>
            <w:tcW w:w="5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w:t>
            </w:r>
          </w:p>
        </w:tc>
      </w:tr>
      <w:tr>
        <w:trPr>
          <w:trHeight w:val="221"/>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w:t>
            </w: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8"/>
              </w:rPr>
              <w:t>7,998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10,227</w:t>
            </w:r>
          </w:p>
        </w:tc>
      </w:tr>
      <w:tr>
        <w:trPr>
          <w:trHeight w:val="227"/>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Ongoing operations:</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8"/>
              </w:rPr>
              <w:t>6,904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27"/>
        </w:trPr>
        <w:tc>
          <w:tcPr>
            <w:tcW w:w="5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21"/>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w:t>
            </w: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8"/>
              </w:rPr>
              <w:t>5,575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7"/>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Ongoing operations:</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8"/>
              </w:rPr>
              <w:t>1,963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27"/>
        </w:trPr>
        <w:tc>
          <w:tcPr>
            <w:tcW w:w="5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1"/>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w:t>
            </w: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8"/>
              </w:rPr>
              <w:t>1,212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7"/>
        </w:trPr>
        <w:tc>
          <w:tcPr>
            <w:tcW w:w="5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13,114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w:t>
            </w:r>
          </w:p>
        </w:tc>
      </w:tr>
      <w:tr>
        <w:trPr>
          <w:trHeight w:val="22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8"/>
              </w:rPr>
              <w:t>3,455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r>
      <w:tr>
        <w:trPr>
          <w:trHeight w:val="22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investment in kaleo, Inc.</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option-based compensation costs</w:t>
            </w: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7"/>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net</w:t>
            </w:r>
          </w:p>
        </w:tc>
        <w:tc>
          <w:tcPr>
            <w:tcW w:w="2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8"/>
              </w:rPr>
              <w:t>5,736</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8,956</w:t>
            </w:r>
          </w:p>
        </w:tc>
      </w:tr>
      <w:tr>
        <w:trPr>
          <w:trHeight w:val="22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8"/>
              </w:rPr>
              <w:t>3,945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27"/>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657</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7"/>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8"/>
              </w:rPr>
              <w:t>3,288</w:t>
            </w:r>
          </w:p>
        </w:tc>
        <w:tc>
          <w:tcPr>
            <w:tcW w:w="3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388"/>
        </w:trPr>
        <w:tc>
          <w:tcPr>
            <w:tcW w:w="85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The following table presents identifiable assets by segment at March 31, 2024 and December 31, 2023:</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
        </w:trPr>
        <w:tc>
          <w:tcPr>
            <w:tcW w:w="54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3"/>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r>
      <w:tr>
        <w:trPr>
          <w:trHeight w:val="227"/>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800" w:type="dxa"/>
            <w:vAlign w:val="bottom"/>
            <w:tcBorders>
              <w:bottom w:val="single" w:sz="8" w:color="auto"/>
            </w:tcBorders>
            <w:gridSpan w:val="3"/>
          </w:tcPr>
          <w:p>
            <w:pPr>
              <w:jc w:val="right"/>
              <w:ind w:right="271"/>
              <w:spacing w:after="0"/>
              <w:rPr>
                <w:sz w:val="20"/>
                <w:szCs w:val="20"/>
                <w:color w:val="auto"/>
              </w:rPr>
            </w:pPr>
            <w:r>
              <w:rPr>
                <w:rFonts w:ascii="Times New Roman" w:cs="Times New Roman" w:eastAsia="Times New Roman" w:hAnsi="Times New Roman"/>
                <w:sz w:val="18"/>
                <w:szCs w:val="18"/>
                <w:color w:val="auto"/>
              </w:rPr>
              <w:t>March 31, 2024</w:t>
            </w:r>
          </w:p>
        </w:tc>
        <w:tc>
          <w:tcPr>
            <w:tcW w:w="202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86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264,300</w:t>
            </w:r>
          </w:p>
        </w:tc>
        <w:tc>
          <w:tcPr>
            <w:tcW w:w="5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255,756</w:t>
            </w:r>
          </w:p>
        </w:tc>
      </w:tr>
      <w:tr>
        <w:trPr>
          <w:trHeight w:val="22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57,925</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56,536</w:t>
            </w:r>
          </w:p>
        </w:tc>
      </w:tr>
      <w:tr>
        <w:trPr>
          <w:trHeight w:val="227"/>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28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81,290</w:t>
            </w:r>
          </w:p>
        </w:tc>
        <w:tc>
          <w:tcPr>
            <w:tcW w:w="5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84,062</w:t>
            </w:r>
          </w:p>
        </w:tc>
      </w:tr>
      <w:tr>
        <w:trPr>
          <w:trHeight w:val="221"/>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403,515</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396,354</w:t>
            </w:r>
          </w:p>
        </w:tc>
      </w:tr>
      <w:tr>
        <w:trPr>
          <w:trHeight w:val="22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2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34,224</w:t>
            </w: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36,652</w:t>
            </w:r>
          </w:p>
        </w:tc>
      </w:tr>
      <w:tr>
        <w:trPr>
          <w:trHeight w:val="227"/>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5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13,455</w:t>
            </w:r>
          </w:p>
        </w:tc>
      </w:tr>
      <w:tr>
        <w:trPr>
          <w:trHeight w:val="227"/>
        </w:trPr>
        <w:tc>
          <w:tcPr>
            <w:tcW w:w="54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86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442,531</w:t>
            </w:r>
          </w:p>
        </w:tc>
        <w:tc>
          <w:tcPr>
            <w:tcW w:w="5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446,461</w:t>
            </w:r>
          </w:p>
        </w:tc>
      </w:tr>
      <w:tr>
        <w:trPr>
          <w:trHeight w:val="856"/>
        </w:trPr>
        <w:tc>
          <w:tcPr>
            <w:tcW w:w="5420" w:type="dxa"/>
            <w:vAlign w:val="bottom"/>
          </w:tcPr>
          <w:p>
            <w:pPr>
              <w:spacing w:after="0"/>
              <w:rPr>
                <w:sz w:val="24"/>
                <w:szCs w:val="24"/>
                <w:color w:val="auto"/>
              </w:rPr>
            </w:pPr>
          </w:p>
        </w:tc>
        <w:tc>
          <w:tcPr>
            <w:tcW w:w="2860" w:type="dxa"/>
            <w:vAlign w:val="bottom"/>
          </w:tcPr>
          <w:p>
            <w:pPr>
              <w:jc w:val="right"/>
              <w:ind w:right="2471"/>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3"/>
        </w:trPr>
        <w:tc>
          <w:tcPr>
            <w:tcW w:w="542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15" w:name="page16"/>
    <w:bookmarkEnd w:id="15"/>
    <w:p>
      <w:pPr>
        <w:jc w:val="center"/>
        <w:ind w:left="340"/>
        <w:spacing w:after="0"/>
        <w:rPr>
          <w:sz w:val="20"/>
          <w:szCs w:val="20"/>
          <w:color w:val="auto"/>
        </w:rPr>
      </w:pPr>
      <w:r>
        <w:rPr>
          <w:rFonts w:ascii="Times New Roman" w:cs="Times New Roman" w:eastAsia="Times New Roman" w:hAnsi="Times New Roman"/>
          <w:sz w:val="17"/>
          <w:szCs w:val="17"/>
          <w:color w:val="auto"/>
        </w:rPr>
        <w:t>The following tables disaggregate the Company’s revenue by geographic area and product group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71335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Net Sales by Geographic Area (a)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3"/>
          </w:tcPr>
          <w:p>
            <w:pPr>
              <w:jc w:val="right"/>
              <w:ind w:right="251"/>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2"/>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132,627</w:t>
            </w:r>
          </w:p>
        </w:tc>
        <w:tc>
          <w:tcPr>
            <w:tcW w:w="4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150,611</w:t>
            </w:r>
          </w:p>
        </w:tc>
      </w:tr>
      <w:tr>
        <w:trPr>
          <w:trHeight w:val="22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Exports from the United States to:</w:t>
            </w:r>
          </w:p>
        </w:tc>
        <w:tc>
          <w:tcPr>
            <w:tcW w:w="3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Asia</w:t>
            </w:r>
          </w:p>
        </w:tc>
        <w:tc>
          <w:tcPr>
            <w:tcW w:w="30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r>
      <w:tr>
        <w:trPr>
          <w:trHeight w:val="227"/>
        </w:trPr>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Latin America</w:t>
            </w:r>
          </w:p>
        </w:tc>
        <w:tc>
          <w:tcPr>
            <w:tcW w:w="30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27"/>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Canada</w:t>
            </w:r>
          </w:p>
        </w:tc>
        <w:tc>
          <w:tcPr>
            <w:tcW w:w="30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r>
      <w:tr>
        <w:trPr>
          <w:trHeight w:val="227"/>
        </w:trPr>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w:t>
            </w:r>
          </w:p>
        </w:tc>
        <w:tc>
          <w:tcPr>
            <w:tcW w:w="30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27"/>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outside the United States:</w:t>
            </w:r>
          </w:p>
        </w:tc>
        <w:tc>
          <w:tcPr>
            <w:tcW w:w="30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Brazil</w:t>
            </w:r>
          </w:p>
        </w:tc>
        <w:tc>
          <w:tcPr>
            <w:tcW w:w="30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21,331</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21,628</w:t>
            </w:r>
          </w:p>
        </w:tc>
      </w:tr>
      <w:tr>
        <w:trPr>
          <w:trHeight w:val="227"/>
        </w:trPr>
        <w:tc>
          <w:tcPr>
            <w:tcW w:w="54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Asia</w:t>
            </w:r>
          </w:p>
        </w:tc>
        <w:tc>
          <w:tcPr>
            <w:tcW w:w="30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7"/>
        </w:trPr>
        <w:tc>
          <w:tcPr>
            <w:tcW w:w="5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3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169,070</w:t>
            </w:r>
          </w:p>
        </w:tc>
        <w:tc>
          <w:tcPr>
            <w:tcW w:w="4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185,079</w:t>
            </w:r>
          </w:p>
        </w:tc>
      </w:tr>
    </w:tbl>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 Export sales relate mostly to PE Films. Operations in Brazil relate to Flexible Packaging Films.</w:t>
      </w:r>
    </w:p>
    <w:p>
      <w:pPr>
        <w:spacing w:after="0" w:line="204" w:lineRule="exact"/>
        <w:rPr>
          <w:sz w:val="20"/>
          <w:szCs w:val="20"/>
          <w:color w:val="auto"/>
        </w:rPr>
      </w:pPr>
    </w:p>
    <w:p>
      <w:pPr>
        <w:ind w:right="60" w:firstLine="401"/>
        <w:spacing w:after="0" w:line="258" w:lineRule="auto"/>
        <w:rPr>
          <w:sz w:val="20"/>
          <w:szCs w:val="20"/>
          <w:color w:val="auto"/>
        </w:rPr>
      </w:pPr>
      <w:r>
        <w:rPr>
          <w:rFonts w:ascii="Times New Roman" w:cs="Times New Roman" w:eastAsia="Times New Roman" w:hAnsi="Times New Roman"/>
          <w:sz w:val="18"/>
          <w:szCs w:val="18"/>
          <w:color w:val="auto"/>
        </w:rPr>
        <w:t>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 but paid by customers directly to PV. Amounts associated with this intercompany tolling arrangement are reported in the table above as export sales from the U.S. to Asia, and include net sales of $6.1 million and $3.4 million in the first quarter of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219075</wp:posOffset>
            </wp:positionV>
            <wp:extent cx="71335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Net Sales by Product Group</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gridSpan w:val="3"/>
          </w:tcPr>
          <w:p>
            <w:pPr>
              <w:jc w:val="right"/>
              <w:ind w:right="251"/>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2"/>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7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7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Nonresidential building &amp; construction</w:t>
            </w:r>
          </w:p>
        </w:tc>
        <w:tc>
          <w:tcPr>
            <w:tcW w:w="2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66,347</w:t>
            </w:r>
          </w:p>
        </w:tc>
        <w:tc>
          <w:tcPr>
            <w:tcW w:w="4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78,629</w:t>
            </w:r>
          </w:p>
        </w:tc>
      </w:tr>
      <w:tr>
        <w:trPr>
          <w:trHeight w:val="227"/>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Consumer durables</w:t>
            </w:r>
          </w:p>
        </w:tc>
        <w:tc>
          <w:tcPr>
            <w:tcW w:w="2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10,347</w:t>
            </w:r>
          </w:p>
        </w:tc>
      </w:tr>
      <w:tr>
        <w:trPr>
          <w:trHeight w:val="227"/>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Automotive</w:t>
            </w:r>
          </w:p>
        </w:tc>
        <w:tc>
          <w:tcPr>
            <w:tcW w:w="2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10,606</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r>
      <w:tr>
        <w:trPr>
          <w:trHeight w:val="227"/>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building &amp; construction</w:t>
            </w:r>
          </w:p>
        </w:tc>
        <w:tc>
          <w:tcPr>
            <w:tcW w:w="2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11,603</w:t>
            </w:r>
          </w:p>
        </w:tc>
      </w:tr>
      <w:tr>
        <w:trPr>
          <w:trHeight w:val="227"/>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Electrical</w:t>
            </w:r>
          </w:p>
        </w:tc>
        <w:tc>
          <w:tcPr>
            <w:tcW w:w="2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w:t>
            </w:r>
          </w:p>
        </w:tc>
      </w:tr>
      <w:tr>
        <w:trPr>
          <w:trHeight w:val="227"/>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Machinery &amp; equipment</w:t>
            </w:r>
          </w:p>
        </w:tc>
        <w:tc>
          <w:tcPr>
            <w:tcW w:w="2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10,724</w:t>
            </w:r>
          </w:p>
        </w:tc>
      </w:tr>
      <w:tr>
        <w:trPr>
          <w:trHeight w:val="227"/>
        </w:trPr>
        <w:tc>
          <w:tcPr>
            <w:tcW w:w="57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Distribution</w:t>
            </w:r>
          </w:p>
        </w:tc>
        <w:tc>
          <w:tcPr>
            <w:tcW w:w="2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r>
      <w:tr>
        <w:trPr>
          <w:trHeight w:val="221"/>
        </w:trPr>
        <w:tc>
          <w:tcPr>
            <w:tcW w:w="5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2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114,222</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133,370</w:t>
            </w:r>
          </w:p>
        </w:tc>
      </w:tr>
      <w:tr>
        <w:trPr>
          <w:trHeight w:val="22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Surface protection films</w:t>
            </w:r>
          </w:p>
        </w:tc>
        <w:tc>
          <w:tcPr>
            <w:tcW w:w="2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17,011</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12,855</w:t>
            </w:r>
          </w:p>
        </w:tc>
      </w:tr>
      <w:tr>
        <w:trPr>
          <w:trHeight w:val="227"/>
        </w:trPr>
        <w:tc>
          <w:tcPr>
            <w:tcW w:w="57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Overwrap packaging</w:t>
            </w:r>
          </w:p>
        </w:tc>
        <w:tc>
          <w:tcPr>
            <w:tcW w:w="2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7,327</w:t>
            </w:r>
          </w:p>
        </w:tc>
      </w:tr>
      <w:tr>
        <w:trPr>
          <w:trHeight w:val="221"/>
        </w:trPr>
        <w:tc>
          <w:tcPr>
            <w:tcW w:w="5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2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20,182</w:t>
            </w:r>
          </w:p>
        </w:tc>
      </w:tr>
      <w:tr>
        <w:trPr>
          <w:trHeight w:val="227"/>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2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30,113</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31,527</w:t>
            </w:r>
          </w:p>
        </w:tc>
      </w:tr>
      <w:tr>
        <w:trPr>
          <w:trHeight w:val="227"/>
        </w:trPr>
        <w:tc>
          <w:tcPr>
            <w:tcW w:w="57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169,070</w:t>
            </w:r>
          </w:p>
        </w:tc>
        <w:tc>
          <w:tcPr>
            <w:tcW w:w="4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185,079</w:t>
            </w:r>
          </w:p>
        </w:tc>
      </w:tr>
    </w:tbl>
    <w:p>
      <w:pPr>
        <w:spacing w:after="0" w:line="299" w:lineRule="exact"/>
        <w:rPr>
          <w:sz w:val="20"/>
          <w:szCs w:val="20"/>
          <w:color w:val="auto"/>
        </w:rPr>
      </w:pPr>
    </w:p>
    <w:p>
      <w:pPr>
        <w:ind w:right="10320" w:firstLine="7"/>
        <w:spacing w:after="0" w:line="380" w:lineRule="auto"/>
        <w:tabs>
          <w:tab w:leader="none" w:pos="267"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w:t>
      </w:r>
      <w:r>
        <w:rPr>
          <w:rFonts w:ascii="Times New Roman" w:cs="Times New Roman" w:eastAsia="Times New Roman" w:hAnsi="Times New Roman"/>
          <w:sz w:val="17"/>
          <w:szCs w:val="17"/>
          <w:i w:val="1"/>
          <w:iCs w:val="1"/>
          <w:u w:val="single" w:color="auto"/>
          <w:color w:val="auto"/>
        </w:rPr>
        <w:t>ABL Facility</w:t>
      </w:r>
    </w:p>
    <w:p>
      <w:pPr>
        <w:ind w:right="60" w:firstLine="401"/>
        <w:spacing w:after="0" w:line="255" w:lineRule="auto"/>
        <w:rPr>
          <w:sz w:val="20"/>
          <w:szCs w:val="20"/>
          <w:color w:val="auto"/>
        </w:rPr>
      </w:pPr>
      <w:r>
        <w:rPr>
          <w:rFonts w:ascii="Times New Roman" w:cs="Times New Roman" w:eastAsia="Times New Roman" w:hAnsi="Times New Roman"/>
          <w:sz w:val="18"/>
          <w:szCs w:val="18"/>
          <w:color w:val="auto"/>
        </w:rPr>
        <w:t>On December 27, 2023, the Company entered into Amendment No. 3 (the “ABL Facility”) to the Second Amended and Restated Credit Agreement, which provides the Company with a $180 million senior secured asset-based revolving credit facility that will expire on June 30, 2026. On April 16, 2024, the Company entered into Amendment No. 4 (the "Amendment") that, among other items: (i) moves the ABL Adjustment Date (defined below) from March 31, 2025 to September 30, 2025 and (ii) requires weekly reporting of the borrowing base financial covenant. The ABL Facility is secured by substantially all assets of the Company and its domestic subsidiaries, including equity in certain material first-tier foreign subsidiaries. Availability for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6" w:name="page17"/>
    <w:bookmarkEnd w:id="16"/>
    <w:p>
      <w:pPr>
        <w:spacing w:after="0" w:line="254" w:lineRule="auto"/>
        <w:rPr>
          <w:sz w:val="20"/>
          <w:szCs w:val="20"/>
          <w:color w:val="auto"/>
        </w:rPr>
      </w:pPr>
      <w:r>
        <w:rPr>
          <w:rFonts w:ascii="Times New Roman" w:cs="Times New Roman" w:eastAsia="Times New Roman" w:hAnsi="Times New Roman"/>
          <w:sz w:val="18"/>
          <w:szCs w:val="18"/>
          <w:color w:val="auto"/>
        </w:rPr>
        <w:t>borrowings under the ABL Facility is governed by a borrowing base, determined by the application of specified advance rates against eligible assets, including a portion of trade accounts receivable, inventory, cash and cash equivalents, owned real properties, and owned machinery and equipment. Upon the earlier of September 30, 2025 or the date the Company receives the proceeds from the sale of Terphane (the “ABL Adjustment Date”), the $180 million ABL Facility will be reduced to $125 million. As of March 31, 2024, availability under the ABL Facility was $22.2 million, after reducing the borrowing base by the aggregate outstanding borrowings of $128.3 million, standby letters of credit of $13.1 million, and the Minimum Liquidity (as defined in the ABL Facility) financial covenant.</w:t>
      </w:r>
    </w:p>
    <w:p>
      <w:pPr>
        <w:spacing w:after="0" w:line="50" w:lineRule="exact"/>
        <w:rPr>
          <w:sz w:val="20"/>
          <w:szCs w:val="20"/>
          <w:color w:val="auto"/>
        </w:rPr>
      </w:pPr>
    </w:p>
    <w:p>
      <w:pPr>
        <w:ind w:right="160" w:firstLine="401"/>
        <w:spacing w:after="0" w:line="278" w:lineRule="auto"/>
        <w:rPr>
          <w:sz w:val="20"/>
          <w:szCs w:val="20"/>
          <w:color w:val="auto"/>
        </w:rPr>
      </w:pPr>
      <w:r>
        <w:rPr>
          <w:rFonts w:ascii="Times New Roman" w:cs="Times New Roman" w:eastAsia="Times New Roman" w:hAnsi="Times New Roman"/>
          <w:sz w:val="18"/>
          <w:szCs w:val="18"/>
          <w:color w:val="auto"/>
        </w:rPr>
        <w:t>Outstanding borrowings accrue interest at the rates elected by the Company depending on the type of loan and denomination of such borrowing. With respect to revolving loans denominated in U.S. Dollars, the Company may elect interest rates at:</w:t>
      </w:r>
    </w:p>
    <w:p>
      <w:pPr>
        <w:spacing w:after="0" w:line="42" w:lineRule="exact"/>
        <w:rPr>
          <w:sz w:val="20"/>
          <w:szCs w:val="20"/>
          <w:color w:val="auto"/>
        </w:rPr>
      </w:pPr>
    </w:p>
    <w:p>
      <w:pPr>
        <w:ind w:left="640" w:right="60" w:hanging="312"/>
        <w:spacing w:after="0" w:line="258"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Alternate Base Rate (“ABR”) plus 2.50% before the ABL Adjustment Date and the applicable ABR Spread (as defined in the ABL Facility) after the ABL Adjustment Date are determined in accordance with an excess availability-based pricing grid. ABR is defined, in part, as the greater of (a) the Prime Rate in effect on such day, (b) the Federal Reserve Bank of New York Rate in effect on such day plus ½ of 1% and (c) the Adjusted Term SOFR Rate (defined below) for a one-month period plus 1%; or</w:t>
      </w:r>
    </w:p>
    <w:p>
      <w:pPr>
        <w:spacing w:after="0" w:line="59" w:lineRule="exact"/>
        <w:rPr>
          <w:rFonts w:ascii="Times New Roman" w:cs="Times New Roman" w:eastAsia="Times New Roman" w:hAnsi="Times New Roman"/>
          <w:sz w:val="18"/>
          <w:szCs w:val="18"/>
          <w:color w:val="auto"/>
        </w:rPr>
      </w:pPr>
    </w:p>
    <w:p>
      <w:pPr>
        <w:ind w:left="640" w:right="460" w:hanging="312"/>
        <w:spacing w:after="0" w:line="258"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Term Secured Overnight Financing Rate ("SOFR") Rate plus 3.50% before the ABL Adjustment Date and the applicable Term Benchmark Spread (as defined in the ABL Facility) are determined in accordance with an excess availability-based pricing grid after the ABL Adjustment Date. Adjusted Term SOFR Rate is defined as the Term SOFR Rate plus 0.10%, subject to an initial Floor (as defined in the ABL Facility) of 0%.</w:t>
      </w:r>
    </w:p>
    <w:p>
      <w:pPr>
        <w:spacing w:after="0" w:line="46" w:lineRule="exact"/>
        <w:rPr>
          <w:sz w:val="20"/>
          <w:szCs w:val="20"/>
          <w:color w:val="auto"/>
        </w:rPr>
      </w:pPr>
    </w:p>
    <w:p>
      <w:pPr>
        <w:ind w:right="340" w:firstLine="401"/>
        <w:spacing w:after="0" w:line="278" w:lineRule="auto"/>
        <w:rPr>
          <w:sz w:val="20"/>
          <w:szCs w:val="20"/>
          <w:color w:val="auto"/>
        </w:rPr>
      </w:pPr>
      <w:r>
        <w:rPr>
          <w:rFonts w:ascii="Times New Roman" w:cs="Times New Roman" w:eastAsia="Times New Roman" w:hAnsi="Times New Roman"/>
          <w:sz w:val="18"/>
          <w:szCs w:val="18"/>
          <w:color w:val="auto"/>
        </w:rPr>
        <w:t>Interest rate indices for select non-U.S. dollar borrowings, including borrowings denominated in Euro, Pounds Sterling, Swiss Francs and Japanese Yen, remain consistent with the Second Amended and Restated Credit Agreement.</w:t>
      </w:r>
    </w:p>
    <w:p>
      <w:pPr>
        <w:spacing w:after="0" w:line="42" w:lineRule="exact"/>
        <w:rPr>
          <w:sz w:val="20"/>
          <w:szCs w:val="20"/>
          <w:color w:val="auto"/>
        </w:rPr>
      </w:pPr>
    </w:p>
    <w:p>
      <w:pPr>
        <w:ind w:right="180" w:firstLine="401"/>
        <w:spacing w:after="0" w:line="278" w:lineRule="auto"/>
        <w:rPr>
          <w:sz w:val="20"/>
          <w:szCs w:val="20"/>
          <w:color w:val="auto"/>
        </w:rPr>
      </w:pPr>
      <w:r>
        <w:rPr>
          <w:rFonts w:ascii="Times New Roman" w:cs="Times New Roman" w:eastAsia="Times New Roman" w:hAnsi="Times New Roman"/>
          <w:sz w:val="18"/>
          <w:szCs w:val="18"/>
          <w:color w:val="auto"/>
        </w:rPr>
        <w:t>Based upon the quarterly average of daily availability under the ABL Facility, the interest rate pricing grid applicable after the ABL Adjustment Date will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35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Pricing under the ABL Facility (Basis Points)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80" w:type="dxa"/>
            <w:vAlign w:val="bottom"/>
            <w:tcBorders>
              <w:top w:val="single" w:sz="8" w:color="auto"/>
            </w:tcBorders>
          </w:tcPr>
          <w:p>
            <w:pPr>
              <w:jc w:val="center"/>
              <w:ind w:left="571"/>
              <w:spacing w:after="0"/>
              <w:rPr>
                <w:sz w:val="20"/>
                <w:szCs w:val="20"/>
                <w:color w:val="auto"/>
              </w:rPr>
            </w:pPr>
            <w:r>
              <w:rPr>
                <w:rFonts w:ascii="Times New Roman" w:cs="Times New Roman" w:eastAsia="Times New Roman" w:hAnsi="Times New Roman"/>
                <w:sz w:val="18"/>
                <w:szCs w:val="18"/>
                <w:color w:val="auto"/>
                <w:w w:val="98"/>
              </w:rPr>
              <w:t>Quarter Average of Daily Availability</w:t>
            </w:r>
          </w:p>
        </w:tc>
        <w:tc>
          <w:tcPr>
            <w:tcW w:w="232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Term Benchmark</w:t>
            </w:r>
          </w:p>
        </w:tc>
        <w:tc>
          <w:tcPr>
            <w:tcW w:w="1320" w:type="dxa"/>
            <w:vAlign w:val="bottom"/>
            <w:tcBorders>
              <w:top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ABR</w:t>
            </w:r>
          </w:p>
        </w:tc>
        <w:tc>
          <w:tcPr>
            <w:tcW w:w="13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Commitment</w:t>
            </w:r>
          </w:p>
        </w:tc>
      </w:tr>
      <w:tr>
        <w:trPr>
          <w:trHeight w:val="233"/>
        </w:trPr>
        <w:tc>
          <w:tcPr>
            <w:tcW w:w="6280" w:type="dxa"/>
            <w:vAlign w:val="bottom"/>
          </w:tcPr>
          <w:p>
            <w:pPr>
              <w:spacing w:after="0"/>
              <w:rPr>
                <w:sz w:val="20"/>
                <w:szCs w:val="20"/>
                <w:color w:val="auto"/>
              </w:rPr>
            </w:pPr>
          </w:p>
        </w:tc>
        <w:tc>
          <w:tcPr>
            <w:tcW w:w="232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rPr>
              <w:t>Spread</w:t>
            </w:r>
          </w:p>
        </w:tc>
        <w:tc>
          <w:tcPr>
            <w:tcW w:w="132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Spread</w:t>
            </w:r>
          </w:p>
        </w:tc>
        <w:tc>
          <w:tcPr>
            <w:tcW w:w="132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Fee*</w:t>
            </w:r>
          </w:p>
        </w:tc>
      </w:tr>
      <w:tr>
        <w:trPr>
          <w:trHeight w:val="26"/>
        </w:trPr>
        <w:tc>
          <w:tcPr>
            <w:tcW w:w="6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7"/>
        </w:trPr>
        <w:tc>
          <w:tcPr>
            <w:tcW w:w="6280" w:type="dxa"/>
            <w:vAlign w:val="bottom"/>
            <w:tcBorders>
              <w:bottom w:val="single" w:sz="8" w:color="CCEEFF"/>
            </w:tcBorders>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9"/>
              </w:rPr>
              <w:t>&gt; 66% of $125 million aggregate commitment</w:t>
            </w:r>
          </w:p>
        </w:tc>
        <w:tc>
          <w:tcPr>
            <w:tcW w:w="2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225.0</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3"/>
        </w:trPr>
        <w:tc>
          <w:tcPr>
            <w:tcW w:w="6280" w:type="dxa"/>
            <w:vAlign w:val="bottom"/>
          </w:tcPr>
          <w:p>
            <w:pPr>
              <w:jc w:val="center"/>
              <w:ind w:left="591"/>
              <w:spacing w:after="0"/>
              <w:rPr>
                <w:sz w:val="20"/>
                <w:szCs w:val="20"/>
                <w:color w:val="auto"/>
              </w:rPr>
            </w:pPr>
            <w:r>
              <w:rPr>
                <w:rFonts w:ascii="Times New Roman" w:cs="Times New Roman" w:eastAsia="Times New Roman" w:hAnsi="Times New Roman"/>
                <w:sz w:val="18"/>
                <w:szCs w:val="18"/>
                <w:color w:val="auto"/>
                <w:w w:val="98"/>
              </w:rPr>
              <w:t>≤ 66% but &gt; 33% of $125 million aggregate commitment</w:t>
            </w:r>
          </w:p>
        </w:tc>
        <w:tc>
          <w:tcPr>
            <w:tcW w:w="2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250.0</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
        </w:trPr>
        <w:tc>
          <w:tcPr>
            <w:tcW w:w="6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4"/>
        </w:trPr>
        <w:tc>
          <w:tcPr>
            <w:tcW w:w="6280" w:type="dxa"/>
            <w:vAlign w:val="bottom"/>
            <w:tcBorders>
              <w:bottom w:val="single" w:sz="8" w:color="CCEEFF"/>
            </w:tcBorders>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9"/>
              </w:rPr>
              <w:t>≤ 33% of $125 million aggregate commitment</w:t>
            </w:r>
          </w:p>
        </w:tc>
        <w:tc>
          <w:tcPr>
            <w:tcW w:w="2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275.0</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175.0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0"/>
        </w:trPr>
        <w:tc>
          <w:tcPr>
            <w:tcW w:w="628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ind w:left="20"/>
        <w:spacing w:after="0"/>
        <w:rPr>
          <w:sz w:val="20"/>
          <w:szCs w:val="20"/>
          <w:color w:val="auto"/>
        </w:rPr>
      </w:pPr>
      <w:r>
        <w:rPr>
          <w:rFonts w:ascii="Times New Roman" w:cs="Times New Roman" w:eastAsia="Times New Roman" w:hAnsi="Times New Roman"/>
          <w:sz w:val="16"/>
          <w:szCs w:val="16"/>
          <w:color w:val="auto"/>
        </w:rPr>
        <w:t>* The Commitment Fee before the ABL Adjustment Date and after the ABL Adjustment Date remain the same as reflected in this table.</w:t>
      </w:r>
    </w:p>
    <w:p>
      <w:pPr>
        <w:spacing w:after="0" w:line="199" w:lineRule="exact"/>
        <w:rPr>
          <w:sz w:val="20"/>
          <w:szCs w:val="20"/>
          <w:color w:val="auto"/>
        </w:rPr>
      </w:pPr>
    </w:p>
    <w:p>
      <w:pPr>
        <w:ind w:right="20" w:firstLine="401"/>
        <w:spacing w:after="0" w:line="253" w:lineRule="auto"/>
        <w:rPr>
          <w:sz w:val="20"/>
          <w:szCs w:val="20"/>
          <w:color w:val="auto"/>
        </w:rPr>
      </w:pPr>
      <w:r>
        <w:rPr>
          <w:rFonts w:ascii="Times New Roman" w:cs="Times New Roman" w:eastAsia="Times New Roman" w:hAnsi="Times New Roman"/>
          <w:sz w:val="18"/>
          <w:szCs w:val="18"/>
          <w:color w:val="auto"/>
        </w:rPr>
        <w:t>Under the terms of the ABL Facility, certain domestic bank accounts are subject to blocked account agreements, each of which contains a springing feature whereby the lenders may exercise control over those accounts during a cash dominion period (any such period, a “Cash Dominion Period”). A Cash Dominion Period was implemented on the date of the closing of the ABL Facility and will remain in effect at all times prior to the ABL Adjustment Date. After the ABL Adjustment Date, a Cash Dominion Period goes into effect if availability under the ABL Facility falls below 12.5% or an Event of Default (as defined in the ABL Facility) occurs. The Company would then be subject to the Cash Dominion Period until the Event of Default is waived or ABL Facility availability is above 12.5% of the $125 million aggregate commitment for 30 consecutive days. Receipts that have not yet been applied to the ABL Facility are classified as restricted cash in the Company’s consolidated balance sheets.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financial covenants in the ABL Facility are as follows:</w:t>
      </w:r>
    </w:p>
    <w:p>
      <w:pPr>
        <w:spacing w:after="0" w:line="101" w:lineRule="exact"/>
        <w:rPr>
          <w:sz w:val="20"/>
          <w:szCs w:val="20"/>
          <w:color w:val="auto"/>
        </w:rPr>
      </w:pPr>
    </w:p>
    <w:p>
      <w:pPr>
        <w:ind w:left="400" w:right="20" w:firstLine="8"/>
        <w:spacing w:after="0" w:line="259"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ABL Adjustment Date, the Company is required to maintain (i) a minimum Credit EBITDA (as defined in the ABL Facility), as of the end of each fiscal month for the 12-month period then ended (presented below) and (ii) a Minimum Liquidity (as defined in the ABL Facility) of</w:t>
      </w: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million.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7" w:name="page18"/>
    <w:bookmarkEnd w:id="17"/>
    <w:tbl>
      <w:tblPr>
        <w:tblLayout w:type="fixed"/>
        <w:tblInd w:w="320" w:type="dxa"/>
        <w:tblCellMar>
          <w:top w:w="0" w:type="dxa"/>
          <w:left w:w="0" w:type="dxa"/>
          <w:bottom w:w="0" w:type="dxa"/>
          <w:right w:w="0" w:type="dxa"/>
        </w:tblCellMar>
      </w:tblPr>
      <w:tr>
        <w:trPr>
          <w:trHeight w:val="260"/>
        </w:trPr>
        <w:tc>
          <w:tcPr>
            <w:tcW w:w="2580" w:type="dxa"/>
            <w:vAlign w:val="bottom"/>
            <w:tcBorders>
              <w:top w:val="single" w:sz="8" w:color="auto"/>
            </w:tcBorders>
          </w:tcPr>
          <w:p>
            <w:pPr>
              <w:spacing w:after="0"/>
              <w:rPr>
                <w:sz w:val="22"/>
                <w:szCs w:val="22"/>
                <w:color w:val="auto"/>
              </w:rPr>
            </w:pPr>
          </w:p>
        </w:tc>
        <w:tc>
          <w:tcPr>
            <w:tcW w:w="7620" w:type="dxa"/>
            <w:vAlign w:val="bottom"/>
            <w:tcBorders>
              <w:top w:val="single" w:sz="8" w:color="auto"/>
            </w:tcBorders>
          </w:tcPr>
          <w:p>
            <w:pPr>
              <w:jc w:val="right"/>
              <w:ind w:right="3151"/>
              <w:spacing w:after="0"/>
              <w:rPr>
                <w:sz w:val="20"/>
                <w:szCs w:val="20"/>
                <w:color w:val="auto"/>
              </w:rPr>
            </w:pPr>
            <w:r>
              <w:rPr>
                <w:rFonts w:ascii="Times New Roman" w:cs="Times New Roman" w:eastAsia="Times New Roman" w:hAnsi="Times New Roman"/>
                <w:sz w:val="18"/>
                <w:szCs w:val="18"/>
                <w:color w:val="auto"/>
              </w:rPr>
              <w:t>Minimum Credit EBITDA (In thousands)</w:t>
            </w:r>
          </w:p>
        </w:tc>
        <w:tc>
          <w:tcPr>
            <w:tcW w:w="820" w:type="dxa"/>
            <w:vAlign w:val="bottom"/>
            <w:tcBorders>
              <w:top w:val="single" w:sz="8" w:color="auto"/>
            </w:tcBorders>
          </w:tcPr>
          <w:p>
            <w:pPr>
              <w:spacing w:after="0"/>
              <w:rPr>
                <w:sz w:val="22"/>
                <w:szCs w:val="22"/>
                <w:color w:val="auto"/>
              </w:rPr>
            </w:pPr>
          </w:p>
        </w:tc>
      </w:tr>
      <w:tr>
        <w:trPr>
          <w:trHeight w:val="21"/>
        </w:trPr>
        <w:tc>
          <w:tcPr>
            <w:tcW w:w="25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2024</w:t>
            </w:r>
          </w:p>
        </w:tc>
        <w:tc>
          <w:tcPr>
            <w:tcW w:w="762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16,640</w:t>
            </w:r>
          </w:p>
        </w:tc>
      </w:tr>
      <w:tr>
        <w:trPr>
          <w:trHeight w:val="23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2024</w:t>
            </w:r>
          </w:p>
        </w:tc>
        <w:tc>
          <w:tcPr>
            <w:tcW w:w="7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19,780</w:t>
            </w:r>
          </w:p>
        </w:tc>
      </w:tr>
      <w:tr>
        <w:trPr>
          <w:trHeight w:val="21"/>
        </w:trPr>
        <w:tc>
          <w:tcPr>
            <w:tcW w:w="25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2024</w:t>
            </w:r>
          </w:p>
        </w:tc>
        <w:tc>
          <w:tcPr>
            <w:tcW w:w="7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19,660</w:t>
            </w:r>
          </w:p>
        </w:tc>
      </w:tr>
      <w:tr>
        <w:trPr>
          <w:trHeight w:val="23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2024</w:t>
            </w:r>
          </w:p>
        </w:tc>
        <w:tc>
          <w:tcPr>
            <w:tcW w:w="7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19,450</w:t>
            </w:r>
          </w:p>
        </w:tc>
      </w:tr>
      <w:tr>
        <w:trPr>
          <w:trHeight w:val="21"/>
        </w:trPr>
        <w:tc>
          <w:tcPr>
            <w:tcW w:w="25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2024</w:t>
            </w:r>
          </w:p>
        </w:tc>
        <w:tc>
          <w:tcPr>
            <w:tcW w:w="7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21,860</w:t>
            </w:r>
          </w:p>
        </w:tc>
      </w:tr>
      <w:tr>
        <w:trPr>
          <w:trHeight w:val="23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2024</w:t>
            </w:r>
          </w:p>
        </w:tc>
        <w:tc>
          <w:tcPr>
            <w:tcW w:w="7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22,830</w:t>
            </w:r>
          </w:p>
        </w:tc>
      </w:tr>
      <w:tr>
        <w:trPr>
          <w:trHeight w:val="21"/>
        </w:trPr>
        <w:tc>
          <w:tcPr>
            <w:tcW w:w="25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2024</w:t>
            </w:r>
          </w:p>
        </w:tc>
        <w:tc>
          <w:tcPr>
            <w:tcW w:w="7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25,370</w:t>
            </w:r>
          </w:p>
        </w:tc>
      </w:tr>
      <w:tr>
        <w:trPr>
          <w:trHeight w:val="23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2024</w:t>
            </w:r>
          </w:p>
        </w:tc>
        <w:tc>
          <w:tcPr>
            <w:tcW w:w="7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26,070</w:t>
            </w:r>
          </w:p>
        </w:tc>
      </w:tr>
      <w:tr>
        <w:trPr>
          <w:trHeight w:val="21"/>
        </w:trPr>
        <w:tc>
          <w:tcPr>
            <w:tcW w:w="25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2024</w:t>
            </w:r>
          </w:p>
        </w:tc>
        <w:tc>
          <w:tcPr>
            <w:tcW w:w="7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27,640</w:t>
            </w:r>
          </w:p>
        </w:tc>
      </w:tr>
      <w:tr>
        <w:trPr>
          <w:trHeight w:val="23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7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29,640</w:t>
            </w:r>
          </w:p>
        </w:tc>
      </w:tr>
      <w:tr>
        <w:trPr>
          <w:trHeight w:val="21"/>
        </w:trPr>
        <w:tc>
          <w:tcPr>
            <w:tcW w:w="25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7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29,740</w:t>
            </w:r>
          </w:p>
        </w:tc>
      </w:tr>
      <w:tr>
        <w:trPr>
          <w:trHeight w:val="23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2025</w:t>
            </w:r>
          </w:p>
        </w:tc>
        <w:tc>
          <w:tcPr>
            <w:tcW w:w="7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29,850</w:t>
            </w:r>
          </w:p>
        </w:tc>
      </w:tr>
      <w:tr>
        <w:trPr>
          <w:trHeight w:val="21"/>
        </w:trPr>
        <w:tc>
          <w:tcPr>
            <w:tcW w:w="25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2025</w:t>
            </w:r>
          </w:p>
        </w:tc>
        <w:tc>
          <w:tcPr>
            <w:tcW w:w="7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29,980</w:t>
            </w:r>
          </w:p>
        </w:tc>
      </w:tr>
      <w:tr>
        <w:trPr>
          <w:trHeight w:val="23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2025</w:t>
            </w:r>
          </w:p>
        </w:tc>
        <w:tc>
          <w:tcPr>
            <w:tcW w:w="7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30,340</w:t>
            </w:r>
          </w:p>
        </w:tc>
      </w:tr>
      <w:tr>
        <w:trPr>
          <w:trHeight w:val="21"/>
        </w:trPr>
        <w:tc>
          <w:tcPr>
            <w:tcW w:w="25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7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30,700</w:t>
            </w:r>
          </w:p>
        </w:tc>
      </w:tr>
      <w:tr>
        <w:trPr>
          <w:trHeight w:val="23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2025</w:t>
            </w:r>
          </w:p>
        </w:tc>
        <w:tc>
          <w:tcPr>
            <w:tcW w:w="7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31,030</w:t>
            </w:r>
          </w:p>
        </w:tc>
      </w:tr>
      <w:tr>
        <w:trPr>
          <w:trHeight w:val="21"/>
        </w:trPr>
        <w:tc>
          <w:tcPr>
            <w:tcW w:w="25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2025</w:t>
            </w:r>
          </w:p>
        </w:tc>
        <w:tc>
          <w:tcPr>
            <w:tcW w:w="7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31,370</w:t>
            </w:r>
          </w:p>
        </w:tc>
      </w:tr>
      <w:tr>
        <w:trPr>
          <w:trHeight w:val="23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2025</w:t>
            </w:r>
          </w:p>
        </w:tc>
        <w:tc>
          <w:tcPr>
            <w:tcW w:w="7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31,710</w:t>
            </w:r>
          </w:p>
        </w:tc>
      </w:tr>
      <w:tr>
        <w:trPr>
          <w:trHeight w:val="21"/>
        </w:trPr>
        <w:tc>
          <w:tcPr>
            <w:tcW w:w="25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2025</w:t>
            </w:r>
          </w:p>
        </w:tc>
        <w:tc>
          <w:tcPr>
            <w:tcW w:w="762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32,080</w:t>
            </w:r>
          </w:p>
        </w:tc>
      </w:tr>
      <w:tr>
        <w:trPr>
          <w:trHeight w:val="27"/>
        </w:trPr>
        <w:tc>
          <w:tcPr>
            <w:tcW w:w="2580" w:type="dxa"/>
            <w:vAlign w:val="bottom"/>
            <w:shd w:val="clear" w:color="auto" w:fill="000000"/>
          </w:tcPr>
          <w:p>
            <w:pPr>
              <w:spacing w:after="0"/>
              <w:rPr>
                <w:sz w:val="2"/>
                <w:szCs w:val="2"/>
                <w:color w:val="auto"/>
              </w:rPr>
            </w:pPr>
          </w:p>
        </w:tc>
        <w:tc>
          <w:tcPr>
            <w:tcW w:w="76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156" w:lineRule="exact"/>
        <w:rPr>
          <w:sz w:val="20"/>
          <w:szCs w:val="20"/>
          <w:color w:val="auto"/>
        </w:rPr>
      </w:pPr>
    </w:p>
    <w:p>
      <w:pPr>
        <w:ind w:left="400" w:right="460" w:firstLine="8"/>
        <w:spacing w:after="0" w:line="263"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ABL Adjustment Date, the foregoing financial covenants will cease to exist and will be replaced with a minimum fixed charge coverage ratio of 1.00:1.00 that will be triggered in the event that availability is less than 10% of $125 million commitment amount and continuing thereafter until availability is greater than 10% of the $125 million commitment amount for 30 consecutive days.</w:t>
      </w:r>
    </w:p>
    <w:p>
      <w:pPr>
        <w:spacing w:after="0" w:line="55" w:lineRule="exact"/>
        <w:rPr>
          <w:sz w:val="20"/>
          <w:szCs w:val="20"/>
          <w:color w:val="auto"/>
        </w:rPr>
      </w:pPr>
    </w:p>
    <w:p>
      <w:pPr>
        <w:ind w:right="360" w:firstLine="401"/>
        <w:spacing w:after="0" w:line="278" w:lineRule="auto"/>
        <w:rPr>
          <w:sz w:val="20"/>
          <w:szCs w:val="20"/>
          <w:color w:val="auto"/>
        </w:rPr>
      </w:pPr>
      <w:r>
        <w:rPr>
          <w:rFonts w:ascii="Times New Roman" w:cs="Times New Roman" w:eastAsia="Times New Roman" w:hAnsi="Times New Roman"/>
          <w:sz w:val="18"/>
          <w:szCs w:val="18"/>
          <w:color w:val="auto"/>
        </w:rPr>
        <w:t>In addition to the financial covenants, the ABL Facility contains restrictive covenants, including covenants that restrict the Company’s ability to pay dividends and repurchase shares of its common stock.</w:t>
      </w:r>
    </w:p>
    <w:p>
      <w:pPr>
        <w:spacing w:after="0" w:line="29" w:lineRule="exact"/>
        <w:rPr>
          <w:sz w:val="20"/>
          <w:szCs w:val="20"/>
          <w:color w:val="auto"/>
        </w:rPr>
      </w:pPr>
    </w:p>
    <w:p>
      <w:pPr>
        <w:ind w:right="180" w:firstLine="401"/>
        <w:spacing w:after="0" w:line="263" w:lineRule="auto"/>
        <w:rPr>
          <w:sz w:val="20"/>
          <w:szCs w:val="20"/>
          <w:color w:val="auto"/>
        </w:rPr>
      </w:pPr>
      <w:r>
        <w:rPr>
          <w:rFonts w:ascii="Times New Roman" w:cs="Times New Roman" w:eastAsia="Times New Roman" w:hAnsi="Times New Roman"/>
          <w:sz w:val="18"/>
          <w:szCs w:val="18"/>
          <w:color w:val="auto"/>
        </w:rPr>
        <w:t>If at any time the availability under the ABL facility after the ABL Adjustment Date is less than 20% of the maximum aggregate principal amount in effect at such time or an Event of Default occurs, the Company’s current weekly reporting requirements to lenders will continue until the Event of Default is waived, cured or the availability under the ABL facility is above 20% of the maximum aggregate principal amount for 30 consecutive days.</w:t>
      </w:r>
    </w:p>
    <w:p>
      <w:pPr>
        <w:spacing w:after="0" w:line="55" w:lineRule="exact"/>
        <w:rPr>
          <w:sz w:val="20"/>
          <w:szCs w:val="20"/>
          <w:color w:val="auto"/>
        </w:rPr>
      </w:pPr>
    </w:p>
    <w:p>
      <w:pPr>
        <w:ind w:right="140" w:firstLine="401"/>
        <w:spacing w:after="0" w:line="254" w:lineRule="auto"/>
        <w:rPr>
          <w:sz w:val="20"/>
          <w:szCs w:val="20"/>
          <w:color w:val="auto"/>
        </w:rPr>
      </w:pPr>
      <w:r>
        <w:rPr>
          <w:rFonts w:ascii="Times New Roman" w:cs="Times New Roman" w:eastAsia="Times New Roman" w:hAnsi="Times New Roman"/>
          <w:sz w:val="18"/>
          <w:szCs w:val="18"/>
          <w:color w:val="auto"/>
        </w:rPr>
        <w:t>The ABL Facility has customary representations and warranties including, as a condition to each borrowing, that all such representations and warranties are true and correct in all material respects (including a representation that no Material Adverse Effect (as defined in the ABL Facility) has occurred since December 31, 2022). In the event that the Company cannot certify that all conditions to the borrowing have been met, the lenders can restrict the Company’s future borrowings under the ABL Facility. Because a Cash Dominion Period is currently in effect and the Company is required to represent that no Material Adverse Effect has occurred as a condition to borrowing, the outstanding debt under the ABL Facility (all contractual payments due on June 30, 2026) is classified as a current liability in the condensed consolidated balance sheets.</w:t>
      </w:r>
    </w:p>
    <w:p>
      <w:pPr>
        <w:spacing w:after="0" w:line="63" w:lineRule="exact"/>
        <w:rPr>
          <w:sz w:val="20"/>
          <w:szCs w:val="20"/>
          <w:color w:val="auto"/>
        </w:rPr>
      </w:pPr>
    </w:p>
    <w:p>
      <w:pPr>
        <w:ind w:right="360" w:firstLine="401"/>
        <w:spacing w:after="0" w:line="258" w:lineRule="auto"/>
        <w:rPr>
          <w:sz w:val="20"/>
          <w:szCs w:val="20"/>
          <w:color w:val="auto"/>
        </w:rPr>
      </w:pPr>
      <w:r>
        <w:rPr>
          <w:rFonts w:ascii="Times New Roman" w:cs="Times New Roman" w:eastAsia="Times New Roman" w:hAnsi="Times New Roman"/>
          <w:sz w:val="18"/>
          <w:szCs w:val="18"/>
          <w:color w:val="auto"/>
        </w:rPr>
        <w:t>In accordance with the ABL Facility, the lenders have been provided with the Company’s financial statements, covenant compliance certificates and projections to facilitate their ongoing assessment of the Company. Accordingly, the Company believes the likelihood that lenders would exercise the subjective acceleration clause whereby prohibiting future borrowings is remote. As of March 31, 2024, the Company was in compliance with all debt covenants.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Terphane Brazil Loan</w:t>
      </w:r>
    </w:p>
    <w:p>
      <w:pPr>
        <w:spacing w:after="0" w:line="103" w:lineRule="exact"/>
        <w:rPr>
          <w:sz w:val="20"/>
          <w:szCs w:val="20"/>
          <w:color w:val="auto"/>
        </w:rPr>
      </w:pPr>
    </w:p>
    <w:p>
      <w:pPr>
        <w:ind w:right="180" w:firstLine="401"/>
        <w:spacing w:after="0" w:line="253" w:lineRule="auto"/>
        <w:rPr>
          <w:sz w:val="20"/>
          <w:szCs w:val="20"/>
          <w:color w:val="auto"/>
        </w:rPr>
      </w:pPr>
      <w:r>
        <w:rPr>
          <w:rFonts w:ascii="Times New Roman" w:cs="Times New Roman" w:eastAsia="Times New Roman" w:hAnsi="Times New Roman"/>
          <w:sz w:val="18"/>
          <w:szCs w:val="18"/>
          <w:color w:val="auto"/>
        </w:rPr>
        <w:t>On October 26, 2023, Flexible Packaging Film's business unit in Brazil (“Terphane Ltda.”), the Company’s wholly owned subsidiary in Brazil, borrowed $20 million secured by certain of its assets (“Terphane Brazil Loan”). This U.S. Dollar borrowing matures on October 30, 2028, with interest payable quarterly at an annual floating interest rate of the SOFR plus 5.99%. The SOFR rate was 5.31% as of March 31, 2024. Quarterly principal payments of $1.7 million begin starting in year 3 of the loan. There are no prepayment penalties. The Company expects that the Terphane Brazil Loan will be repaid (and collateral released) upon the closing of the Contingent Terphane Sale. On October 26, 2023, the Company borrowed $20 million from Terphane Ltda. (the “Intercompany Loan”) at the same interest rate as the Terphane Brazil Loan, thereby transferring the funds to the U.S. The Company will repay the Intercompany Loan in conjunction with the closing of the Contingent Terphane Sale.</w:t>
      </w:r>
    </w:p>
    <w:p>
      <w:pPr>
        <w:spacing w:after="0" w:line="200" w:lineRule="exact"/>
        <w:rPr>
          <w:sz w:val="20"/>
          <w:szCs w:val="20"/>
          <w:color w:val="auto"/>
        </w:rPr>
      </w:pPr>
    </w:p>
    <w:p>
      <w:pPr>
        <w:spacing w:after="0" w:line="3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002" w:right="239" w:bottom="1440" w:gutter="0" w:footer="0" w:header="0"/>
        </w:sectPr>
      </w:pPr>
    </w:p>
    <w:bookmarkStart w:id="18" w:name="page19"/>
    <w:bookmarkEnd w:id="18"/>
    <w:p>
      <w:pPr>
        <w:jc w:val="right"/>
        <w:ind w:right="3700"/>
        <w:spacing w:after="0" w:line="351"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Forward-looking and Cautionary Statements</w:t>
      </w:r>
    </w:p>
    <w:p>
      <w:pPr>
        <w:ind w:firstLine="401"/>
        <w:spacing w:after="0" w:line="252" w:lineRule="auto"/>
        <w:rPr>
          <w:sz w:val="20"/>
          <w:szCs w:val="20"/>
          <w:color w:val="auto"/>
        </w:rPr>
      </w:pPr>
      <w:r>
        <w:rPr>
          <w:rFonts w:ascii="Times New Roman" w:cs="Times New Roman" w:eastAsia="Times New Roman" w:hAnsi="Times New Roman"/>
          <w:sz w:val="18"/>
          <w:szCs w:val="18"/>
          <w:color w:val="auto"/>
        </w:rPr>
        <w:t>Some of the information contained in this Quarterly Report on Form 10-Q ("Form 10-Q")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Accordingly, you should not place undue reliance on these forward-looking statements. Factors that could cause actual results to differ materially from expectations include, without limitation, the following:</w:t>
      </w:r>
    </w:p>
    <w:p>
      <w:pPr>
        <w:spacing w:after="0" w:line="67" w:lineRule="exact"/>
        <w:rPr>
          <w:sz w:val="20"/>
          <w:szCs w:val="20"/>
          <w:color w:val="auto"/>
        </w:rPr>
      </w:pPr>
    </w:p>
    <w:p>
      <w:pPr>
        <w:ind w:left="640" w:right="380" w:hanging="312"/>
        <w:spacing w:after="0" w:line="278"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complete strategic dispositions, including the Contingent Terphane Sale, failure to realize the expected benefits of such dispositions and assumption of unanticipated risks in such dispositions;</w:t>
      </w:r>
    </w:p>
    <w:p>
      <w:pPr>
        <w:spacing w:after="0" w:line="28"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transition into an asset-based revolving lending facility;</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any of the financial and other restrictive covenants in the Company's asset-based credit facility;</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factors, such as inflation, interest rates, recession risks and other lagging effects of the COVID-19 pandemic</w:t>
      </w:r>
    </w:p>
    <w:p>
      <w:pPr>
        <w:spacing w:after="0" w:line="8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operating costs incurred by the Company’s business units, including, for example, the cost of raw materials and energy;</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attract, develop and retain certain key officers or employees;</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Company’s manufacturing facilities, including those resulting from labor shortages;</w:t>
      </w:r>
    </w:p>
    <w:p>
      <w:pPr>
        <w:spacing w:after="0" w:line="8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efficiently manufacture and deliver new products at competitive prices;</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imposition of tariffs and sanctions on imported aluminum ingot used by Bonnell Aluminum;</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prevent foreign companies from evading anti-dumping and countervailing duties;</w:t>
      </w:r>
    </w:p>
    <w:p>
      <w:pPr>
        <w:spacing w:after="0" w:line="87" w:lineRule="exact"/>
        <w:rPr>
          <w:rFonts w:ascii="Times New Roman" w:cs="Times New Roman" w:eastAsia="Times New Roman" w:hAnsi="Times New Roman"/>
          <w:sz w:val="18"/>
          <w:szCs w:val="18"/>
          <w:color w:val="auto"/>
        </w:rPr>
      </w:pPr>
    </w:p>
    <w:p>
      <w:pPr>
        <w:ind w:left="640" w:right="280" w:hanging="312"/>
        <w:spacing w:after="0" w:line="278"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problems or delays with the implementation of the enterprise resource planning and manufacturing executions systems, or security breaches and other disruptions to the Company's information technology infrastructure;</w:t>
      </w:r>
    </w:p>
    <w:p>
      <w:pPr>
        <w:spacing w:after="0" w:line="42"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gain of sales to significant customers on which the Company’s business is highly dependent;</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sales to new customers to replace lost business;</w:t>
      </w:r>
    </w:p>
    <w:p>
      <w:pPr>
        <w:spacing w:after="0" w:line="8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customers to achieve success or maintain market share;</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rights;</w:t>
      </w:r>
    </w:p>
    <w:p>
      <w:pPr>
        <w:spacing w:after="0" w:line="8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doing business in countries outside the U.S. that affect our international operations;</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regulatory factors concerning the Company’s products;</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manufacturers, including manufacturers in lower-cost countries and manufacturers benefiting from government subsidies;</w:t>
      </w:r>
    </w:p>
    <w:p>
      <w:pPr>
        <w:spacing w:after="0" w:line="8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fluctuations in foreign exchange rates;</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anti-dumping duties on products imported to Brazil that compete with products produced by Flexible Packaging;</w:t>
      </w:r>
    </w:p>
    <w:p>
      <w:pPr>
        <w:spacing w:after="0" w:line="10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technology system failure or breach;</w:t>
      </w:r>
    </w:p>
    <w:p>
      <w:pPr>
        <w:spacing w:after="0" w:line="8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epidemics on employees, production and the global economy, such as the COVID-19 pandemic;</w:t>
      </w:r>
    </w:p>
    <w:p>
      <w:pPr>
        <w:spacing w:after="0" w:line="100" w:lineRule="exact"/>
        <w:rPr>
          <w:rFonts w:ascii="Times New Roman" w:cs="Times New Roman" w:eastAsia="Times New Roman" w:hAnsi="Times New Roman"/>
          <w:sz w:val="18"/>
          <w:szCs w:val="18"/>
          <w:color w:val="auto"/>
        </w:rPr>
      </w:pPr>
    </w:p>
    <w:p>
      <w:pPr>
        <w:ind w:left="640" w:right="600" w:hanging="312"/>
        <w:spacing w:after="0" w:line="278"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identify, complete or integrate strategic acquisitions; failure to realize the expected benefits of such acquisitions and assumption of unanticipated risks in such acquisitions;</w:t>
      </w:r>
    </w:p>
    <w:p>
      <w:pPr>
        <w:spacing w:after="0" w:line="42"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the Surface Protection reporting unit's goodwill;</w:t>
      </w:r>
    </w:p>
    <w:p>
      <w:pPr>
        <w:spacing w:after="0" w:line="87"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8"/>
          <w:szCs w:val="18"/>
          <w:color w:val="auto"/>
        </w:rPr>
        <w:t>and the other factors discussed in the reports Tredegar files with or furnishes to the Securities and Exchange Commission (the “SEC”) from time to time, including the risks and important factors set forth in additional detail in Part I, Item 1A of Tredegar’s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19" w:name="page20"/>
    <w:bookmarkEnd w:id="19"/>
    <w:p>
      <w:pPr>
        <w:ind w:right="560"/>
        <w:spacing w:after="0" w:line="278"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2023 (the “2023 Form 10-K”). Readers are urged to review and consider carefully the disclosures Tredegar makes in its filings with the SEC.</w:t>
      </w:r>
    </w:p>
    <w:p>
      <w:pPr>
        <w:spacing w:after="0" w:line="29" w:lineRule="exact"/>
        <w:rPr>
          <w:sz w:val="20"/>
          <w:szCs w:val="20"/>
          <w:color w:val="auto"/>
        </w:rPr>
      </w:pPr>
    </w:p>
    <w:p>
      <w:pPr>
        <w:ind w:right="560" w:firstLine="401"/>
        <w:spacing w:after="0" w:line="308" w:lineRule="auto"/>
        <w:rPr>
          <w:sz w:val="20"/>
          <w:szCs w:val="20"/>
          <w:color w:val="auto"/>
        </w:rPr>
      </w:pPr>
      <w:r>
        <w:rPr>
          <w:rFonts w:ascii="Times New Roman" w:cs="Times New Roman" w:eastAsia="Times New Roman" w:hAnsi="Times New Roman"/>
          <w:sz w:val="17"/>
          <w:szCs w:val="17"/>
          <w:color w:val="auto"/>
        </w:rPr>
        <w:t>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spacing w:after="0" w:line="20" w:lineRule="exact"/>
        <w:rPr>
          <w:sz w:val="20"/>
          <w:szCs w:val="20"/>
          <w:color w:val="auto"/>
        </w:rPr>
      </w:pPr>
    </w:p>
    <w:p>
      <w:pPr>
        <w:ind w:right="20" w:firstLine="401"/>
        <w:spacing w:after="0" w:line="278" w:lineRule="auto"/>
        <w:rPr>
          <w:sz w:val="20"/>
          <w:szCs w:val="20"/>
          <w:color w:val="auto"/>
        </w:rPr>
      </w:pPr>
      <w:r>
        <w:rPr>
          <w:rFonts w:ascii="Times New Roman" w:cs="Times New Roman" w:eastAsia="Times New Roman" w:hAnsi="Times New Roman"/>
          <w:sz w:val="18"/>
          <w:szCs w:val="18"/>
          <w:color w:val="auto"/>
        </w:rPr>
        <w:t>References herein to “Tredegar,” “the Company,” “we,” “us” and “our” are to Tredegar Corporation and its subsidiaries, collectively, unless the context otherwise indicates or requires.</w:t>
      </w:r>
    </w:p>
    <w:p>
      <w:pPr>
        <w:spacing w:after="0" w:line="42" w:lineRule="exact"/>
        <w:rPr>
          <w:sz w:val="20"/>
          <w:szCs w:val="20"/>
          <w:color w:val="auto"/>
        </w:rPr>
      </w:pPr>
    </w:p>
    <w:p>
      <w:pPr>
        <w:ind w:right="340" w:firstLine="401"/>
        <w:spacing w:after="0" w:line="278" w:lineRule="auto"/>
        <w:rPr>
          <w:sz w:val="20"/>
          <w:szCs w:val="20"/>
          <w:color w:val="auto"/>
        </w:rPr>
      </w:pPr>
      <w:r>
        <w:rPr>
          <w:rFonts w:ascii="Times New Roman" w:cs="Times New Roman" w:eastAsia="Times New Roman" w:hAnsi="Times New Roman"/>
          <w:sz w:val="18"/>
          <w:szCs w:val="18"/>
          <w:color w:val="auto"/>
        </w:rPr>
        <w:t>Unless otherwise stated or indicated, all comparisons are to the prior year period. References to "Notes" are to notes to our condensed consolidated financial statements found in Part I, Item 1 of this Form 10-Q.</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105" w:lineRule="exact"/>
        <w:rPr>
          <w:sz w:val="20"/>
          <w:szCs w:val="20"/>
          <w:color w:val="auto"/>
        </w:rPr>
      </w:pPr>
    </w:p>
    <w:p>
      <w:pPr>
        <w:ind w:firstLine="401"/>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makes a number of estimates and assumptions relating to the reporting of results of operations and financial position in the preparation of financial statements in conformity with generally accepted accounting standards in the United States ("GAAP"). The Company believes the estimates, assumptions and judgments described in the section “Management’s Discussion and Analysis of Financial Condition and Results of Operations – Critical Accounting Policies and Estimates” in the 2023 Form 10-K have the greatest potential impact on our financial statements, so Tredegar considers these to be its critical accounting policies. Since December 31, 2023, there have been no changes in these policies or estimates that have had a material impact on our results of operations or financial position.</w:t>
      </w:r>
    </w:p>
    <w:p>
      <w:pPr>
        <w:spacing w:after="0" w:line="5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91" w:lineRule="exact"/>
        <w:rPr>
          <w:sz w:val="20"/>
          <w:szCs w:val="20"/>
          <w:color w:val="auto"/>
        </w:rPr>
      </w:pPr>
    </w:p>
    <w:p>
      <w:pPr>
        <w:ind w:right="200" w:firstLine="401"/>
        <w:spacing w:after="0" w:line="255" w:lineRule="auto"/>
        <w:rPr>
          <w:sz w:val="20"/>
          <w:szCs w:val="20"/>
          <w:color w:val="auto"/>
        </w:rPr>
      </w:pPr>
      <w:r>
        <w:rPr>
          <w:rFonts w:ascii="Times New Roman" w:cs="Times New Roman" w:eastAsia="Times New Roman" w:hAnsi="Times New Roman"/>
          <w:sz w:val="18"/>
          <w:szCs w:val="18"/>
          <w:color w:val="auto"/>
        </w:rPr>
        <w:t>Tredegar Corporation is an industrial manufacturer with three primary businesses: custom aluminum extrusions for the North American building and construction ("B&amp;C"), automotive and specialty end-use markets through its Aluminum Extrusions segment; surface protection films for high-technology applications in the global electronics industry through its PE Films segment; and specialized polyester films primarily for the Latin American flexible packaging market through its Flexible Packaging Films segment. With approximately 1,900 employees, the Company operates manufacturing facilities in North America, South America, and Asia.</w:t>
      </w:r>
    </w:p>
    <w:p>
      <w:pPr>
        <w:spacing w:after="0" w:line="64" w:lineRule="exact"/>
        <w:rPr>
          <w:sz w:val="20"/>
          <w:szCs w:val="20"/>
          <w:color w:val="auto"/>
        </w:rPr>
      </w:pPr>
    </w:p>
    <w:p>
      <w:pPr>
        <w:jc w:val="both"/>
        <w:ind w:right="80" w:firstLine="642"/>
        <w:spacing w:after="0" w:line="258" w:lineRule="auto"/>
        <w:rPr>
          <w:sz w:val="20"/>
          <w:szCs w:val="20"/>
          <w:color w:val="auto"/>
        </w:rPr>
      </w:pPr>
      <w:r>
        <w:rPr>
          <w:rFonts w:ascii="Times New Roman" w:cs="Times New Roman" w:eastAsia="Times New Roman" w:hAnsi="Times New Roman"/>
          <w:sz w:val="18"/>
          <w:szCs w:val="18"/>
          <w:color w:val="auto"/>
        </w:rPr>
        <w:t>Earnings before interest, taxes, depreciation and amortization ("EBITDA") from ongoing operations is the measure of segment profit and loss used by Tredegar’s chief operating decision maker ("CODM") for purposes of assessing financial performance. The Company uses sales less freight (“net sales”) as its measure of revenues from external customers at the segment level. This measure is separately included in the financial information regularly provided to the CODM.</w:t>
      </w:r>
    </w:p>
    <w:p>
      <w:pPr>
        <w:spacing w:after="0" w:line="60" w:lineRule="exact"/>
        <w:rPr>
          <w:sz w:val="20"/>
          <w:szCs w:val="20"/>
          <w:color w:val="auto"/>
        </w:rPr>
      </w:pPr>
    </w:p>
    <w:p>
      <w:pPr>
        <w:ind w:right="60" w:firstLine="642"/>
        <w:spacing w:after="0" w:line="274" w:lineRule="auto"/>
        <w:rPr>
          <w:sz w:val="20"/>
          <w:szCs w:val="20"/>
          <w:color w:val="auto"/>
        </w:rPr>
      </w:pPr>
      <w:r>
        <w:rPr>
          <w:rFonts w:ascii="Times New Roman" w:cs="Times New Roman" w:eastAsia="Times New Roman" w:hAnsi="Times New Roman"/>
          <w:sz w:val="17"/>
          <w:szCs w:val="17"/>
          <w:color w:val="auto"/>
        </w:rPr>
        <w:t>Earnings before interest and taxes ("EBIT") from ongoing operations is a non-GAAP financial measure included in the reconciliation of segment financial information to consolidated results for the Company in Note 9. It is not intended to represent the stand-alone results for Tredegar's ongoing operations under GAAP and should not be considered as an alternative to net income as defined by GAAP. We believe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spacing w:after="0" w:line="34" w:lineRule="exact"/>
        <w:rPr>
          <w:sz w:val="20"/>
          <w:szCs w:val="20"/>
          <w:color w:val="auto"/>
        </w:rPr>
      </w:pPr>
    </w:p>
    <w:p>
      <w:pPr>
        <w:ind w:right="180" w:firstLine="401"/>
        <w:spacing w:after="0" w:line="278" w:lineRule="auto"/>
        <w:rPr>
          <w:sz w:val="20"/>
          <w:szCs w:val="20"/>
          <w:color w:val="auto"/>
        </w:rPr>
      </w:pPr>
      <w:r>
        <w:rPr>
          <w:rFonts w:ascii="Times New Roman" w:cs="Times New Roman" w:eastAsia="Times New Roman" w:hAnsi="Times New Roman"/>
          <w:sz w:val="18"/>
          <w:szCs w:val="18"/>
          <w:color w:val="auto"/>
        </w:rPr>
        <w:t>First quarter 2024 net income (loss) was $3.3 million ($0.10 per diluted share) compared with net income (loss) of $(1.0) million ($(0.03) per diluted share) in the first quarter of 2023.</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Financial Results Highlights</w:t>
      </w:r>
    </w:p>
    <w:p>
      <w:pPr>
        <w:spacing w:after="0" w:line="105" w:lineRule="exact"/>
        <w:rPr>
          <w:sz w:val="20"/>
          <w:szCs w:val="20"/>
          <w:color w:val="auto"/>
        </w:rPr>
      </w:pPr>
    </w:p>
    <w:p>
      <w:pPr>
        <w:ind w:left="320" w:hanging="313"/>
        <w:spacing w:after="0" w:line="277" w:lineRule="auto"/>
        <w:tabs>
          <w:tab w:leader="none" w:pos="31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EBITDA from ongoing operations for Aluminum Extrusions was $12.5 million in the first quarter of 2024 versus $14.6 million in the first quarter of last year and $8.0 million in the fourth quarter of 2023.</w:t>
      </w:r>
    </w:p>
    <w:p>
      <w:pPr>
        <w:spacing w:after="0" w:line="29" w:lineRule="exact"/>
        <w:rPr>
          <w:rFonts w:ascii="Arial" w:cs="Arial" w:eastAsia="Arial" w:hAnsi="Arial"/>
          <w:sz w:val="18"/>
          <w:szCs w:val="18"/>
          <w:color w:val="auto"/>
        </w:rPr>
      </w:pPr>
    </w:p>
    <w:p>
      <w:pPr>
        <w:ind w:left="980" w:right="220" w:hanging="331"/>
        <w:spacing w:after="0" w:line="277" w:lineRule="auto"/>
        <w:tabs>
          <w:tab w:leader="none" w:pos="976" w:val="left"/>
        </w:tabs>
        <w:numPr>
          <w:ilvl w:val="1"/>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Sales volume was 33.8 million pounds in the first quarter of 2024 versus 37.6 million pounds in the first quarter of last year and 32.9 million pounds in the fourth quarter of 2023.</w:t>
      </w:r>
    </w:p>
    <w:p>
      <w:pPr>
        <w:spacing w:after="0" w:line="42" w:lineRule="exact"/>
        <w:rPr>
          <w:rFonts w:ascii="Arial" w:cs="Arial" w:eastAsia="Arial" w:hAnsi="Arial"/>
          <w:sz w:val="18"/>
          <w:szCs w:val="18"/>
          <w:color w:val="auto"/>
        </w:rPr>
      </w:pPr>
    </w:p>
    <w:p>
      <w:pPr>
        <w:ind w:left="980" w:right="80" w:hanging="331"/>
        <w:spacing w:after="0" w:line="262" w:lineRule="auto"/>
        <w:tabs>
          <w:tab w:leader="none" w:pos="976" w:val="left"/>
        </w:tabs>
        <w:numPr>
          <w:ilvl w:val="1"/>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Open orders at the end of the first quarter of 2024 were approximately 15 million pounds (versus 27 million pounds in the first quarter of 2023 and 14 million pounds at the end of the fourth quarter of 2023). Net new orders increased 61% and 12% in the first quarter of 2024 versus the first quarter of 2023 and fourth quarter of 2023, respectively.</w:t>
      </w:r>
    </w:p>
    <w:p>
      <w:pPr>
        <w:spacing w:after="0" w:line="56" w:lineRule="exact"/>
        <w:rPr>
          <w:rFonts w:ascii="Arial" w:cs="Arial" w:eastAsia="Arial" w:hAnsi="Arial"/>
          <w:sz w:val="18"/>
          <w:szCs w:val="18"/>
          <w:color w:val="auto"/>
        </w:rPr>
      </w:pPr>
    </w:p>
    <w:p>
      <w:pPr>
        <w:ind w:left="320" w:right="140" w:hanging="313"/>
        <w:spacing w:after="0" w:line="262" w:lineRule="auto"/>
        <w:tabs>
          <w:tab w:leader="none" w:pos="31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EBITDA from ongoing operations for PE Films was $6.9 million in the first quarter of 2024 versus $1.8 million in the first quarter of 2023 and $4.5 million in the fourth quarter of 2023. Sales volume was 10.0 million pounds in the first quarter of 2024 versus 7.4 million pounds in the first quarter of 2023 and 8.5 million pounds in the fourth quarter of 2023.</w:t>
      </w:r>
    </w:p>
    <w:p>
      <w:pPr>
        <w:spacing w:after="0" w:line="43" w:lineRule="exact"/>
        <w:rPr>
          <w:rFonts w:ascii="Arial" w:cs="Arial" w:eastAsia="Arial" w:hAnsi="Arial"/>
          <w:sz w:val="18"/>
          <w:szCs w:val="18"/>
          <w:color w:val="auto"/>
        </w:rPr>
      </w:pPr>
    </w:p>
    <w:p>
      <w:pPr>
        <w:ind w:left="320" w:right="40" w:hanging="313"/>
        <w:spacing w:after="0" w:line="262" w:lineRule="auto"/>
        <w:tabs>
          <w:tab w:leader="none" w:pos="31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EBITDA from ongoing operations for Flexible Packaging Films (also referred to as "Terphane") was $2.0 million during the first quarter of 2024 versus $1.4 million in the first quarter of 2023 and $2.3 million during the fourth quarter of 2023. Sales volume was 22.0 million pounds in the first quarter of 2024 versus 19.8 million pounds in the first quarter 2023 and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77" w:right="359" w:bottom="1440" w:gutter="0" w:footer="0" w:header="0"/>
        </w:sectPr>
      </w:pPr>
    </w:p>
    <w:bookmarkStart w:id="20" w:name="page21"/>
    <w:bookmarkEnd w:id="20"/>
    <w:p>
      <w:pPr>
        <w:ind w:left="320" w:right="200"/>
        <w:spacing w:after="0" w:line="282" w:lineRule="auto"/>
        <w:rPr>
          <w:sz w:val="20"/>
          <w:szCs w:val="20"/>
          <w:color w:val="auto"/>
        </w:rPr>
      </w:pPr>
      <w:r>
        <w:rPr>
          <w:rFonts w:ascii="Times New Roman" w:cs="Times New Roman" w:eastAsia="Times New Roman" w:hAnsi="Times New Roman"/>
          <w:sz w:val="18"/>
          <w:szCs w:val="18"/>
          <w:color w:val="auto"/>
        </w:rPr>
        <w:t xml:space="preserve">22.8 million pounds in the fourth quarter of 2023. See the </w:t>
      </w:r>
      <w:r>
        <w:rPr>
          <w:rFonts w:ascii="Times New Roman" w:cs="Times New Roman" w:eastAsia="Times New Roman" w:hAnsi="Times New Roman"/>
          <w:sz w:val="18"/>
          <w:szCs w:val="18"/>
          <w:i w:val="1"/>
          <w:iCs w:val="1"/>
          <w:color w:val="auto"/>
        </w:rPr>
        <w:t>Status of Agreement to Sell Terphane</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b w:val="1"/>
          <w:bCs w:val="1"/>
          <w:i w:val="1"/>
          <w:iCs w:val="1"/>
          <w:color w:val="auto"/>
        </w:rPr>
        <w:t>Results of Operations</w:t>
      </w:r>
      <w:r>
        <w:rPr>
          <w:rFonts w:ascii="Times New Roman" w:cs="Times New Roman" w:eastAsia="Times New Roman" w:hAnsi="Times New Roman"/>
          <w:sz w:val="18"/>
          <w:szCs w:val="18"/>
          <w:color w:val="auto"/>
        </w:rPr>
        <w:t xml:space="preserve"> below for information on the planned sale of Terphane.</w:t>
      </w:r>
    </w:p>
    <w:p>
      <w:pPr>
        <w:spacing w:after="0" w:line="26" w:lineRule="exact"/>
        <w:rPr>
          <w:sz w:val="20"/>
          <w:szCs w:val="20"/>
          <w:color w:val="auto"/>
        </w:rPr>
      </w:pPr>
    </w:p>
    <w:p>
      <w:pPr>
        <w:ind w:right="20" w:firstLine="401"/>
        <w:spacing w:after="0" w:line="255" w:lineRule="auto"/>
        <w:rPr>
          <w:sz w:val="20"/>
          <w:szCs w:val="20"/>
          <w:color w:val="auto"/>
        </w:rPr>
      </w:pPr>
      <w:r>
        <w:rPr>
          <w:rFonts w:ascii="Times New Roman" w:cs="Times New Roman" w:eastAsia="Times New Roman" w:hAnsi="Times New Roman"/>
          <w:sz w:val="18"/>
          <w:szCs w:val="18"/>
          <w:color w:val="auto"/>
        </w:rPr>
        <w:t>The bottom of the recent severe down cycle in Aluminum Extrusions, which the Company believes was a residual impact of the pandemic and started in the second half of 2022, appears to have occurred in the third quarter of 2023. Net new orders and sales volume have increased sequentially in each quarter since that time. At PE Films, EBITDA from ongoing operations during the first quarter of 2024 was exceptional at $6.9 million. The process to complete the closing of the Company’s agreement to sell Terphane continues to advance as planned, including the review required by competition authorities in Brazil. The Company continues to focus on prudently managing costs, working capital and capital spending.</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Quarter of 2024 Compared with the First Quarter of 2023</w:t>
      </w:r>
    </w:p>
    <w:p>
      <w:pPr>
        <w:spacing w:after="0" w:line="89" w:lineRule="exact"/>
        <w:rPr>
          <w:sz w:val="20"/>
          <w:szCs w:val="20"/>
          <w:color w:val="auto"/>
        </w:rPr>
      </w:pPr>
    </w:p>
    <w:p>
      <w:pPr>
        <w:ind w:right="300" w:firstLine="401"/>
        <w:spacing w:after="0" w:line="278" w:lineRule="auto"/>
        <w:rPr>
          <w:sz w:val="20"/>
          <w:szCs w:val="20"/>
          <w:color w:val="auto"/>
        </w:rPr>
      </w:pPr>
      <w:r>
        <w:rPr>
          <w:rFonts w:ascii="Times New Roman" w:cs="Times New Roman" w:eastAsia="Times New Roman" w:hAnsi="Times New Roman"/>
          <w:sz w:val="18"/>
          <w:szCs w:val="18"/>
          <w:color w:val="auto"/>
        </w:rPr>
        <w:t>The following table presents a bridge of consolidated net income (loss) from the first quarter of 2023 to the first quarter of 2024 with management's related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335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for the three months ended March 31, 2023</w:t>
            </w:r>
          </w:p>
        </w:tc>
        <w:tc>
          <w:tcPr>
            <w:tcW w:w="254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7"/>
        </w:trPr>
        <w:tc>
          <w:tcPr>
            <w:tcW w:w="7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1"/>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for the three months ended March 31, 2023</w:t>
            </w:r>
          </w:p>
        </w:tc>
        <w:tc>
          <w:tcPr>
            <w:tcW w:w="2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27"/>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25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7"/>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2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(15,386)</w:t>
            </w:r>
          </w:p>
        </w:tc>
      </w:tr>
      <w:tr>
        <w:trPr>
          <w:trHeight w:val="227"/>
        </w:trPr>
        <w:tc>
          <w:tcPr>
            <w:tcW w:w="7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1"/>
        </w:trPr>
        <w:tc>
          <w:tcPr>
            <w:tcW w:w="7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(15,658)</w:t>
            </w:r>
          </w:p>
        </w:tc>
      </w:tr>
      <w:tr>
        <w:trPr>
          <w:trHeight w:val="227"/>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25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7"/>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2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17,482</w:t>
            </w:r>
          </w:p>
        </w:tc>
      </w:tr>
      <w:tr>
        <w:trPr>
          <w:trHeight w:val="227"/>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2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27"/>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27"/>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27"/>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r>
      <w:tr>
        <w:trPr>
          <w:trHeight w:val="227"/>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27"/>
        </w:trPr>
        <w:tc>
          <w:tcPr>
            <w:tcW w:w="78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1"/>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20,281</w:t>
            </w:r>
          </w:p>
        </w:tc>
      </w:tr>
      <w:tr>
        <w:trPr>
          <w:trHeight w:val="22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for the three months ended March 31, 2024</w:t>
            </w:r>
          </w:p>
        </w:tc>
        <w:tc>
          <w:tcPr>
            <w:tcW w:w="2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r>
      <w:tr>
        <w:trPr>
          <w:trHeight w:val="227"/>
        </w:trPr>
        <w:tc>
          <w:tcPr>
            <w:tcW w:w="7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27"/>
        </w:trPr>
        <w:tc>
          <w:tcPr>
            <w:tcW w:w="7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for the three months ended March 31, 2024</w:t>
            </w:r>
          </w:p>
        </w:tc>
        <w:tc>
          <w:tcPr>
            <w:tcW w:w="25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r>
    </w:tbl>
    <w:p>
      <w:pPr>
        <w:spacing w:after="0" w:line="156" w:lineRule="exact"/>
        <w:rPr>
          <w:sz w:val="20"/>
          <w:szCs w:val="20"/>
          <w:color w:val="auto"/>
        </w:rPr>
      </w:pPr>
    </w:p>
    <w:p>
      <w:pPr>
        <w:ind w:right="160" w:firstLine="401"/>
        <w:spacing w:after="0" w:line="254" w:lineRule="auto"/>
        <w:rPr>
          <w:sz w:val="20"/>
          <w:szCs w:val="20"/>
          <w:color w:val="auto"/>
        </w:rPr>
      </w:pPr>
      <w:r>
        <w:rPr>
          <w:rFonts w:ascii="Times New Roman" w:cs="Times New Roman" w:eastAsia="Times New Roman" w:hAnsi="Times New Roman"/>
          <w:sz w:val="18"/>
          <w:szCs w:val="18"/>
          <w:color w:val="auto"/>
        </w:rPr>
        <w:t xml:space="preserve">Sales in the first quarter of 2024 decreased by $15.4 million compared with the first quarter of 2023. Net sales (sales less freight) in Aluminum Extrusions decreased $19.1 million, primarily due to lower sales volume and the pass-through of lower metal costs. Net sales in PE Films increased $4.6 million, primarily due to volume increases in both Surface Protection and overwrap films. Net sales in Flexible Packaging Films decreased $1.4 million, primarily due to lower selling prices that the Company believes are driven by excess global capacity and stronger competition in Brazil, Latin America and the U.S., and unfavorable product mix, partially offset by higher sales volume. For more information on net sales and volume, see the </w:t>
      </w:r>
      <w:r>
        <w:rPr>
          <w:rFonts w:ascii="Times New Roman" w:cs="Times New Roman" w:eastAsia="Times New Roman" w:hAnsi="Times New Roman"/>
          <w:sz w:val="18"/>
          <w:szCs w:val="18"/>
          <w:b w:val="1"/>
          <w:bCs w:val="1"/>
          <w:i w:val="1"/>
          <w:iCs w:val="1"/>
          <w:color w:val="auto"/>
        </w:rPr>
        <w:t>Segment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below.</w:t>
      </w:r>
    </w:p>
    <w:p>
      <w:pPr>
        <w:spacing w:after="0" w:line="63" w:lineRule="exact"/>
        <w:rPr>
          <w:sz w:val="20"/>
          <w:szCs w:val="20"/>
          <w:color w:val="auto"/>
        </w:rPr>
      </w:pPr>
    </w:p>
    <w:p>
      <w:pPr>
        <w:jc w:val="both"/>
        <w:ind w:right="40" w:firstLine="401"/>
        <w:spacing w:after="0" w:line="263" w:lineRule="auto"/>
        <w:rPr>
          <w:sz w:val="20"/>
          <w:szCs w:val="20"/>
          <w:color w:val="auto"/>
        </w:rPr>
      </w:pPr>
      <w:r>
        <w:rPr>
          <w:rFonts w:ascii="Times New Roman" w:cs="Times New Roman" w:eastAsia="Times New Roman" w:hAnsi="Times New Roman"/>
          <w:sz w:val="18"/>
          <w:szCs w:val="18"/>
          <w:color w:val="auto"/>
        </w:rPr>
        <w:t>Other income (expense), net in the first quarter of 2024 decreased by $0.3 million compared with the first quarter of 2023. The change in other income (expense), net was primarily due to cash consideration of $0.3 million received in January 2023 related to the customary post-closing adjustments on the sale of the investment in kaleo, Inc., which was sold in December 2021.</w:t>
      </w:r>
    </w:p>
    <w:p>
      <w:pPr>
        <w:spacing w:after="0" w:line="55" w:lineRule="exact"/>
        <w:rPr>
          <w:sz w:val="20"/>
          <w:szCs w:val="20"/>
          <w:color w:val="auto"/>
        </w:rPr>
      </w:pPr>
    </w:p>
    <w:p>
      <w:pPr>
        <w:ind w:firstLine="401"/>
        <w:spacing w:after="0" w:line="254" w:lineRule="auto"/>
        <w:rPr>
          <w:sz w:val="20"/>
          <w:szCs w:val="20"/>
          <w:color w:val="auto"/>
        </w:rPr>
      </w:pPr>
      <w:r>
        <w:rPr>
          <w:rFonts w:ascii="Times New Roman" w:cs="Times New Roman" w:eastAsia="Times New Roman" w:hAnsi="Times New Roman"/>
          <w:sz w:val="18"/>
          <w:szCs w:val="18"/>
          <w:color w:val="auto"/>
        </w:rPr>
        <w:t>Consolidated gross profit (sales minus cost of goods sold and freight) as a percentage of sales (gross profit margin) was 15.4% in the first quarter of 2024 compared to 13.4% in the first quarter of 2023. The gross profit margin in Aluminum Extrusions remained consistent with the prior year period primarily due to lower sales volume, offset by higher net pricing after the pass-through of metal costs changes, lower labor and employee-related costs, lower supply expense, lower utility expense and lower freight expense. Additionally, the timing of the flow through under the first-in first-out method of aluminum raw material costs passed through to customers, previously acquired at higher prices in a quickly changing commodity pricing environment, resulted in a charge of $1.2 million in the first quarter of 2024 versus a benefit of $1.7 million in the first quarter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21" w:name="page22"/>
    <w:bookmarkEnd w:id="21"/>
    <w:p>
      <w:pPr>
        <w:ind w:right="240"/>
        <w:spacing w:after="0" w:line="258" w:lineRule="auto"/>
        <w:rPr>
          <w:sz w:val="20"/>
          <w:szCs w:val="20"/>
          <w:color w:val="auto"/>
        </w:rPr>
      </w:pPr>
      <w:r>
        <w:rPr>
          <w:rFonts w:ascii="Times New Roman" w:cs="Times New Roman" w:eastAsia="Times New Roman" w:hAnsi="Times New Roman"/>
          <w:sz w:val="18"/>
          <w:szCs w:val="18"/>
          <w:color w:val="auto"/>
        </w:rPr>
        <w:t>of 2023. The gross profit margin in PE Films increased due to a higher Surface Protection contribution margin associated with higher volume, favorable pricing, operating efficiencies and manufacturing costs savings, lower fixed costs and cost improvements from overwrap films. The gross profit margin in Flexible Packaging Films slightly increased primarily due to lower raw material costs, lower fixed costs and higher sales volume, partially offset by lower selling prices from global excess capacity and margin pressures and higher variable costs.</w:t>
      </w:r>
    </w:p>
    <w:p>
      <w:pPr>
        <w:spacing w:after="0" w:line="46" w:lineRule="exact"/>
        <w:rPr>
          <w:sz w:val="20"/>
          <w:szCs w:val="20"/>
          <w:color w:val="auto"/>
        </w:rPr>
      </w:pPr>
    </w:p>
    <w:p>
      <w:pPr>
        <w:ind w:right="180" w:firstLine="401"/>
        <w:spacing w:after="0" w:line="278" w:lineRule="auto"/>
        <w:rPr>
          <w:sz w:val="20"/>
          <w:szCs w:val="20"/>
          <w:color w:val="auto"/>
        </w:rPr>
      </w:pPr>
      <w:r>
        <w:rPr>
          <w:rFonts w:ascii="Times New Roman" w:cs="Times New Roman" w:eastAsia="Times New Roman" w:hAnsi="Times New Roman"/>
          <w:sz w:val="18"/>
          <w:szCs w:val="18"/>
          <w:color w:val="auto"/>
        </w:rPr>
        <w:t>The percentage of sales, selling, general and administrative (“SG&amp;A”) and research and development ("R&amp;D") expenses of 10.6% in the first quarter of 2024 remained consistent with the first quarter of 2023.</w:t>
      </w:r>
    </w:p>
    <w:p>
      <w:pPr>
        <w:spacing w:after="0" w:line="29" w:lineRule="exact"/>
        <w:rPr>
          <w:sz w:val="20"/>
          <w:szCs w:val="20"/>
          <w:color w:val="auto"/>
        </w:rPr>
      </w:pPr>
    </w:p>
    <w:p>
      <w:pPr>
        <w:ind w:right="560" w:firstLine="401"/>
        <w:spacing w:after="0" w:line="262" w:lineRule="auto"/>
        <w:rPr>
          <w:sz w:val="20"/>
          <w:szCs w:val="20"/>
          <w:color w:val="auto"/>
        </w:rPr>
      </w:pPr>
      <w:r>
        <w:rPr>
          <w:rFonts w:ascii="Times New Roman" w:cs="Times New Roman" w:eastAsia="Times New Roman" w:hAnsi="Times New Roman"/>
          <w:sz w:val="18"/>
          <w:szCs w:val="18"/>
          <w:color w:val="auto"/>
        </w:rPr>
        <w:t>During 2023, the Company settled the pension plan, which decreased the pension and other postretirement expenses for the first quarter of 2024 compared to the first quarter of 2023. See Note 4 for additional information.</w:t>
      </w:r>
    </w:p>
    <w:p>
      <w:pPr>
        <w:spacing w:after="0" w:line="43" w:lineRule="exact"/>
        <w:rPr>
          <w:sz w:val="20"/>
          <w:szCs w:val="20"/>
          <w:color w:val="auto"/>
        </w:rPr>
      </w:pPr>
    </w:p>
    <w:p>
      <w:pPr>
        <w:ind w:right="520" w:firstLine="401"/>
        <w:spacing w:after="0" w:line="278" w:lineRule="auto"/>
        <w:rPr>
          <w:sz w:val="20"/>
          <w:szCs w:val="20"/>
          <w:color w:val="auto"/>
        </w:rPr>
      </w:pPr>
      <w:r>
        <w:rPr>
          <w:rFonts w:ascii="Times New Roman" w:cs="Times New Roman" w:eastAsia="Times New Roman" w:hAnsi="Times New Roman"/>
          <w:sz w:val="18"/>
          <w:szCs w:val="18"/>
          <w:color w:val="auto"/>
        </w:rPr>
        <w:t>Interest expense of $3.5 million in the first three months of 2024 increased $1.1 million compared to the first three months of 2023 due to higher average debt levels and interest rates. See Note 10 for additional information.</w:t>
      </w:r>
    </w:p>
    <w:p>
      <w:pPr>
        <w:spacing w:after="0" w:line="42" w:lineRule="exact"/>
        <w:rPr>
          <w:sz w:val="20"/>
          <w:szCs w:val="20"/>
          <w:color w:val="auto"/>
        </w:rPr>
      </w:pPr>
    </w:p>
    <w:p>
      <w:pPr>
        <w:ind w:right="20" w:firstLine="401"/>
        <w:spacing w:after="0" w:line="278" w:lineRule="auto"/>
        <w:rPr>
          <w:sz w:val="20"/>
          <w:szCs w:val="20"/>
          <w:color w:val="auto"/>
        </w:rPr>
      </w:pPr>
      <w:r>
        <w:rPr>
          <w:rFonts w:ascii="Times New Roman" w:cs="Times New Roman" w:eastAsia="Times New Roman" w:hAnsi="Times New Roman"/>
          <w:sz w:val="18"/>
          <w:szCs w:val="18"/>
          <w:color w:val="auto"/>
        </w:rPr>
        <w:t>The effective tax rate used to compute income taxes was 16.7% in the first quarter of 2024 compared to (48.8)% in the first quarter of 2023. See Note 8 for additional information.</w:t>
      </w:r>
    </w:p>
    <w:p>
      <w:pPr>
        <w:spacing w:after="0" w:line="42" w:lineRule="exact"/>
        <w:rPr>
          <w:sz w:val="20"/>
          <w:szCs w:val="20"/>
          <w:color w:val="auto"/>
        </w:rPr>
      </w:pPr>
    </w:p>
    <w:p>
      <w:pPr>
        <w:ind w:right="80" w:firstLine="401"/>
        <w:spacing w:after="0" w:line="258" w:lineRule="auto"/>
        <w:rPr>
          <w:sz w:val="20"/>
          <w:szCs w:val="20"/>
          <w:color w:val="auto"/>
        </w:rPr>
      </w:pPr>
      <w:r>
        <w:rPr>
          <w:rFonts w:ascii="Times New Roman" w:cs="Times New Roman" w:eastAsia="Times New Roman" w:hAnsi="Times New Roman"/>
          <w:sz w:val="18"/>
          <w:szCs w:val="18"/>
          <w:color w:val="auto"/>
        </w:rPr>
        <w:t>Pre-tax gains and losses associated with plant shutdowns, asset impairments, restructurings and other items for the first quarters of 2024 and 2023 detailed below are shown in the statements of net sales and EBITDA from ongoing operations by segment table in Note 9 and are included in “Asset impairments and costs associated with exit and disposal activities, net of adjustments” in the condensed consolidated statements of income, unless otherwise noted.</w:t>
      </w:r>
    </w:p>
    <w:tbl>
      <w:tblPr>
        <w:tblLayout w:type="fixed"/>
        <w:tblInd w:w="0" w:type="dxa"/>
        <w:tblCellMar>
          <w:top w:w="0" w:type="dxa"/>
          <w:left w:w="0" w:type="dxa"/>
          <w:bottom w:w="0" w:type="dxa"/>
          <w:right w:w="0" w:type="dxa"/>
        </w:tblCellMar>
      </w:tblPr>
      <w:tr>
        <w:trPr>
          <w:trHeight w:val="192"/>
        </w:trPr>
        <w:tc>
          <w:tcPr>
            <w:tcW w:w="886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gridSpan w:val="4"/>
          </w:tcPr>
          <w:p>
            <w:pPr>
              <w:jc w:val="right"/>
              <w:ind w:right="11"/>
              <w:spacing w:after="0" w:line="192" w:lineRule="exact"/>
              <w:rPr>
                <w:sz w:val="20"/>
                <w:szCs w:val="20"/>
                <w:color w:val="auto"/>
              </w:rPr>
            </w:pPr>
            <w:r>
              <w:rPr>
                <w:rFonts w:ascii="Times New Roman" w:cs="Times New Roman" w:eastAsia="Times New Roman" w:hAnsi="Times New Roman"/>
                <w:sz w:val="18"/>
                <w:szCs w:val="18"/>
                <w:color w:val="auto"/>
              </w:rPr>
              <w:t>Three Months Ended March</w:t>
            </w:r>
          </w:p>
        </w:tc>
      </w:tr>
      <w:tr>
        <w:trPr>
          <w:trHeight w:val="233"/>
        </w:trPr>
        <w:tc>
          <w:tcPr>
            <w:tcW w:w="8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tcPr>
          <w:p>
            <w:pPr>
              <w:spacing w:after="0"/>
              <w:rPr>
                <w:sz w:val="20"/>
                <w:szCs w:val="20"/>
                <w:color w:val="auto"/>
              </w:rPr>
            </w:pPr>
          </w:p>
        </w:tc>
      </w:tr>
      <w:tr>
        <w:trPr>
          <w:trHeight w:val="235"/>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7"/>
        </w:trPr>
        <w:tc>
          <w:tcPr>
            <w:tcW w:w="8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7"/>
        </w:trPr>
        <w:tc>
          <w:tcPr>
            <w:tcW w:w="8860" w:type="dxa"/>
            <w:vAlign w:val="bottom"/>
            <w:shd w:val="clear" w:color="auto" w:fill="CCEEFF"/>
          </w:tcPr>
          <w:p>
            <w:pPr>
              <w:ind w:left="460"/>
              <w:spacing w:after="0" w:line="228" w:lineRule="exact"/>
              <w:rPr>
                <w:sz w:val="20"/>
                <w:szCs w:val="20"/>
                <w:color w:val="auto"/>
              </w:rPr>
            </w:pPr>
            <w:r>
              <w:rPr>
                <w:rFonts w:ascii="Times New Roman" w:cs="Times New Roman" w:eastAsia="Times New Roman" w:hAnsi="Times New Roman"/>
                <w:sz w:val="18"/>
                <w:szCs w:val="18"/>
                <w:color w:val="auto"/>
              </w:rPr>
              <w:t>Consulting expenses for ERP/MES project</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860" w:type="dxa"/>
            <w:vAlign w:val="bottom"/>
          </w:tcPr>
          <w:p>
            <w:pPr>
              <w:ind w:left="460"/>
              <w:spacing w:after="0" w:line="228" w:lineRule="exact"/>
              <w:rPr>
                <w:sz w:val="20"/>
                <w:szCs w:val="20"/>
                <w:color w:val="auto"/>
              </w:rPr>
            </w:pPr>
            <w:r>
              <w:rPr>
                <w:rFonts w:ascii="Times New Roman" w:cs="Times New Roman" w:eastAsia="Times New Roman" w:hAnsi="Times New Roman"/>
                <w:sz w:val="18"/>
                <w:szCs w:val="18"/>
                <w:color w:val="auto"/>
              </w:rPr>
              <w:t>Storm damage to the Newnan, Georgia plant</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7"/>
        </w:trPr>
        <w:tc>
          <w:tcPr>
            <w:tcW w:w="8860" w:type="dxa"/>
            <w:vAlign w:val="bottom"/>
            <w:tcBorders>
              <w:bottom w:val="single" w:sz="8" w:color="auto"/>
            </w:tcBorders>
            <w:shd w:val="clear" w:color="auto" w:fill="CCEEFF"/>
          </w:tcPr>
          <w:p>
            <w:pPr>
              <w:ind w:left="460"/>
              <w:spacing w:after="0" w:line="228" w:lineRule="exact"/>
              <w:rPr>
                <w:sz w:val="20"/>
                <w:szCs w:val="20"/>
                <w:color w:val="auto"/>
              </w:rPr>
            </w:pPr>
            <w:r>
              <w:rPr>
                <w:rFonts w:ascii="Times New Roman" w:cs="Times New Roman" w:eastAsia="Times New Roman" w:hAnsi="Times New Roman"/>
                <w:sz w:val="18"/>
                <w:szCs w:val="18"/>
                <w:color w:val="auto"/>
              </w:rPr>
              <w:t>Legal fees associated with the Aluminum Extruders Trade Case</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Aluminum Extrusions</w:t>
            </w:r>
          </w:p>
        </w:tc>
        <w:tc>
          <w:tcPr>
            <w:tcW w:w="4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7"/>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7"/>
        </w:trPr>
        <w:tc>
          <w:tcPr>
            <w:tcW w:w="8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7"/>
        </w:trPr>
        <w:tc>
          <w:tcPr>
            <w:tcW w:w="8860" w:type="dxa"/>
            <w:vAlign w:val="bottom"/>
            <w:shd w:val="clear" w:color="auto" w:fill="CCEEFF"/>
          </w:tcPr>
          <w:p>
            <w:pPr>
              <w:ind w:left="340"/>
              <w:spacing w:after="0" w:line="228" w:lineRule="exact"/>
              <w:rPr>
                <w:sz w:val="20"/>
                <w:szCs w:val="20"/>
                <w:color w:val="auto"/>
              </w:rPr>
            </w:pPr>
            <w:r>
              <w:rPr>
                <w:rFonts w:ascii="Times New Roman" w:cs="Times New Roman" w:eastAsia="Times New Roman" w:hAnsi="Times New Roman"/>
                <w:sz w:val="18"/>
                <w:szCs w:val="18"/>
                <w:color w:val="auto"/>
              </w:rPr>
              <w:t>Richmond, Virginia Technical Center closure expenses, including severance</w:t>
            </w:r>
            <w:r>
              <w:rPr>
                <w:rFonts w:ascii="Times New Roman" w:cs="Times New Roman" w:eastAsia="Times New Roman" w:hAnsi="Times New Roman"/>
                <w:sz w:val="23"/>
                <w:szCs w:val="23"/>
                <w:color w:val="auto"/>
                <w:vertAlign w:val="superscript"/>
              </w:rPr>
              <w:t>3</w:t>
            </w:r>
          </w:p>
        </w:tc>
        <w:tc>
          <w:tcPr>
            <w:tcW w:w="4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860" w:type="dxa"/>
            <w:vAlign w:val="bottom"/>
            <w:tcBorders>
              <w:bottom w:val="single" w:sz="8" w:color="auto"/>
            </w:tcBorders>
          </w:tcPr>
          <w:p>
            <w:pPr>
              <w:ind w:left="340"/>
              <w:spacing w:after="0" w:line="228" w:lineRule="exact"/>
              <w:rPr>
                <w:sz w:val="20"/>
                <w:szCs w:val="20"/>
                <w:color w:val="auto"/>
              </w:rPr>
            </w:pPr>
            <w:r>
              <w:rPr>
                <w:rFonts w:ascii="Times New Roman" w:cs="Times New Roman" w:eastAsia="Times New Roman" w:hAnsi="Times New Roman"/>
                <w:sz w:val="18"/>
                <w:szCs w:val="18"/>
                <w:color w:val="auto"/>
              </w:rPr>
              <w:t>Richmond, Virginia Technical Center lease abandonment</w:t>
            </w:r>
            <w:r>
              <w:rPr>
                <w:rFonts w:ascii="Times New Roman" w:cs="Times New Roman" w:eastAsia="Times New Roman" w:hAnsi="Times New Roman"/>
                <w:sz w:val="23"/>
                <w:szCs w:val="23"/>
                <w:color w:val="auto"/>
                <w:vertAlign w:val="superscript"/>
              </w:rPr>
              <w:t>3</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PE Films</w:t>
            </w:r>
          </w:p>
        </w:tc>
        <w:tc>
          <w:tcPr>
            <w:tcW w:w="4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Flexible Packaging Films:</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7"/>
        </w:trPr>
        <w:tc>
          <w:tcPr>
            <w:tcW w:w="8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7"/>
        </w:trPr>
        <w:tc>
          <w:tcPr>
            <w:tcW w:w="88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Other restructuring costs - severance</w:t>
            </w:r>
          </w:p>
        </w:tc>
        <w:tc>
          <w:tcPr>
            <w:tcW w:w="4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8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Flexible Packaging Films</w:t>
            </w:r>
          </w:p>
        </w:tc>
        <w:tc>
          <w:tcPr>
            <w:tcW w:w="4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7"/>
        </w:trPr>
        <w:tc>
          <w:tcPr>
            <w:tcW w:w="8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7"/>
        </w:trPr>
        <w:tc>
          <w:tcPr>
            <w:tcW w:w="8860" w:type="dxa"/>
            <w:vAlign w:val="bottom"/>
          </w:tcPr>
          <w:p>
            <w:pPr>
              <w:ind w:left="340"/>
              <w:spacing w:after="0" w:line="228"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w:t>
            </w:r>
            <w:r>
              <w:rPr>
                <w:rFonts w:ascii="Times New Roman" w:cs="Times New Roman" w:eastAsia="Times New Roman" w:hAnsi="Times New Roman"/>
                <w:sz w:val="23"/>
                <w:szCs w:val="23"/>
                <w:color w:val="auto"/>
                <w:vertAlign w:val="superscript"/>
              </w:rPr>
              <w:t>1</w:t>
            </w:r>
          </w:p>
        </w:tc>
        <w:tc>
          <w:tcPr>
            <w:tcW w:w="4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7"/>
        </w:trPr>
        <w:tc>
          <w:tcPr>
            <w:tcW w:w="8860" w:type="dxa"/>
            <w:vAlign w:val="bottom"/>
            <w:shd w:val="clear" w:color="auto" w:fill="CCEEFF"/>
          </w:tcPr>
          <w:p>
            <w:pPr>
              <w:ind w:left="340"/>
              <w:spacing w:after="0" w:line="228" w:lineRule="exact"/>
              <w:rPr>
                <w:sz w:val="20"/>
                <w:szCs w:val="20"/>
                <w:color w:val="auto"/>
              </w:rPr>
            </w:pPr>
            <w:r>
              <w:rPr>
                <w:rFonts w:ascii="Times New Roman" w:cs="Times New Roman" w:eastAsia="Times New Roman" w:hAnsi="Times New Roman"/>
                <w:sz w:val="18"/>
                <w:szCs w:val="18"/>
                <w:color w:val="auto"/>
              </w:rPr>
              <w:t>Professional fees associated with remediation activities related to internal control over financial reporting</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7"/>
        </w:trPr>
        <w:tc>
          <w:tcPr>
            <w:tcW w:w="8860" w:type="dxa"/>
            <w:vAlign w:val="bottom"/>
          </w:tcPr>
          <w:p>
            <w:pPr>
              <w:ind w:left="340"/>
              <w:spacing w:after="0" w:line="228" w:lineRule="exact"/>
              <w:rPr>
                <w:sz w:val="20"/>
                <w:szCs w:val="20"/>
                <w:color w:val="auto"/>
              </w:rPr>
            </w:pPr>
            <w:r>
              <w:rPr>
                <w:rFonts w:ascii="Times New Roman" w:cs="Times New Roman" w:eastAsia="Times New Roman" w:hAnsi="Times New Roman"/>
                <w:sz w:val="18"/>
                <w:szCs w:val="18"/>
                <w:color w:val="auto"/>
              </w:rPr>
              <w:t>Professional fees associated with the transition to the ABL Facility</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8860" w:type="dxa"/>
            <w:vAlign w:val="bottom"/>
            <w:shd w:val="clear" w:color="auto" w:fill="CCEEFF"/>
          </w:tcPr>
          <w:p>
            <w:pPr>
              <w:ind w:left="340"/>
              <w:spacing w:after="0" w:line="174" w:lineRule="exact"/>
              <w:rPr>
                <w:sz w:val="20"/>
                <w:szCs w:val="20"/>
                <w:color w:val="auto"/>
              </w:rPr>
            </w:pPr>
            <w:r>
              <w:rPr>
                <w:rFonts w:ascii="Times New Roman" w:cs="Times New Roman" w:eastAsia="Times New Roman" w:hAnsi="Times New Roman"/>
                <w:sz w:val="18"/>
                <w:szCs w:val="18"/>
                <w:color w:val="auto"/>
              </w:rPr>
              <w:t>Stock-based compensation expense associated with the fair value remeasurement of awards granted at the time of the</w:t>
            </w: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1"/>
        </w:trPr>
        <w:tc>
          <w:tcPr>
            <w:tcW w:w="8860" w:type="dxa"/>
            <w:vAlign w:val="bottom"/>
            <w:shd w:val="clear" w:color="auto" w:fill="CCEEFF"/>
          </w:tcPr>
          <w:p>
            <w:pPr>
              <w:ind w:left="340"/>
              <w:spacing w:after="0" w:line="241" w:lineRule="exact"/>
              <w:rPr>
                <w:sz w:val="20"/>
                <w:szCs w:val="20"/>
                <w:color w:val="auto"/>
              </w:rPr>
            </w:pPr>
            <w:r>
              <w:rPr>
                <w:rFonts w:ascii="Times New Roman" w:cs="Times New Roman" w:eastAsia="Times New Roman" w:hAnsi="Times New Roman"/>
                <w:sz w:val="18"/>
                <w:szCs w:val="18"/>
                <w:color w:val="auto"/>
              </w:rPr>
              <w:t>2020 special dividend</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8860" w:type="dxa"/>
            <w:vAlign w:val="bottom"/>
            <w:tcBorders>
              <w:bottom w:val="single" w:sz="8" w:color="auto"/>
            </w:tcBorders>
          </w:tcPr>
          <w:p>
            <w:pPr>
              <w:ind w:left="140"/>
              <w:spacing w:after="0" w:line="228" w:lineRule="exact"/>
              <w:rPr>
                <w:sz w:val="20"/>
                <w:szCs w:val="20"/>
                <w:color w:val="auto"/>
              </w:rPr>
            </w:pPr>
            <w:r>
              <w:rPr>
                <w:rFonts w:ascii="Times New Roman" w:cs="Times New Roman" w:eastAsia="Times New Roman" w:hAnsi="Times New Roman"/>
                <w:sz w:val="18"/>
                <w:szCs w:val="18"/>
                <w:color w:val="auto"/>
              </w:rPr>
              <w:t>Net periodic benefit cost for the frozen defined benefit pension plan in process of termination</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7"/>
        </w:trPr>
        <w:tc>
          <w:tcPr>
            <w:tcW w:w="8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4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ind w:left="180" w:hanging="155"/>
        <w:spacing w:after="0" w:line="232" w:lineRule="auto"/>
        <w:tabs>
          <w:tab w:leader="none" w:pos="1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“Selling, general and administrative expenses” in the condensed consolidated statements of income.</w:t>
      </w:r>
    </w:p>
    <w:p>
      <w:pPr>
        <w:ind w:left="180" w:hanging="155"/>
        <w:spacing w:after="0" w:line="209" w:lineRule="auto"/>
        <w:tabs>
          <w:tab w:leader="none" w:pos="1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4 for additional information.</w:t>
      </w:r>
    </w:p>
    <w:p>
      <w:pPr>
        <w:ind w:left="180" w:hanging="155"/>
        <w:spacing w:after="0"/>
        <w:tabs>
          <w:tab w:leader="none" w:pos="1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8"/>
          <w:szCs w:val="18"/>
          <w:color w:val="auto"/>
        </w:rPr>
        <w:t>Average total debt outstanding and interest rates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76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820" w:type="dxa"/>
            <w:vAlign w:val="bottom"/>
            <w:tcBorders>
              <w:top w:val="single" w:sz="8" w:color="auto"/>
            </w:tcBorders>
            <w:gridSpan w:val="5"/>
          </w:tcPr>
          <w:p>
            <w:pPr>
              <w:jc w:val="right"/>
              <w:ind w:right="591"/>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32"/>
        </w:trPr>
        <w:tc>
          <w:tcPr>
            <w:tcW w:w="71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1"/>
        </w:trPr>
        <w:tc>
          <w:tcPr>
            <w:tcW w:w="7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Floating-rate debt with interest charged on a rollover basis plus a credit spread:</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Average total outstanding debt balance</w:t>
            </w:r>
          </w:p>
        </w:tc>
        <w:tc>
          <w:tcPr>
            <w:tcW w:w="280" w:type="dxa"/>
            <w:vAlign w:val="bottom"/>
          </w:tcPr>
          <w:p>
            <w:pPr>
              <w:spacing w:after="0"/>
              <w:rPr>
                <w:sz w:val="19"/>
                <w:szCs w:val="19"/>
                <w:color w:val="auto"/>
              </w:rPr>
            </w:pPr>
          </w:p>
        </w:tc>
        <w:tc>
          <w:tcPr>
            <w:tcW w:w="102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27"/>
        </w:trPr>
        <w:tc>
          <w:tcPr>
            <w:tcW w:w="71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interest rate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9.4 %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682"/>
        </w:trPr>
        <w:tc>
          <w:tcPr>
            <w:tcW w:w="4760" w:type="dxa"/>
            <w:vAlign w:val="bottom"/>
          </w:tcPr>
          <w:p>
            <w:pPr>
              <w:spacing w:after="0"/>
              <w:rPr>
                <w:sz w:val="24"/>
                <w:szCs w:val="24"/>
                <w:color w:val="auto"/>
              </w:rPr>
            </w:pP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Segment Operations Review</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Aluminum Extrusions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1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 summary of results for Aluminum Extrusions is provided below:</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7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560" w:type="dxa"/>
            <w:vAlign w:val="bottom"/>
          </w:tcPr>
          <w:p>
            <w:pPr>
              <w:spacing w:after="0"/>
              <w:rPr>
                <w:sz w:val="22"/>
                <w:szCs w:val="22"/>
                <w:color w:val="auto"/>
              </w:rPr>
            </w:pPr>
          </w:p>
        </w:tc>
        <w:tc>
          <w:tcPr>
            <w:tcW w:w="14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Favorable/</w:t>
            </w:r>
          </w:p>
        </w:tc>
        <w:tc>
          <w:tcPr>
            <w:tcW w:w="0" w:type="dxa"/>
            <w:vAlign w:val="bottom"/>
          </w:tcPr>
          <w:p>
            <w:pPr>
              <w:spacing w:after="0"/>
              <w:rPr>
                <w:sz w:val="1"/>
                <w:szCs w:val="1"/>
                <w:color w:val="auto"/>
              </w:rPr>
            </w:pPr>
          </w:p>
        </w:tc>
      </w:tr>
      <w:tr>
        <w:trPr>
          <w:trHeight w:val="120"/>
        </w:trPr>
        <w:tc>
          <w:tcPr>
            <w:tcW w:w="47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80" w:type="dxa"/>
            <w:vAlign w:val="bottom"/>
            <w:gridSpan w:val="3"/>
            <w:vMerge w:val="restart"/>
          </w:tcPr>
          <w:p>
            <w:pPr>
              <w:jc w:val="right"/>
              <w:ind w:right="291"/>
              <w:spacing w:after="0"/>
              <w:rPr>
                <w:sz w:val="20"/>
                <w:szCs w:val="20"/>
                <w:color w:val="auto"/>
              </w:rPr>
            </w:pPr>
            <w:r>
              <w:rPr>
                <w:rFonts w:ascii="Times New Roman" w:cs="Times New Roman" w:eastAsia="Times New Roman" w:hAnsi="Times New Roman"/>
                <w:sz w:val="18"/>
                <w:szCs w:val="18"/>
                <w:color w:val="auto"/>
              </w:rPr>
              <w:t>March 31,</w:t>
            </w:r>
          </w:p>
        </w:tc>
        <w:tc>
          <w:tcPr>
            <w:tcW w:w="56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80" w:type="dxa"/>
            <w:vAlign w:val="bottom"/>
          </w:tcPr>
          <w:p>
            <w:pPr>
              <w:ind w:left="300"/>
              <w:spacing w:after="0" w:line="163" w:lineRule="exact"/>
              <w:rPr>
                <w:sz w:val="20"/>
                <w:szCs w:val="20"/>
                <w:color w:val="auto"/>
              </w:rPr>
            </w:pPr>
            <w:r>
              <w:rPr>
                <w:rFonts w:ascii="Times New Roman" w:cs="Times New Roman" w:eastAsia="Times New Roman" w:hAnsi="Times New Roman"/>
                <w:sz w:val="18"/>
                <w:szCs w:val="18"/>
                <w:color w:val="auto"/>
              </w:rPr>
              <w:t>(Unfavorable)</w:t>
            </w:r>
          </w:p>
        </w:tc>
        <w:tc>
          <w:tcPr>
            <w:tcW w:w="0" w:type="dxa"/>
            <w:vAlign w:val="bottom"/>
          </w:tcPr>
          <w:p>
            <w:pPr>
              <w:spacing w:after="0"/>
              <w:rPr>
                <w:sz w:val="1"/>
                <w:szCs w:val="1"/>
                <w:color w:val="auto"/>
              </w:rPr>
            </w:pPr>
          </w:p>
        </w:tc>
      </w:tr>
      <w:tr>
        <w:trPr>
          <w:trHeight w:val="232"/>
        </w:trPr>
        <w:tc>
          <w:tcPr>
            <w:tcW w:w="71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351"/>
              <w:spacing w:after="0"/>
              <w:rPr>
                <w:sz w:val="20"/>
                <w:szCs w:val="20"/>
                <w:color w:val="auto"/>
              </w:rPr>
            </w:pPr>
            <w:r>
              <w:rPr>
                <w:rFonts w:ascii="Times New Roman" w:cs="Times New Roman" w:eastAsia="Times New Roman" w:hAnsi="Times New Roman"/>
                <w:sz w:val="18"/>
                <w:szCs w:val="18"/>
                <w:color w:val="auto"/>
              </w:rPr>
              <w:t>2023</w:t>
            </w:r>
          </w:p>
        </w:tc>
        <w:tc>
          <w:tcPr>
            <w:tcW w:w="14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1"/>
        </w:trPr>
        <w:tc>
          <w:tcPr>
            <w:tcW w:w="7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33,841</w:t>
            </w: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37,562</w:t>
            </w:r>
          </w:p>
        </w:tc>
        <w:tc>
          <w:tcPr>
            <w:tcW w:w="148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(9.9)%</w:t>
            </w:r>
          </w:p>
        </w:tc>
        <w:tc>
          <w:tcPr>
            <w:tcW w:w="0" w:type="dxa"/>
            <w:vAlign w:val="bottom"/>
          </w:tcPr>
          <w:p>
            <w:pPr>
              <w:spacing w:after="0"/>
              <w:rPr>
                <w:sz w:val="1"/>
                <w:szCs w:val="1"/>
                <w:color w:val="auto"/>
              </w:rPr>
            </w:pPr>
          </w:p>
        </w:tc>
      </w:tr>
      <w:tr>
        <w:trPr>
          <w:trHeight w:val="234"/>
        </w:trPr>
        <w:tc>
          <w:tcPr>
            <w:tcW w:w="71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114,222</w:t>
            </w:r>
          </w:p>
        </w:tc>
        <w:tc>
          <w:tcPr>
            <w:tcW w:w="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133,370</w:t>
            </w:r>
          </w:p>
        </w:tc>
        <w:tc>
          <w:tcPr>
            <w:tcW w:w="148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9"/>
              </w:rPr>
              <w:t>(14.4)%</w:t>
            </w:r>
          </w:p>
        </w:tc>
        <w:tc>
          <w:tcPr>
            <w:tcW w:w="0" w:type="dxa"/>
            <w:vAlign w:val="bottom"/>
          </w:tcPr>
          <w:p>
            <w:pPr>
              <w:spacing w:after="0"/>
              <w:rPr>
                <w:sz w:val="1"/>
                <w:szCs w:val="1"/>
                <w:color w:val="auto"/>
              </w:rPr>
            </w:pPr>
          </w:p>
        </w:tc>
      </w:tr>
      <w:tr>
        <w:trPr>
          <w:trHeight w:val="227"/>
        </w:trPr>
        <w:tc>
          <w:tcPr>
            <w:tcW w:w="7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Ongoing operations: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12,540</w:t>
            </w:r>
          </w:p>
        </w:tc>
        <w:tc>
          <w:tcPr>
            <w:tcW w:w="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14,638</w:t>
            </w:r>
          </w:p>
        </w:tc>
        <w:tc>
          <w:tcPr>
            <w:tcW w:w="14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(14.3)%</w:t>
            </w:r>
          </w:p>
        </w:tc>
        <w:tc>
          <w:tcPr>
            <w:tcW w:w="0" w:type="dxa"/>
            <w:vAlign w:val="bottom"/>
          </w:tcPr>
          <w:p>
            <w:pPr>
              <w:spacing w:after="0"/>
              <w:rPr>
                <w:sz w:val="1"/>
                <w:szCs w:val="1"/>
                <w:color w:val="auto"/>
              </w:rPr>
            </w:pPr>
          </w:p>
        </w:tc>
      </w:tr>
      <w:tr>
        <w:trPr>
          <w:trHeight w:val="227"/>
        </w:trPr>
        <w:tc>
          <w:tcPr>
            <w:tcW w:w="7140" w:type="dxa"/>
            <w:vAlign w:val="bottom"/>
            <w:tcBorders>
              <w:bottom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2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(4,411)</w:t>
            </w:r>
          </w:p>
        </w:tc>
        <w:tc>
          <w:tcPr>
            <w:tcW w:w="1480" w:type="dxa"/>
            <w:vAlign w:val="bottom"/>
            <w:tcBorders>
              <w:bottom w:val="single" w:sz="8" w:color="auto"/>
            </w:tcBorders>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(3.0)%</w:t>
            </w:r>
          </w:p>
        </w:tc>
        <w:tc>
          <w:tcPr>
            <w:tcW w:w="0" w:type="dxa"/>
            <w:vAlign w:val="bottom"/>
          </w:tcPr>
          <w:p>
            <w:pPr>
              <w:spacing w:after="0"/>
              <w:rPr>
                <w:sz w:val="1"/>
                <w:szCs w:val="1"/>
                <w:color w:val="auto"/>
              </w:rPr>
            </w:pPr>
          </w:p>
        </w:tc>
      </w:tr>
      <w:tr>
        <w:trPr>
          <w:trHeight w:val="227"/>
        </w:trPr>
        <w:tc>
          <w:tcPr>
            <w:tcW w:w="71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7,998</w:t>
            </w:r>
          </w:p>
        </w:tc>
        <w:tc>
          <w:tcPr>
            <w:tcW w:w="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10,227</w:t>
            </w:r>
          </w:p>
        </w:tc>
        <w:tc>
          <w:tcPr>
            <w:tcW w:w="148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9"/>
              </w:rPr>
              <w:t>(21.8)%</w:t>
            </w:r>
          </w:p>
        </w:tc>
        <w:tc>
          <w:tcPr>
            <w:tcW w:w="0" w:type="dxa"/>
            <w:vAlign w:val="bottom"/>
          </w:tcPr>
          <w:p>
            <w:pPr>
              <w:spacing w:after="0"/>
              <w:rPr>
                <w:sz w:val="1"/>
                <w:szCs w:val="1"/>
                <w:color w:val="auto"/>
              </w:rPr>
            </w:pPr>
          </w:p>
        </w:tc>
      </w:tr>
      <w:tr>
        <w:trPr>
          <w:trHeight w:val="234"/>
        </w:trPr>
        <w:tc>
          <w:tcPr>
            <w:tcW w:w="714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1,550</w:t>
            </w:r>
          </w:p>
        </w:tc>
        <w:tc>
          <w:tcPr>
            <w:tcW w:w="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right="1060" w:firstLine="18"/>
        <w:spacing w:after="0" w:line="392" w:lineRule="auto"/>
        <w:rPr>
          <w:sz w:val="20"/>
          <w:szCs w:val="20"/>
          <w:color w:val="auto"/>
        </w:rPr>
      </w:pPr>
      <w:r>
        <w:rPr>
          <w:rFonts w:ascii="Times New Roman" w:cs="Times New Roman" w:eastAsia="Times New Roman" w:hAnsi="Times New Roman"/>
          <w:sz w:val="18"/>
          <w:szCs w:val="18"/>
          <w:color w:val="auto"/>
        </w:rPr>
        <w:t xml:space="preserve">*See the table in Note 9 for a reconciliation of this non-GAAP measure to the most comparable measure calculated in accordance with GAAP. </w:t>
      </w:r>
      <w:r>
        <w:rPr>
          <w:rFonts w:ascii="Times New Roman" w:cs="Times New Roman" w:eastAsia="Times New Roman" w:hAnsi="Times New Roman"/>
          <w:sz w:val="18"/>
          <w:szCs w:val="18"/>
          <w:i w:val="1"/>
          <w:iCs w:val="1"/>
          <w:u w:val="single" w:color="auto"/>
          <w:color w:val="auto"/>
        </w:rPr>
        <w:t>First Quarter 2024 Results vs. First Quarter 2023 Results</w:t>
      </w:r>
    </w:p>
    <w:p>
      <w:pPr>
        <w:spacing w:after="0" w:line="1" w:lineRule="exact"/>
        <w:rPr>
          <w:sz w:val="20"/>
          <w:szCs w:val="20"/>
          <w:color w:val="auto"/>
        </w:rPr>
      </w:pPr>
    </w:p>
    <w:p>
      <w:pPr>
        <w:jc w:val="both"/>
        <w:ind w:right="260" w:firstLine="401"/>
        <w:spacing w:after="0" w:line="247" w:lineRule="auto"/>
        <w:rPr>
          <w:sz w:val="20"/>
          <w:szCs w:val="20"/>
          <w:color w:val="auto"/>
        </w:rPr>
      </w:pPr>
      <w:r>
        <w:rPr>
          <w:rFonts w:ascii="Times New Roman" w:cs="Times New Roman" w:eastAsia="Times New Roman" w:hAnsi="Times New Roman"/>
          <w:sz w:val="18"/>
          <w:szCs w:val="18"/>
          <w:color w:val="auto"/>
        </w:rPr>
        <w:t>Net sales (sales less freight) in the first quarter of 2024 decreased 14.4% versus the first quarter of 2023 primarily due to lower sales volume and the pass-through of lower metal costs. Sales volume in the first quarter of 2024 decreased 9.9% versus the first quarter of 2023 but increased 2.7% versus the fourth quarter 2023.</w:t>
      </w:r>
    </w:p>
    <w:p>
      <w:pPr>
        <w:spacing w:after="0" w:line="56" w:lineRule="exact"/>
        <w:rPr>
          <w:sz w:val="20"/>
          <w:szCs w:val="20"/>
          <w:color w:val="auto"/>
        </w:rPr>
      </w:pPr>
    </w:p>
    <w:p>
      <w:pPr>
        <w:ind w:right="80" w:firstLine="401"/>
        <w:spacing w:after="0" w:line="254" w:lineRule="auto"/>
        <w:rPr>
          <w:sz w:val="20"/>
          <w:szCs w:val="20"/>
          <w:color w:val="auto"/>
        </w:rPr>
      </w:pPr>
      <w:r>
        <w:rPr>
          <w:rFonts w:ascii="Times New Roman" w:cs="Times New Roman" w:eastAsia="Times New Roman" w:hAnsi="Times New Roman"/>
          <w:sz w:val="18"/>
          <w:szCs w:val="18"/>
          <w:color w:val="auto"/>
        </w:rPr>
        <w:t>Net new orders, which remain low compared to pre-pandemic levels but are growing, increased 61% in the first quarter of 2024 versus the first quarter of 2023, marking the sixth consecutive quarterly increase in incoming orders. Since January 2021, net new orders for the Company's aluminum extruded products have generally tracked the ISM® Manufacturing PMI®. The Company believes that net new orders continue to be below pre-pandemic levels due to higher interest rates, tighter lender requirements and the increase in remote working, which particularly impacts the non-residential B&amp;C end-use market. In addition, data indicates that aluminum extrusion imports increased significantly in recent years, especially during the pandemic, and some of Bonnell Aluminum’s customers may have sourced, and continue to source, aluminum extrusions from producers outside the United States.</w:t>
      </w:r>
    </w:p>
    <w:p>
      <w:pPr>
        <w:spacing w:after="0" w:line="63" w:lineRule="exact"/>
        <w:rPr>
          <w:sz w:val="20"/>
          <w:szCs w:val="20"/>
          <w:color w:val="auto"/>
        </w:rPr>
      </w:pPr>
    </w:p>
    <w:p>
      <w:pPr>
        <w:jc w:val="both"/>
        <w:ind w:right="300" w:firstLine="401"/>
        <w:spacing w:after="0" w:line="258" w:lineRule="auto"/>
        <w:rPr>
          <w:sz w:val="20"/>
          <w:szCs w:val="20"/>
          <w:color w:val="auto"/>
        </w:rPr>
      </w:pPr>
      <w:r>
        <w:rPr>
          <w:rFonts w:ascii="Times New Roman" w:cs="Times New Roman" w:eastAsia="Times New Roman" w:hAnsi="Times New Roman"/>
          <w:sz w:val="18"/>
          <w:szCs w:val="18"/>
          <w:color w:val="auto"/>
        </w:rPr>
        <w:t>Open orders at the end of the first quarter of 2024 were 15 million pounds (versus 14 million pounds at the end of the fourth quarter of 2023 and 27 million pounds at the end of the first quarter of 2023). This level is below the quarterly range of 21 to 27 million pounds in 2019 before pandemic-related disruptions (particularly starting in early 2021 with the re-opening of markets following the rollout of vaccines) that resulted in long lead times, driving a peak in open orders of approximately 100 million pounds during the first quarter of 2022.</w:t>
      </w:r>
    </w:p>
    <w:p>
      <w:pPr>
        <w:spacing w:after="0" w:line="60" w:lineRule="exact"/>
        <w:rPr>
          <w:sz w:val="20"/>
          <w:szCs w:val="20"/>
          <w:color w:val="auto"/>
        </w:rPr>
      </w:pPr>
    </w:p>
    <w:p>
      <w:pPr>
        <w:ind w:right="20" w:firstLine="401"/>
        <w:spacing w:after="0" w:line="252" w:lineRule="auto"/>
        <w:rPr>
          <w:sz w:val="20"/>
          <w:szCs w:val="20"/>
          <w:color w:val="auto"/>
        </w:rPr>
      </w:pPr>
      <w:r>
        <w:rPr>
          <w:rFonts w:ascii="Times New Roman" w:cs="Times New Roman" w:eastAsia="Times New Roman" w:hAnsi="Times New Roman"/>
          <w:sz w:val="18"/>
          <w:szCs w:val="18"/>
          <w:color w:val="auto"/>
        </w:rPr>
        <w:t>The Company is participating as part of a coalition of members of the Aluminum Extruders Council who have filed a trade case with the Department of Commerce (“DOC”) and the U.S. International Trade Commission (“ITC”) against 15 countries in response to alleged large and increasing volumes of unfairly priced imports of aluminum extrusions since 2019. In November 2023, the ITC found that there is a reasonable indication that the American aluminum extrusions industry is materially injured or threatened with injury due to imports from 14 countries, including China. The ITC’s preliminary determination found that subject import volumes were significant and increasing, and that with regard to pricing, subject imports predominantly undersold the domestic product by volume in each year of the period of investigation. On May 2, 2024, the DOC announced its preliminarily determination that aluminum extrusion producers and exporters in 14 countries, including China, sold aluminum extrusions at less-than-fair value in the United States. Final determinations, which are expected by the end of the third quarter of 2024, should provide an additional opportunity for Bonnell to regain market share.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8"/>
          <w:szCs w:val="18"/>
          <w:color w:val="auto"/>
        </w:rPr>
        <w:t>EBITDA from ongoing operations in the first quarter of 2024 decreased $2.1 million versus the first quarter of 2023 primarily due to:</w:t>
      </w:r>
    </w:p>
    <w:p>
      <w:pPr>
        <w:spacing w:after="0" w:line="87" w:lineRule="exact"/>
        <w:rPr>
          <w:sz w:val="20"/>
          <w:szCs w:val="20"/>
          <w:color w:val="auto"/>
        </w:rPr>
      </w:pPr>
    </w:p>
    <w:p>
      <w:pPr>
        <w:jc w:val="both"/>
        <w:ind w:left="640" w:right="320" w:hanging="312"/>
        <w:spacing w:after="0" w:line="263"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volume ($3.3 million) offset by higher net pricing after the pass-through of metal cost changes ($2.0 million), lower labor and employee-related costs ($0.6 million), lower supply expense ($0.6 million), lower utility expense ($0.4 million), lower SG&amp;A expenses ($0.3 million) and lower freight rates ($0.2 million); and</w:t>
      </w:r>
    </w:p>
    <w:p>
      <w:pPr>
        <w:spacing w:after="0" w:line="55" w:lineRule="exact"/>
        <w:rPr>
          <w:rFonts w:ascii="Times New Roman" w:cs="Times New Roman" w:eastAsia="Times New Roman" w:hAnsi="Times New Roman"/>
          <w:sz w:val="18"/>
          <w:szCs w:val="18"/>
          <w:color w:val="auto"/>
        </w:rPr>
      </w:pPr>
    </w:p>
    <w:p>
      <w:pPr>
        <w:ind w:left="640" w:right="60" w:hanging="312"/>
        <w:spacing w:after="0" w:line="263"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flow-through under the first-in first-out method of aluminum raw material costs passed through to customers, previously acquired at higher prices in a quickly changing commodity pricing environment, resulted in a charge of $1.2 million in the first quarter of 2024 versus a benefit of $1.7 million in the first quarter of 2023.</w:t>
      </w:r>
    </w:p>
    <w:p>
      <w:pPr>
        <w:spacing w:after="0" w:line="53" w:lineRule="exact"/>
        <w:rPr>
          <w:sz w:val="20"/>
          <w:szCs w:val="20"/>
          <w:color w:val="auto"/>
        </w:rPr>
      </w:pPr>
    </w:p>
    <w:p>
      <w:pPr>
        <w:ind w:right="620" w:firstLine="401"/>
        <w:spacing w:after="0" w:line="350" w:lineRule="auto"/>
        <w:rPr>
          <w:sz w:val="20"/>
          <w:szCs w:val="20"/>
          <w:color w:val="auto"/>
        </w:rPr>
      </w:pPr>
      <w:r>
        <w:rPr>
          <w:rFonts w:ascii="Times New Roman" w:cs="Times New Roman" w:eastAsia="Times New Roman" w:hAnsi="Times New Roman"/>
          <w:sz w:val="18"/>
          <w:szCs w:val="18"/>
          <w:color w:val="auto"/>
        </w:rPr>
        <w:t xml:space="preserve">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aluminum prices. </w:t>
      </w: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ind w:right="300" w:firstLine="401"/>
        <w:spacing w:after="0" w:line="254" w:lineRule="auto"/>
        <w:rPr>
          <w:sz w:val="20"/>
          <w:szCs w:val="20"/>
          <w:color w:val="auto"/>
        </w:rPr>
      </w:pPr>
      <w:r>
        <w:rPr>
          <w:rFonts w:ascii="Times New Roman" w:cs="Times New Roman" w:eastAsia="Times New Roman" w:hAnsi="Times New Roman"/>
          <w:sz w:val="18"/>
          <w:szCs w:val="18"/>
          <w:color w:val="auto"/>
        </w:rPr>
        <w:t>Capital expenditures for Bonnell Aluminum are projected to be $9 million in 2024, including $4 million for productivity projects and $5 million for capital expenditures required to support continuity of operations. The projected spending reflects stringent spending measures that the Company has implemented to control its financial leverage. The multi-year implementation for new enterprise resource planning and manufacturing execution systems ("ERP/MES") has been reorganized with an extended implementation period. As a result, the earliest "go-live" date for the net ERP/MES is 2025. The ERP/MES project commenced in 2022, with spending to-date of approximately $21 million. Depreciation expense is projected to be $16 million in 2024. Amortization expense is projected to be $2 million in 2024.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 Films</w:t>
      </w:r>
    </w:p>
    <w:p>
      <w:pPr>
        <w:spacing w:after="0" w:line="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results for PE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35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3"/>
          </w:tcPr>
          <w:p>
            <w:pPr>
              <w:jc w:val="right"/>
              <w:ind w:right="391"/>
              <w:spacing w:after="0"/>
              <w:rPr>
                <w:sz w:val="20"/>
                <w:szCs w:val="20"/>
                <w:color w:val="auto"/>
              </w:rPr>
            </w:pPr>
            <w:r>
              <w:rPr>
                <w:rFonts w:ascii="Times New Roman" w:cs="Times New Roman" w:eastAsia="Times New Roman" w:hAnsi="Times New Roman"/>
                <w:sz w:val="18"/>
                <w:szCs w:val="18"/>
                <w:color w:val="auto"/>
              </w:rPr>
              <w:t>Three Months Ended</w:t>
            </w:r>
          </w:p>
        </w:tc>
        <w:tc>
          <w:tcPr>
            <w:tcW w:w="1520" w:type="dxa"/>
            <w:vAlign w:val="bottom"/>
            <w:vMerge w:val="restart"/>
          </w:tcPr>
          <w:p>
            <w:pPr>
              <w:jc w:val="center"/>
              <w:ind w:left="31"/>
              <w:spacing w:after="0"/>
              <w:rPr>
                <w:sz w:val="20"/>
                <w:szCs w:val="20"/>
                <w:color w:val="auto"/>
              </w:rPr>
            </w:pPr>
            <w:r>
              <w:rPr>
                <w:rFonts w:ascii="Times New Roman" w:cs="Times New Roman" w:eastAsia="Times New Roman" w:hAnsi="Times New Roman"/>
                <w:sz w:val="18"/>
                <w:szCs w:val="18"/>
                <w:color w:val="auto"/>
                <w:w w:val="98"/>
              </w:rPr>
              <w:t>Favorable/</w:t>
            </w:r>
          </w:p>
        </w:tc>
        <w:tc>
          <w:tcPr>
            <w:tcW w:w="0" w:type="dxa"/>
            <w:vAlign w:val="bottom"/>
          </w:tcPr>
          <w:p>
            <w:pPr>
              <w:spacing w:after="0"/>
              <w:rPr>
                <w:sz w:val="1"/>
                <w:szCs w:val="1"/>
                <w:color w:val="auto"/>
              </w:rPr>
            </w:pPr>
          </w:p>
        </w:tc>
      </w:tr>
      <w:tr>
        <w:trPr>
          <w:trHeight w:val="128"/>
        </w:trPr>
        <w:tc>
          <w:tcPr>
            <w:tcW w:w="7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520" w:type="dxa"/>
            <w:vAlign w:val="bottom"/>
            <w:vMerge w:val="restart"/>
          </w:tcPr>
          <w:p>
            <w:pPr>
              <w:jc w:val="center"/>
              <w:ind w:left="31"/>
              <w:spacing w:after="0" w:line="179" w:lineRule="exact"/>
              <w:rPr>
                <w:sz w:val="20"/>
                <w:szCs w:val="20"/>
                <w:color w:val="auto"/>
              </w:rPr>
            </w:pPr>
            <w:r>
              <w:rPr>
                <w:rFonts w:ascii="Times New Roman" w:cs="Times New Roman" w:eastAsia="Times New Roman" w:hAnsi="Times New Roman"/>
                <w:sz w:val="18"/>
                <w:szCs w:val="18"/>
                <w:color w:val="auto"/>
                <w:w w:val="98"/>
              </w:rPr>
              <w:t>(Unfavorable)</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60" w:type="dxa"/>
            <w:vAlign w:val="bottom"/>
          </w:tcPr>
          <w:p>
            <w:pPr>
              <w:spacing w:after="0" w:line="20" w:lineRule="exact"/>
              <w:rPr>
                <w:sz w:val="1"/>
                <w:szCs w:val="1"/>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line="20" w:lineRule="exact"/>
              <w:rPr>
                <w:sz w:val="1"/>
                <w:szCs w:val="1"/>
                <w:color w:val="auto"/>
              </w:rPr>
            </w:pPr>
          </w:p>
        </w:tc>
        <w:tc>
          <w:tcPr>
            <w:tcW w:w="82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color w:val="auto"/>
              </w:rPr>
              <w:t>2023</w:t>
            </w:r>
          </w:p>
        </w:tc>
        <w:tc>
          <w:tcPr>
            <w:tcW w:w="1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2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52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6"/>
              </w:rPr>
              <w:t>% Change</w:t>
            </w:r>
          </w:p>
        </w:tc>
        <w:tc>
          <w:tcPr>
            <w:tcW w:w="0" w:type="dxa"/>
            <w:vAlign w:val="bottom"/>
          </w:tcPr>
          <w:p>
            <w:pPr>
              <w:spacing w:after="0"/>
              <w:rPr>
                <w:sz w:val="1"/>
                <w:szCs w:val="1"/>
                <w:color w:val="auto"/>
              </w:rPr>
            </w:pPr>
          </w:p>
        </w:tc>
      </w:tr>
      <w:tr>
        <w:trPr>
          <w:trHeight w:val="22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10,036</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5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36.2%</w:t>
            </w:r>
          </w:p>
        </w:tc>
        <w:tc>
          <w:tcPr>
            <w:tcW w:w="0" w:type="dxa"/>
            <w:vAlign w:val="bottom"/>
          </w:tcPr>
          <w:p>
            <w:pPr>
              <w:spacing w:after="0"/>
              <w:rPr>
                <w:sz w:val="1"/>
                <w:szCs w:val="1"/>
                <w:color w:val="auto"/>
              </w:rPr>
            </w:pPr>
          </w:p>
        </w:tc>
      </w:tr>
      <w:tr>
        <w:trPr>
          <w:trHeight w:val="234"/>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24,735</w:t>
            </w:r>
          </w:p>
        </w:tc>
        <w:tc>
          <w:tcPr>
            <w:tcW w:w="4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20,182</w:t>
            </w:r>
          </w:p>
        </w:tc>
        <w:tc>
          <w:tcPr>
            <w:tcW w:w="152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8"/>
              </w:rPr>
              <w:t>22.6%</w:t>
            </w:r>
          </w:p>
        </w:tc>
        <w:tc>
          <w:tcPr>
            <w:tcW w:w="0" w:type="dxa"/>
            <w:vAlign w:val="bottom"/>
          </w:tcPr>
          <w:p>
            <w:pPr>
              <w:spacing w:after="0"/>
              <w:rPr>
                <w:sz w:val="1"/>
                <w:szCs w:val="1"/>
                <w:color w:val="auto"/>
              </w:rPr>
            </w:pPr>
          </w:p>
        </w:tc>
      </w:tr>
      <w:tr>
        <w:trPr>
          <w:trHeight w:val="227"/>
        </w:trPr>
        <w:tc>
          <w:tcPr>
            <w:tcW w:w="7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Ongoing operations: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6,904</w:t>
            </w:r>
          </w:p>
        </w:tc>
        <w:tc>
          <w:tcPr>
            <w:tcW w:w="4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5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273.4%</w:t>
            </w:r>
          </w:p>
        </w:tc>
        <w:tc>
          <w:tcPr>
            <w:tcW w:w="0" w:type="dxa"/>
            <w:vAlign w:val="bottom"/>
          </w:tcPr>
          <w:p>
            <w:pPr>
              <w:spacing w:after="0"/>
              <w:rPr>
                <w:sz w:val="1"/>
                <w:szCs w:val="1"/>
                <w:color w:val="auto"/>
              </w:rPr>
            </w:pPr>
          </w:p>
        </w:tc>
      </w:tr>
      <w:tr>
        <w:trPr>
          <w:trHeight w:val="227"/>
        </w:trPr>
        <w:tc>
          <w:tcPr>
            <w:tcW w:w="72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520" w:type="dxa"/>
            <w:vAlign w:val="bottom"/>
            <w:tcBorders>
              <w:bottom w:val="single" w:sz="8" w:color="auto"/>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19.1%</w:t>
            </w:r>
          </w:p>
        </w:tc>
        <w:tc>
          <w:tcPr>
            <w:tcW w:w="0" w:type="dxa"/>
            <w:vAlign w:val="bottom"/>
          </w:tcPr>
          <w:p>
            <w:pPr>
              <w:spacing w:after="0"/>
              <w:rPr>
                <w:sz w:val="1"/>
                <w:szCs w:val="1"/>
                <w:color w:val="auto"/>
              </w:rPr>
            </w:pPr>
          </w:p>
        </w:tc>
      </w:tr>
      <w:tr>
        <w:trPr>
          <w:trHeight w:val="227"/>
        </w:trPr>
        <w:tc>
          <w:tcPr>
            <w:tcW w:w="7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5,575</w:t>
            </w:r>
          </w:p>
        </w:tc>
        <w:tc>
          <w:tcPr>
            <w:tcW w:w="4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52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7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394</w:t>
            </w:r>
          </w:p>
        </w:tc>
        <w:tc>
          <w:tcPr>
            <w:tcW w:w="4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5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0" w:right="1000" w:firstLine="5"/>
        <w:spacing w:after="0" w:line="241" w:lineRule="auto"/>
        <w:tabs>
          <w:tab w:leader="none" w:pos="1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table in Note 9 for a reconciliation of this non-GAAP measure to the most comparable measure calculated in accordance with GAAP. ** Not meaningful ("NM")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Quarter 2024 Results vs. First Quarter 2023 Results</w:t>
      </w:r>
    </w:p>
    <w:p>
      <w:pPr>
        <w:spacing w:after="0" w:line="76" w:lineRule="exact"/>
        <w:rPr>
          <w:sz w:val="20"/>
          <w:szCs w:val="20"/>
          <w:color w:val="auto"/>
        </w:rPr>
      </w:pPr>
    </w:p>
    <w:p>
      <w:pPr>
        <w:ind w:right="60" w:firstLine="401"/>
        <w:spacing w:after="0" w:line="242" w:lineRule="auto"/>
        <w:rPr>
          <w:sz w:val="20"/>
          <w:szCs w:val="20"/>
          <w:color w:val="auto"/>
        </w:rPr>
      </w:pPr>
      <w:r>
        <w:rPr>
          <w:rFonts w:ascii="Times New Roman" w:cs="Times New Roman" w:eastAsia="Times New Roman" w:hAnsi="Times New Roman"/>
          <w:sz w:val="18"/>
          <w:szCs w:val="18"/>
          <w:color w:val="auto"/>
        </w:rPr>
        <w:t>Net sales in the first quarter of 2024 were 22.6% higher compared to the first quarter of 2023, with volume increases in both Surface Protection and overwrap films. Surface Protection sales volume in the first quarter of 2024 increased 43% versus the first quarter of 2023 and 30% versus the fourth quarter of 2023. Given recent volume improvements for Surface Protection and other market indicators, the Company believes that the consumer electronics market is now in recovery mode.</w:t>
      </w:r>
    </w:p>
    <w:p>
      <w:pPr>
        <w:spacing w:after="0" w:line="75" w:lineRule="exact"/>
        <w:rPr>
          <w:sz w:val="20"/>
          <w:szCs w:val="20"/>
          <w:color w:val="auto"/>
        </w:rPr>
      </w:pPr>
    </w:p>
    <w:p>
      <w:pPr>
        <w:ind w:right="520" w:firstLine="401"/>
        <w:spacing w:after="0" w:line="278" w:lineRule="auto"/>
        <w:rPr>
          <w:sz w:val="20"/>
          <w:szCs w:val="20"/>
          <w:color w:val="auto"/>
        </w:rPr>
      </w:pPr>
      <w:r>
        <w:rPr>
          <w:rFonts w:ascii="Times New Roman" w:cs="Times New Roman" w:eastAsia="Times New Roman" w:hAnsi="Times New Roman"/>
          <w:sz w:val="18"/>
          <w:szCs w:val="18"/>
          <w:color w:val="auto"/>
        </w:rPr>
        <w:t>EBITDA from ongoing operations during the first quarter of 2024 was $6.9 million, which was exceptional and well above comparable amounts realized during the second and first halves of 2023 of $8.6 million and $2.7 million, respectively.</w:t>
      </w:r>
    </w:p>
    <w:p>
      <w:pPr>
        <w:spacing w:after="0" w:line="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EBITDA from ongoing operations in the first quarter of 2024 increased $5.1 million versus the first quarter of 2023, primarily due to:</w:t>
      </w:r>
    </w:p>
    <w:p>
      <w:pPr>
        <w:spacing w:after="0" w:line="101" w:lineRule="exact"/>
        <w:rPr>
          <w:sz w:val="20"/>
          <w:szCs w:val="20"/>
          <w:color w:val="auto"/>
        </w:rPr>
      </w:pPr>
    </w:p>
    <w:p>
      <w:pPr>
        <w:ind w:left="640" w:right="160" w:hanging="232"/>
        <w:spacing w:after="0" w:line="263"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$4.4 million increase from Surface Protection primarily due to higher contribution margin associated with higher volume ($1.0 million), favorable pricing ($0.3 million), operating efficiencies and manufacturing costs savings ($1.9 million), lower fixed costs ($0.4 million), and lower SG&amp;A ($0.7 million, including $0.6 million associated with the closure of the Richmond Technical Center in 2023).</w:t>
      </w:r>
    </w:p>
    <w:p>
      <w:pPr>
        <w:spacing w:after="0" w:line="55" w:lineRule="exact"/>
        <w:rPr>
          <w:rFonts w:ascii="Times New Roman" w:cs="Times New Roman" w:eastAsia="Times New Roman" w:hAnsi="Times New Roman"/>
          <w:sz w:val="18"/>
          <w:szCs w:val="18"/>
          <w:color w:val="auto"/>
        </w:rPr>
      </w:pPr>
    </w:p>
    <w:p>
      <w:pPr>
        <w:ind w:left="640" w:hanging="23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$0.7 million increase from overwrap films primarily due to cost improvements.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4" w:name="page25"/>
    <w:bookmarkEnd w:id="24"/>
    <w:p>
      <w:pPr>
        <w:ind w:right="260" w:firstLine="401"/>
        <w:spacing w:after="0" w:line="280" w:lineRule="auto"/>
        <w:rPr>
          <w:sz w:val="20"/>
          <w:szCs w:val="20"/>
          <w:color w:val="auto"/>
        </w:rPr>
      </w:pPr>
      <w:r>
        <w:rPr>
          <w:rFonts w:ascii="Times New Roman" w:cs="Times New Roman" w:eastAsia="Times New Roman" w:hAnsi="Times New Roman"/>
          <w:sz w:val="18"/>
          <w:szCs w:val="18"/>
          <w:color w:val="auto"/>
        </w:rPr>
        <w:t xml:space="preserve">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resin prices. </w:t>
      </w:r>
      <w:r>
        <w:rPr>
          <w:rFonts w:ascii="Times New Roman" w:cs="Times New Roman" w:eastAsia="Times New Roman" w:hAnsi="Times New Roman"/>
          <w:sz w:val="18"/>
          <w:szCs w:val="18"/>
          <w:i w:val="1"/>
          <w:iCs w:val="1"/>
          <w:u w:val="single" w:color="auto"/>
          <w:color w:val="auto"/>
        </w:rPr>
        <w:t>Projected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Capital Expenditures and Depreciation &amp; Amortization</w:t>
      </w:r>
    </w:p>
    <w:p>
      <w:pPr>
        <w:spacing w:after="0" w:line="27" w:lineRule="exact"/>
        <w:rPr>
          <w:sz w:val="20"/>
          <w:szCs w:val="20"/>
          <w:color w:val="auto"/>
        </w:rPr>
      </w:pPr>
    </w:p>
    <w:p>
      <w:pPr>
        <w:jc w:val="both"/>
        <w:ind w:right="500" w:firstLine="401"/>
        <w:spacing w:after="0" w:line="263" w:lineRule="auto"/>
        <w:rPr>
          <w:sz w:val="20"/>
          <w:szCs w:val="20"/>
          <w:color w:val="auto"/>
        </w:rPr>
      </w:pPr>
      <w:r>
        <w:rPr>
          <w:rFonts w:ascii="Times New Roman" w:cs="Times New Roman" w:eastAsia="Times New Roman" w:hAnsi="Times New Roman"/>
          <w:sz w:val="18"/>
          <w:szCs w:val="18"/>
          <w:color w:val="auto"/>
        </w:rPr>
        <w:t>Capital expenditures for PE Films are projected to be $2 million in 2024, including $1 million for productivity projects and $1 million for capital expenditures required to support continuity of current operations. Depreciation expense is projected to be $5 million in 2024. There is no amortization expense for PE Films.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Flexible Packaging Films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results for Flexible Packaging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35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3"/>
          </w:tcPr>
          <w:p>
            <w:pPr>
              <w:jc w:val="right"/>
              <w:ind w:right="171"/>
              <w:spacing w:after="0"/>
              <w:rPr>
                <w:sz w:val="20"/>
                <w:szCs w:val="20"/>
                <w:color w:val="auto"/>
              </w:rPr>
            </w:pPr>
            <w:r>
              <w:rPr>
                <w:rFonts w:ascii="Times New Roman" w:cs="Times New Roman" w:eastAsia="Times New Roman" w:hAnsi="Times New Roman"/>
                <w:sz w:val="18"/>
                <w:szCs w:val="18"/>
                <w:color w:val="auto"/>
              </w:rPr>
              <w:t>Three Months Ended</w:t>
            </w:r>
          </w:p>
        </w:tc>
        <w:tc>
          <w:tcPr>
            <w:tcW w:w="1480" w:type="dxa"/>
            <w:vAlign w:val="bottom"/>
            <w:vMerge w:val="restart"/>
          </w:tcPr>
          <w:p>
            <w:pPr>
              <w:jc w:val="center"/>
              <w:ind w:left="32"/>
              <w:spacing w:after="0"/>
              <w:rPr>
                <w:sz w:val="20"/>
                <w:szCs w:val="20"/>
                <w:color w:val="auto"/>
              </w:rPr>
            </w:pPr>
            <w:r>
              <w:rPr>
                <w:rFonts w:ascii="Times New Roman" w:cs="Times New Roman" w:eastAsia="Times New Roman" w:hAnsi="Times New Roman"/>
                <w:sz w:val="18"/>
                <w:szCs w:val="18"/>
                <w:color w:val="auto"/>
                <w:w w:val="98"/>
              </w:rPr>
              <w:t>Favorable/</w:t>
            </w:r>
          </w:p>
        </w:tc>
        <w:tc>
          <w:tcPr>
            <w:tcW w:w="0" w:type="dxa"/>
            <w:vAlign w:val="bottom"/>
          </w:tcPr>
          <w:p>
            <w:pPr>
              <w:spacing w:after="0"/>
              <w:rPr>
                <w:sz w:val="1"/>
                <w:szCs w:val="1"/>
                <w:color w:val="auto"/>
              </w:rPr>
            </w:pPr>
          </w:p>
        </w:tc>
      </w:tr>
      <w:tr>
        <w:trPr>
          <w:trHeight w:val="120"/>
        </w:trPr>
        <w:tc>
          <w:tcPr>
            <w:tcW w:w="7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60" w:type="dxa"/>
            <w:vAlign w:val="bottom"/>
            <w:gridSpan w:val="3"/>
            <w:vMerge w:val="restart"/>
          </w:tcPr>
          <w:p>
            <w:pPr>
              <w:jc w:val="right"/>
              <w:ind w:right="571"/>
              <w:spacing w:after="0"/>
              <w:rPr>
                <w:sz w:val="20"/>
                <w:szCs w:val="20"/>
                <w:color w:val="auto"/>
              </w:rPr>
            </w:pPr>
            <w:r>
              <w:rPr>
                <w:rFonts w:ascii="Times New Roman" w:cs="Times New Roman" w:eastAsia="Times New Roman" w:hAnsi="Times New Roman"/>
                <w:sz w:val="18"/>
                <w:szCs w:val="18"/>
                <w:color w:val="auto"/>
              </w:rPr>
              <w:t>March 31,</w:t>
            </w: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77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vMerge w:val="continue"/>
          </w:tcPr>
          <w:p>
            <w:pPr>
              <w:spacing w:after="0"/>
              <w:rPr>
                <w:sz w:val="13"/>
                <w:szCs w:val="13"/>
                <w:color w:val="auto"/>
              </w:rPr>
            </w:pPr>
          </w:p>
        </w:tc>
        <w:tc>
          <w:tcPr>
            <w:tcW w:w="1480" w:type="dxa"/>
            <w:vAlign w:val="bottom"/>
          </w:tcPr>
          <w:p>
            <w:pPr>
              <w:jc w:val="center"/>
              <w:ind w:left="32"/>
              <w:spacing w:after="0" w:line="154" w:lineRule="exact"/>
              <w:rPr>
                <w:sz w:val="20"/>
                <w:szCs w:val="20"/>
                <w:color w:val="auto"/>
              </w:rPr>
            </w:pPr>
            <w:r>
              <w:rPr>
                <w:rFonts w:ascii="Times New Roman" w:cs="Times New Roman" w:eastAsia="Times New Roman" w:hAnsi="Times New Roman"/>
                <w:sz w:val="17"/>
                <w:szCs w:val="17"/>
                <w:color w:val="auto"/>
              </w:rPr>
              <w:t>(Unfavorable)</w:t>
            </w:r>
          </w:p>
        </w:tc>
        <w:tc>
          <w:tcPr>
            <w:tcW w:w="0" w:type="dxa"/>
            <w:vAlign w:val="bottom"/>
          </w:tcPr>
          <w:p>
            <w:pPr>
              <w:spacing w:after="0"/>
              <w:rPr>
                <w:sz w:val="1"/>
                <w:szCs w:val="1"/>
                <w:color w:val="auto"/>
              </w:rPr>
            </w:pPr>
          </w:p>
        </w:tc>
      </w:tr>
      <w:tr>
        <w:trPr>
          <w:trHeight w:val="241"/>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2023</w:t>
            </w:r>
          </w:p>
        </w:tc>
        <w:tc>
          <w:tcPr>
            <w:tcW w:w="148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6"/>
              </w:rPr>
              <w:t>% Change</w:t>
            </w:r>
          </w:p>
        </w:tc>
        <w:tc>
          <w:tcPr>
            <w:tcW w:w="0" w:type="dxa"/>
            <w:vAlign w:val="bottom"/>
          </w:tcPr>
          <w:p>
            <w:pPr>
              <w:spacing w:after="0"/>
              <w:rPr>
                <w:sz w:val="1"/>
                <w:szCs w:val="1"/>
                <w:color w:val="auto"/>
              </w:rPr>
            </w:pPr>
          </w:p>
        </w:tc>
      </w:tr>
      <w:tr>
        <w:trPr>
          <w:trHeight w:val="22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21,973</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19,845</w:t>
            </w:r>
          </w:p>
        </w:tc>
        <w:tc>
          <w:tcPr>
            <w:tcW w:w="148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8"/>
              </w:rPr>
              <w:t>10.7%</w:t>
            </w:r>
          </w:p>
        </w:tc>
        <w:tc>
          <w:tcPr>
            <w:tcW w:w="0" w:type="dxa"/>
            <w:vAlign w:val="bottom"/>
          </w:tcPr>
          <w:p>
            <w:pPr>
              <w:spacing w:after="0"/>
              <w:rPr>
                <w:sz w:val="1"/>
                <w:szCs w:val="1"/>
                <w:color w:val="auto"/>
              </w:rPr>
            </w:pPr>
          </w:p>
        </w:tc>
      </w:tr>
      <w:tr>
        <w:trPr>
          <w:trHeight w:val="234"/>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30,113</w:t>
            </w:r>
          </w:p>
        </w:tc>
        <w:tc>
          <w:tcPr>
            <w:tcW w:w="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31,527</w:t>
            </w:r>
          </w:p>
        </w:tc>
        <w:tc>
          <w:tcPr>
            <w:tcW w:w="148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6"/>
              </w:rPr>
              <w:t>(4.5)%</w:t>
            </w:r>
          </w:p>
        </w:tc>
        <w:tc>
          <w:tcPr>
            <w:tcW w:w="0" w:type="dxa"/>
            <w:vAlign w:val="bottom"/>
          </w:tcPr>
          <w:p>
            <w:pPr>
              <w:spacing w:after="0"/>
              <w:rPr>
                <w:sz w:val="1"/>
                <w:szCs w:val="1"/>
                <w:color w:val="auto"/>
              </w:rPr>
            </w:pPr>
          </w:p>
        </w:tc>
      </w:tr>
      <w:tr>
        <w:trPr>
          <w:trHeight w:val="227"/>
        </w:trPr>
        <w:tc>
          <w:tcPr>
            <w:tcW w:w="7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Ongoing operations: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1,963</w:t>
            </w:r>
          </w:p>
        </w:tc>
        <w:tc>
          <w:tcPr>
            <w:tcW w:w="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8"/>
              </w:rPr>
              <w:t>45.4%</w:t>
            </w:r>
          </w:p>
        </w:tc>
        <w:tc>
          <w:tcPr>
            <w:tcW w:w="0" w:type="dxa"/>
            <w:vAlign w:val="bottom"/>
          </w:tcPr>
          <w:p>
            <w:pPr>
              <w:spacing w:after="0"/>
              <w:rPr>
                <w:sz w:val="1"/>
                <w:szCs w:val="1"/>
                <w:color w:val="auto"/>
              </w:rPr>
            </w:pPr>
          </w:p>
        </w:tc>
      </w:tr>
      <w:tr>
        <w:trPr>
          <w:trHeight w:val="227"/>
        </w:trPr>
        <w:tc>
          <w:tcPr>
            <w:tcW w:w="7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480" w:type="dxa"/>
            <w:vAlign w:val="bottom"/>
            <w:tcBorders>
              <w:bottom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(7.3)%</w:t>
            </w:r>
          </w:p>
        </w:tc>
        <w:tc>
          <w:tcPr>
            <w:tcW w:w="0" w:type="dxa"/>
            <w:vAlign w:val="bottom"/>
          </w:tcPr>
          <w:p>
            <w:pPr>
              <w:spacing w:after="0"/>
              <w:rPr>
                <w:sz w:val="1"/>
                <w:szCs w:val="1"/>
                <w:color w:val="auto"/>
              </w:rPr>
            </w:pPr>
          </w:p>
        </w:tc>
      </w:tr>
      <w:tr>
        <w:trPr>
          <w:trHeight w:val="227"/>
        </w:trPr>
        <w:tc>
          <w:tcPr>
            <w:tcW w:w="7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1,212</w:t>
            </w:r>
          </w:p>
        </w:tc>
        <w:tc>
          <w:tcPr>
            <w:tcW w:w="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8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8"/>
              </w:rPr>
              <w:t>86.5%</w:t>
            </w:r>
          </w:p>
        </w:tc>
        <w:tc>
          <w:tcPr>
            <w:tcW w:w="0" w:type="dxa"/>
            <w:vAlign w:val="bottom"/>
          </w:tcPr>
          <w:p>
            <w:pPr>
              <w:spacing w:after="0"/>
              <w:rPr>
                <w:sz w:val="1"/>
                <w:szCs w:val="1"/>
                <w:color w:val="auto"/>
              </w:rPr>
            </w:pPr>
          </w:p>
        </w:tc>
      </w:tr>
      <w:tr>
        <w:trPr>
          <w:trHeight w:val="234"/>
        </w:trPr>
        <w:tc>
          <w:tcPr>
            <w:tcW w:w="7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518</w:t>
            </w:r>
          </w:p>
        </w:tc>
        <w:tc>
          <w:tcPr>
            <w:tcW w:w="2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right="1000" w:firstLine="18"/>
        <w:spacing w:after="0" w:line="400" w:lineRule="auto"/>
        <w:rPr>
          <w:sz w:val="20"/>
          <w:szCs w:val="20"/>
          <w:color w:val="auto"/>
        </w:rPr>
      </w:pPr>
      <w:r>
        <w:rPr>
          <w:rFonts w:ascii="Times New Roman" w:cs="Times New Roman" w:eastAsia="Times New Roman" w:hAnsi="Times New Roman"/>
          <w:sz w:val="18"/>
          <w:szCs w:val="18"/>
          <w:color w:val="auto"/>
        </w:rPr>
        <w:t xml:space="preserve">* See the table in Note 9 for a reconciliation of this non-GAAP measure to the most comparable measure calculated in accordance with GAAP. </w:t>
      </w:r>
      <w:r>
        <w:rPr>
          <w:rFonts w:ascii="Times New Roman" w:cs="Times New Roman" w:eastAsia="Times New Roman" w:hAnsi="Times New Roman"/>
          <w:sz w:val="18"/>
          <w:szCs w:val="18"/>
          <w:i w:val="1"/>
          <w:iCs w:val="1"/>
          <w:u w:val="single" w:color="auto"/>
          <w:color w:val="auto"/>
        </w:rPr>
        <w:t>First Quarter 2024 Results vs. First Quarter 2023 Results</w:t>
      </w:r>
    </w:p>
    <w:p>
      <w:pPr>
        <w:spacing w:after="0" w:line="1" w:lineRule="exact"/>
        <w:rPr>
          <w:sz w:val="20"/>
          <w:szCs w:val="20"/>
          <w:color w:val="auto"/>
        </w:rPr>
      </w:pPr>
    </w:p>
    <w:p>
      <w:pPr>
        <w:ind w:right="120" w:firstLine="401"/>
        <w:spacing w:after="0" w:line="263" w:lineRule="auto"/>
        <w:rPr>
          <w:sz w:val="20"/>
          <w:szCs w:val="20"/>
          <w:color w:val="auto"/>
        </w:rPr>
      </w:pPr>
      <w:r>
        <w:rPr>
          <w:rFonts w:ascii="Times New Roman" w:cs="Times New Roman" w:eastAsia="Times New Roman" w:hAnsi="Times New Roman"/>
          <w:sz w:val="18"/>
          <w:szCs w:val="18"/>
          <w:color w:val="auto"/>
        </w:rPr>
        <w:t>Net sales in the first quarter of 2024 decreased 4.5% compared to the first quarter of 2023 primarily due to lower selling prices that the Company believes are driven by excess global capacity and strong competition in Brazil, Latin America and the U.S., and unfavorable product mix, partially offset by higher sales volume.</w:t>
      </w:r>
    </w:p>
    <w:p>
      <w:pPr>
        <w:spacing w:after="0" w:line="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EBITDA from ongoing operations in the first quarter of 2024 increased $0.6 million versus the first quarter of 2023, primarily due to:</w:t>
      </w:r>
    </w:p>
    <w:p>
      <w:pPr>
        <w:spacing w:after="0" w:line="101" w:lineRule="exact"/>
        <w:rPr>
          <w:sz w:val="20"/>
          <w:szCs w:val="20"/>
          <w:color w:val="auto"/>
        </w:rPr>
      </w:pPr>
    </w:p>
    <w:p>
      <w:pPr>
        <w:ind w:left="640" w:right="360" w:hanging="312"/>
        <w:spacing w:after="0" w:line="308" w:lineRule="auto"/>
        <w:tabs>
          <w:tab w:leader="none" w:pos="6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raw material costs ($1.9 million), lower fixed costs ($1.7 million), higher sales volume ($ 1.0 million) and lower SG&amp;A ($0.2 million), partially offset by lower selling prices from global excess capacity and margin pressures ($2.1 million) and higher variable costs ($1.3 million);</w:t>
      </w:r>
    </w:p>
    <w:p>
      <w:pPr>
        <w:spacing w:after="0" w:line="19" w:lineRule="exact"/>
        <w:rPr>
          <w:rFonts w:ascii="Times New Roman" w:cs="Times New Roman" w:eastAsia="Times New Roman" w:hAnsi="Times New Roman"/>
          <w:sz w:val="17"/>
          <w:szCs w:val="17"/>
          <w:color w:val="auto"/>
        </w:rPr>
      </w:pPr>
    </w:p>
    <w:p>
      <w:pPr>
        <w:ind w:left="640" w:right="240" w:hanging="312"/>
        <w:spacing w:after="0" w:line="278"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transaction gains ($0.1 million) in the first quarter of 2024 compared to foreign currency transaction losses ($0.1 million) in the first quarter of 2023; and</w:t>
      </w:r>
    </w:p>
    <w:p>
      <w:pPr>
        <w:spacing w:after="0" w:line="28"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unfavorable foreign currency translation of Real-denominated operating costs ($0.9 million).</w:t>
      </w:r>
    </w:p>
    <w:p>
      <w:pPr>
        <w:spacing w:after="0" w:line="99" w:lineRule="exact"/>
        <w:rPr>
          <w:sz w:val="20"/>
          <w:szCs w:val="20"/>
          <w:color w:val="auto"/>
        </w:rPr>
      </w:pPr>
    </w:p>
    <w:p>
      <w:pPr>
        <w:ind w:right="520" w:firstLine="401"/>
        <w:spacing w:after="0" w:line="280" w:lineRule="auto"/>
        <w:rPr>
          <w:sz w:val="20"/>
          <w:szCs w:val="20"/>
          <w:color w:val="auto"/>
        </w:rPr>
      </w:pPr>
      <w:r>
        <w:rPr>
          <w:rFonts w:ascii="Times New Roman" w:cs="Times New Roman" w:eastAsia="Times New Roman" w:hAnsi="Times New Roman"/>
          <w:sz w:val="18"/>
          <w:szCs w:val="18"/>
          <w:color w:val="auto"/>
        </w:rPr>
        <w:t xml:space="preserve">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polyester fiber and component price trends.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89" w:lineRule="exact"/>
        <w:rPr>
          <w:sz w:val="20"/>
          <w:szCs w:val="20"/>
          <w:color w:val="auto"/>
        </w:rPr>
      </w:pPr>
    </w:p>
    <w:p>
      <w:pPr>
        <w:ind w:right="420" w:firstLine="401"/>
        <w:spacing w:after="0" w:line="278" w:lineRule="auto"/>
        <w:rPr>
          <w:sz w:val="20"/>
          <w:szCs w:val="20"/>
          <w:color w:val="auto"/>
        </w:rPr>
      </w:pPr>
      <w:r>
        <w:rPr>
          <w:rFonts w:ascii="Times New Roman" w:cs="Times New Roman" w:eastAsia="Times New Roman" w:hAnsi="Times New Roman"/>
          <w:sz w:val="18"/>
          <w:szCs w:val="18"/>
          <w:color w:val="auto"/>
        </w:rPr>
        <w:t>Capital expenditures for Flexible Packaging Films are projected to be $4 million in 2024 for capital expenditures required to support continuity of current operations. Depreciation expense is projected to be $3 million in 2024. Amortization expense is projected to be $0.1 million in 2024.</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Expenses, Interest &amp; Other</w:t>
      </w:r>
    </w:p>
    <w:p>
      <w:pPr>
        <w:spacing w:after="0" w:line="118" w:lineRule="exact"/>
        <w:rPr>
          <w:sz w:val="20"/>
          <w:szCs w:val="20"/>
          <w:color w:val="auto"/>
        </w:rPr>
      </w:pPr>
    </w:p>
    <w:p>
      <w:pPr>
        <w:jc w:val="both"/>
        <w:ind w:right="140" w:firstLine="642"/>
        <w:spacing w:after="0" w:line="263" w:lineRule="auto"/>
        <w:rPr>
          <w:sz w:val="20"/>
          <w:szCs w:val="20"/>
          <w:color w:val="auto"/>
        </w:rPr>
      </w:pPr>
      <w:r>
        <w:rPr>
          <w:rFonts w:ascii="Times New Roman" w:cs="Times New Roman" w:eastAsia="Times New Roman" w:hAnsi="Times New Roman"/>
          <w:sz w:val="18"/>
          <w:szCs w:val="18"/>
          <w:color w:val="auto"/>
        </w:rPr>
        <w:t>Corporate expenses, net in the first three months of 2024 decreased $3.2 million compared to the first three months of 2023 primarily due to lower pension expense as a result of the pension plan termination completed in 2023 ($3.4 million) and lower internal audit fees ($0.3 million), partially offset by higher stock-based compensation ($0.6 million).</w:t>
      </w:r>
    </w:p>
    <w:p>
      <w:pPr>
        <w:spacing w:after="0" w:line="55" w:lineRule="exact"/>
        <w:rPr>
          <w:sz w:val="20"/>
          <w:szCs w:val="20"/>
          <w:color w:val="auto"/>
        </w:rPr>
      </w:pPr>
    </w:p>
    <w:p>
      <w:pPr>
        <w:ind w:right="520" w:firstLine="401"/>
        <w:spacing w:after="0" w:line="278" w:lineRule="auto"/>
        <w:rPr>
          <w:sz w:val="20"/>
          <w:szCs w:val="20"/>
          <w:color w:val="auto"/>
        </w:rPr>
      </w:pPr>
      <w:r>
        <w:rPr>
          <w:rFonts w:ascii="Times New Roman" w:cs="Times New Roman" w:eastAsia="Times New Roman" w:hAnsi="Times New Roman"/>
          <w:sz w:val="18"/>
          <w:szCs w:val="18"/>
          <w:color w:val="auto"/>
        </w:rPr>
        <w:t>Interest expense of $3.5 million in the first three months of 2024 increased $1.1 million compared to the first three months of 2023 due to higher average debt levels and interest rates.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Status of Agreement to Sell Terphane</w:t>
      </w:r>
    </w:p>
    <w:p>
      <w:pPr>
        <w:spacing w:after="0" w:line="105" w:lineRule="exact"/>
        <w:rPr>
          <w:sz w:val="20"/>
          <w:szCs w:val="20"/>
          <w:color w:val="auto"/>
        </w:rPr>
      </w:pPr>
    </w:p>
    <w:p>
      <w:pPr>
        <w:ind w:right="360" w:firstLine="401"/>
        <w:spacing w:after="0" w:line="258" w:lineRule="auto"/>
        <w:rPr>
          <w:sz w:val="20"/>
          <w:szCs w:val="20"/>
          <w:color w:val="auto"/>
        </w:rPr>
      </w:pPr>
      <w:r>
        <w:rPr>
          <w:rFonts w:ascii="Times New Roman" w:cs="Times New Roman" w:eastAsia="Times New Roman" w:hAnsi="Times New Roman"/>
          <w:sz w:val="18"/>
          <w:szCs w:val="18"/>
          <w:color w:val="auto"/>
        </w:rPr>
        <w:t>On September 1, 2023, the Company announced that it had entered into a definitive agreement to sell Terphane to Oben Group (the “Contingent Terphane Sale”). Completion of the sale is contingent upon the satisfaction of customary closing conditions, including the receipt of certain competition filing approvals by authorities in Brazil and Colombia. On October 27, 2023, the Company filed the requisite competition forms with the Administrative Council for Economic Defense (“CADE”) in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5" w:name="page26"/>
    <w:bookmarkEnd w:id="25"/>
    <w:p>
      <w:pPr>
        <w:ind w:right="180"/>
        <w:spacing w:after="0" w:line="278" w:lineRule="auto"/>
        <w:rPr>
          <w:sz w:val="20"/>
          <w:szCs w:val="20"/>
          <w:color w:val="auto"/>
        </w:rPr>
      </w:pPr>
      <w:r>
        <w:rPr>
          <w:rFonts w:ascii="Times New Roman" w:cs="Times New Roman" w:eastAsia="Times New Roman" w:hAnsi="Times New Roman"/>
          <w:sz w:val="18"/>
          <w:szCs w:val="18"/>
          <w:color w:val="auto"/>
        </w:rPr>
        <w:t>Brazil. The regulatory review process is ongoing and in line with the Company’s expectations. CADE’s maximum deadline for completing its review is no later than November 18, 2024. The merger review regarding the transaction was cleared by the Colombian authority in early February 2024.</w:t>
      </w:r>
    </w:p>
    <w:p>
      <w:pPr>
        <w:spacing w:after="0" w:line="29" w:lineRule="exact"/>
        <w:rPr>
          <w:sz w:val="20"/>
          <w:szCs w:val="20"/>
          <w:color w:val="auto"/>
        </w:rPr>
      </w:pPr>
    </w:p>
    <w:p>
      <w:pPr>
        <w:ind w:firstLine="401"/>
        <w:spacing w:after="0" w:line="258" w:lineRule="auto"/>
        <w:rPr>
          <w:sz w:val="20"/>
          <w:szCs w:val="20"/>
          <w:color w:val="auto"/>
        </w:rPr>
      </w:pPr>
      <w:r>
        <w:rPr>
          <w:rFonts w:ascii="Times New Roman" w:cs="Times New Roman" w:eastAsia="Times New Roman" w:hAnsi="Times New Roman"/>
          <w:sz w:val="18"/>
          <w:szCs w:val="18"/>
          <w:color w:val="auto"/>
        </w:rPr>
        <w:t>As of March 31, 2024, the Company has reported results for Terphane as a continuing operation, given the status of the approval process by authorities. If the sale transaction is completed, the Company expects to realize after-tax net debt-free cash proceeds of $85 million after deducting projected Brazil withholding taxes, escrow funds, U.S. capital gains taxes and transaction costs. Actual after-tax proceeds may differ from estimates due to possible changes in deductions and the Company's tax situation during the potentially lengthy interim period to the closing date.</w:t>
      </w:r>
    </w:p>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Net capitalization and other credit measures are provided in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below.</w:t>
      </w:r>
    </w:p>
    <w:p>
      <w:pPr>
        <w:spacing w:after="0" w:line="10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91" w:lineRule="exact"/>
        <w:rPr>
          <w:sz w:val="20"/>
          <w:szCs w:val="20"/>
          <w:color w:val="auto"/>
        </w:rPr>
      </w:pPr>
    </w:p>
    <w:p>
      <w:pPr>
        <w:ind w:right="360" w:firstLine="401"/>
        <w:spacing w:after="0" w:line="263" w:lineRule="auto"/>
        <w:rPr>
          <w:sz w:val="20"/>
          <w:szCs w:val="20"/>
          <w:color w:val="auto"/>
        </w:rPr>
      </w:pPr>
      <w:r>
        <w:rPr>
          <w:rFonts w:ascii="Times New Roman" w:cs="Times New Roman" w:eastAsia="Times New Roman" w:hAnsi="Times New Roman"/>
          <w:sz w:val="18"/>
          <w:szCs w:val="18"/>
          <w:color w:val="auto"/>
        </w:rPr>
        <w:t>The Company continues to focus on improving working capital management. Measures such as days sales outstanding (“DSO”), days inventory outstanding (“DIO”) and days payables outstanding (“DPO”) are used to evaluate changes in working capital. Changes in operating assets and liabilities from December 31, 2023 to March 31, 2024 are summarized below.</w:t>
      </w:r>
    </w:p>
    <w:p>
      <w:pPr>
        <w:spacing w:after="0" w:line="55" w:lineRule="exact"/>
        <w:rPr>
          <w:sz w:val="20"/>
          <w:szCs w:val="20"/>
          <w:color w:val="auto"/>
        </w:rPr>
      </w:pPr>
    </w:p>
    <w:p>
      <w:pPr>
        <w:ind w:left="400" w:hanging="393"/>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increased $5.1 million (7.5%).</w:t>
      </w:r>
    </w:p>
    <w:p>
      <w:pPr>
        <w:spacing w:after="0" w:line="100" w:lineRule="exact"/>
        <w:rPr>
          <w:rFonts w:ascii="Times New Roman" w:cs="Times New Roman" w:eastAsia="Times New Roman" w:hAnsi="Times New Roman"/>
          <w:sz w:val="18"/>
          <w:szCs w:val="18"/>
          <w:color w:val="auto"/>
        </w:rPr>
      </w:pPr>
    </w:p>
    <w:p>
      <w:pPr>
        <w:ind w:left="800" w:right="100" w:hanging="392"/>
        <w:spacing w:after="0" w:line="263" w:lineRule="auto"/>
        <w:tabs>
          <w:tab w:leader="none" w:pos="796" w:val="left"/>
        </w:tabs>
        <w:numPr>
          <w:ilvl w:val="1"/>
          <w:numId w:val="14"/>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Accounts and other receivables in Aluminum Extrusions increased $7.3 million primarily due to increased sales volume during the first three months of 2024. DSO (represents trailing 12 months net sales divided by a rolling 12-month average of accounts and other receivables balances) was approximately 43.9 days for the 12 months ended March 31, 2024 and 45.1 days for the 12 months ended December 31, 2023.</w:t>
      </w:r>
    </w:p>
    <w:p>
      <w:pPr>
        <w:spacing w:after="0" w:line="41" w:lineRule="exact"/>
        <w:rPr>
          <w:rFonts w:ascii="Times New Roman" w:cs="Times New Roman" w:eastAsia="Times New Roman" w:hAnsi="Times New Roman"/>
          <w:sz w:val="18"/>
          <w:szCs w:val="18"/>
          <w:color w:val="auto"/>
          <w:strike w:val="1"/>
        </w:rPr>
      </w:pPr>
    </w:p>
    <w:p>
      <w:pPr>
        <w:ind w:left="800" w:right="20" w:hanging="392"/>
        <w:spacing w:after="0" w:line="278" w:lineRule="auto"/>
        <w:tabs>
          <w:tab w:leader="none" w:pos="7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PE Films remained relatively flat. DSO was approximately 26.3 days for the 12 months ended March 31, 2024, which was the same for the 12 months ended December 31, 2023.</w:t>
      </w:r>
    </w:p>
    <w:p>
      <w:pPr>
        <w:spacing w:after="0" w:line="42" w:lineRule="exact"/>
        <w:rPr>
          <w:rFonts w:ascii="Times New Roman" w:cs="Times New Roman" w:eastAsia="Times New Roman" w:hAnsi="Times New Roman"/>
          <w:sz w:val="18"/>
          <w:szCs w:val="18"/>
          <w:color w:val="auto"/>
        </w:rPr>
      </w:pPr>
    </w:p>
    <w:p>
      <w:pPr>
        <w:ind w:left="800" w:right="120" w:hanging="392"/>
        <w:spacing w:after="0" w:line="263" w:lineRule="auto"/>
        <w:tabs>
          <w:tab w:leader="none" w:pos="7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Flexible Packaging Films decreased $2.3 million primarily due to improved collection efforts during the three months ended 2024. DSO was approximately 37.1 days for the 12 months ended March 31, 2024 and 38.1 days for the 12 months ended December 31, 2023.</w:t>
      </w:r>
    </w:p>
    <w:p>
      <w:pPr>
        <w:spacing w:after="0" w:line="55"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increased $4.8 million (5.8%).</w:t>
      </w:r>
    </w:p>
    <w:p>
      <w:pPr>
        <w:spacing w:after="0" w:line="87" w:lineRule="exact"/>
        <w:rPr>
          <w:rFonts w:ascii="Times New Roman" w:cs="Times New Roman" w:eastAsia="Times New Roman" w:hAnsi="Times New Roman"/>
          <w:sz w:val="18"/>
          <w:szCs w:val="18"/>
          <w:color w:val="auto"/>
        </w:rPr>
      </w:pPr>
    </w:p>
    <w:p>
      <w:pPr>
        <w:ind w:left="800" w:right="80" w:hanging="392"/>
        <w:spacing w:after="0" w:line="263" w:lineRule="auto"/>
        <w:tabs>
          <w:tab w:leader="none" w:pos="7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Aluminum Extrusions remained relatively flat. DIO (represents trailing 12 months costs of goods sold calculated on a first-in first-out basis divided by a rolling 12-month average of inventory balances calculated on the first-in first-out basis) was approximately 48.3 days for the 12 months ended March 31, 2024 and 51.6 days for the 12 months ended December 31, 2023.</w:t>
      </w:r>
    </w:p>
    <w:p>
      <w:pPr>
        <w:spacing w:after="0" w:line="55" w:lineRule="exact"/>
        <w:rPr>
          <w:rFonts w:ascii="Times New Roman" w:cs="Times New Roman" w:eastAsia="Times New Roman" w:hAnsi="Times New Roman"/>
          <w:sz w:val="18"/>
          <w:szCs w:val="18"/>
          <w:color w:val="auto"/>
        </w:rPr>
      </w:pPr>
    </w:p>
    <w:p>
      <w:pPr>
        <w:ind w:left="800" w:right="280" w:hanging="392"/>
        <w:spacing w:after="0" w:line="308" w:lineRule="auto"/>
        <w:tabs>
          <w:tab w:leader="none" w:pos="796"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Inventories in PE Films increased $2.9 million due to higher raw materials to support increased sales volume during the first three months of 2024. DIO was approximately 53.6 days for the 12 months ended March 31, 2024 and 57.2 days for the 12 months ended December 31, 2023.</w:t>
      </w:r>
    </w:p>
    <w:p>
      <w:pPr>
        <w:spacing w:after="0" w:line="19" w:lineRule="exact"/>
        <w:rPr>
          <w:rFonts w:ascii="Times New Roman" w:cs="Times New Roman" w:eastAsia="Times New Roman" w:hAnsi="Times New Roman"/>
          <w:sz w:val="17"/>
          <w:szCs w:val="17"/>
          <w:color w:val="auto"/>
        </w:rPr>
      </w:pPr>
    </w:p>
    <w:p>
      <w:pPr>
        <w:ind w:left="800" w:right="300" w:hanging="392"/>
        <w:spacing w:after="0" w:line="278" w:lineRule="auto"/>
        <w:tabs>
          <w:tab w:leader="none" w:pos="7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Flexible Packaging Films increased $1.9 million primarily due to higher raw material purchases. DIO was approximately 107.8 days for the 12 months ended March 31, 2024 and 117.7 days for the 12 months ended December 31, 2023.</w:t>
      </w:r>
    </w:p>
    <w:p>
      <w:pPr>
        <w:spacing w:after="0" w:line="28" w:lineRule="exact"/>
        <w:rPr>
          <w:rFonts w:ascii="Times New Roman" w:cs="Times New Roman" w:eastAsia="Times New Roman" w:hAnsi="Times New Roman"/>
          <w:sz w:val="18"/>
          <w:szCs w:val="18"/>
          <w:color w:val="auto"/>
        </w:rPr>
      </w:pPr>
    </w:p>
    <w:p>
      <w:pPr>
        <w:ind w:left="400" w:right="80" w:hanging="393"/>
        <w:spacing w:after="0" w:line="278" w:lineRule="auto"/>
        <w:tabs>
          <w:tab w:leader="none" w:pos="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property, plant and equipment decreased $5.5 million primarily due to depreciation expense of $6.3 million and a $0.9 million unfavorable change in the value of the U.S. dollar relative to foreign currencies, partially offset by capital expenditures of $1.8 million.</w:t>
      </w:r>
    </w:p>
    <w:p>
      <w:pPr>
        <w:spacing w:after="0" w:line="42"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intangible assets, net decreased $0.5 million (4.9%) due to amortization expense.</w:t>
      </w:r>
    </w:p>
    <w:p>
      <w:pPr>
        <w:spacing w:after="0" w:line="100"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assets decreased $0.7 million (2.9%). See Note 8 for more information.</w:t>
      </w:r>
    </w:p>
    <w:p>
      <w:pPr>
        <w:spacing w:after="0" w:line="87"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decreased $10.1 million (10.6%).</w:t>
      </w:r>
    </w:p>
    <w:p>
      <w:pPr>
        <w:spacing w:after="0" w:line="100" w:lineRule="exact"/>
        <w:rPr>
          <w:rFonts w:ascii="Times New Roman" w:cs="Times New Roman" w:eastAsia="Times New Roman" w:hAnsi="Times New Roman"/>
          <w:sz w:val="18"/>
          <w:szCs w:val="18"/>
          <w:color w:val="auto"/>
        </w:rPr>
      </w:pPr>
    </w:p>
    <w:p>
      <w:pPr>
        <w:ind w:left="800" w:right="40" w:hanging="392"/>
        <w:spacing w:after="0" w:line="263" w:lineRule="auto"/>
        <w:tabs>
          <w:tab w:leader="none" w:pos="7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Aluminum Extrusions decreased $9.0 million primarily due to the timing of payments. DPO (represents trailing 12 months costs of goods sold calculated on a first-in first-out basis divided by a rolling 12-month average of accounts payable balances) was approximately 47.7 days for the 12 months ended March 31, 2024 and 49.8 days for the 12 months ended December 31, 2023.</w:t>
      </w:r>
    </w:p>
    <w:p>
      <w:pPr>
        <w:spacing w:after="0" w:line="41" w:lineRule="exact"/>
        <w:rPr>
          <w:rFonts w:ascii="Times New Roman" w:cs="Times New Roman" w:eastAsia="Times New Roman" w:hAnsi="Times New Roman"/>
          <w:sz w:val="18"/>
          <w:szCs w:val="18"/>
          <w:color w:val="auto"/>
        </w:rPr>
      </w:pPr>
    </w:p>
    <w:p>
      <w:pPr>
        <w:ind w:left="800" w:right="160" w:hanging="392"/>
        <w:spacing w:after="0" w:line="278" w:lineRule="auto"/>
        <w:tabs>
          <w:tab w:leader="none" w:pos="7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PE Films increased $2.7 million primarily due to higher raw material purchases. DPO was approximately 43.9 days for the 12 months ended March 31, 2024 and 43.4 days for the 12 months ended December 31, 2023.</w:t>
      </w:r>
    </w:p>
    <w:p>
      <w:pPr>
        <w:spacing w:after="0" w:line="42" w:lineRule="exact"/>
        <w:rPr>
          <w:rFonts w:ascii="Times New Roman" w:cs="Times New Roman" w:eastAsia="Times New Roman" w:hAnsi="Times New Roman"/>
          <w:sz w:val="18"/>
          <w:szCs w:val="18"/>
          <w:color w:val="auto"/>
        </w:rPr>
      </w:pPr>
    </w:p>
    <w:p>
      <w:pPr>
        <w:ind w:left="800" w:right="240" w:hanging="392"/>
        <w:spacing w:after="0" w:line="278" w:lineRule="auto"/>
        <w:tabs>
          <w:tab w:leader="none" w:pos="7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Flexible Packaging Films decreased $3.8 million primarily due to lower raw material costs. DPO was approximately 65.3 days for the 12 months ended March 31, 2024 and 61.7 days for the 12 months ended December 31, 2023.</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77" w:right="359" w:bottom="1440" w:gutter="0" w:footer="0" w:header="0"/>
        </w:sectPr>
      </w:pPr>
    </w:p>
    <w:bookmarkStart w:id="26" w:name="page27"/>
    <w:bookmarkEnd w:id="26"/>
    <w:p>
      <w:pPr>
        <w:jc w:val="both"/>
        <w:ind w:right="40" w:firstLine="401"/>
        <w:spacing w:after="0" w:line="263" w:lineRule="auto"/>
        <w:rPr>
          <w:sz w:val="20"/>
          <w:szCs w:val="20"/>
          <w:color w:val="auto"/>
        </w:rPr>
      </w:pPr>
      <w:r>
        <w:rPr>
          <w:rFonts w:ascii="Times New Roman" w:cs="Times New Roman" w:eastAsia="Times New Roman" w:hAnsi="Times New Roman"/>
          <w:sz w:val="18"/>
          <w:szCs w:val="18"/>
          <w:color w:val="auto"/>
        </w:rPr>
        <w:t>Net cash used in operating activities was $7.7 million in the first three months of 2024 compared to $9.1 million in the first three months of 2023. The decrease was primarily due to improved working capital due to factors discussed earlier in this section relating to accounts and other receivables, inventories and accounts payable.</w:t>
      </w:r>
    </w:p>
    <w:p>
      <w:pPr>
        <w:spacing w:after="0" w:line="42" w:lineRule="exact"/>
        <w:rPr>
          <w:sz w:val="20"/>
          <w:szCs w:val="20"/>
          <w:color w:val="auto"/>
        </w:rPr>
      </w:pPr>
    </w:p>
    <w:p>
      <w:pPr>
        <w:ind w:right="300" w:firstLine="401"/>
        <w:spacing w:after="0" w:line="278" w:lineRule="auto"/>
        <w:rPr>
          <w:sz w:val="20"/>
          <w:szCs w:val="20"/>
          <w:color w:val="auto"/>
        </w:rPr>
      </w:pPr>
      <w:r>
        <w:rPr>
          <w:rFonts w:ascii="Times New Roman" w:cs="Times New Roman" w:eastAsia="Times New Roman" w:hAnsi="Times New Roman"/>
          <w:sz w:val="18"/>
          <w:szCs w:val="18"/>
          <w:color w:val="auto"/>
        </w:rPr>
        <w:t>Net cash used in investing activities was $2.4 million in the first three months of 2024 compared to $8.8 million the first three months of 2023. The decrease was primarily due to lower capital expenditures ($6.6 million).</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Net cash provided by financing activities was $2.0 million in the first three months of 2024, compared to $13.6 million in the first three months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The decrease was primarily due to lower net borrowings ($16.0 million) under the ABL Facility (as defined below) during the first three months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as compared to the first three months of 2023 and dividends paid ($4.4 million) during the first three months of 2023.</w:t>
      </w:r>
    </w:p>
    <w:p>
      <w:pPr>
        <w:spacing w:after="0" w:line="82" w:lineRule="exact"/>
        <w:rPr>
          <w:sz w:val="20"/>
          <w:szCs w:val="20"/>
          <w:color w:val="auto"/>
        </w:rPr>
      </w:pPr>
    </w:p>
    <w:p>
      <w:pPr>
        <w:ind w:right="140" w:firstLine="401"/>
        <w:spacing w:after="0" w:line="278" w:lineRule="auto"/>
        <w:rPr>
          <w:sz w:val="20"/>
          <w:szCs w:val="20"/>
          <w:color w:val="auto"/>
        </w:rPr>
      </w:pPr>
      <w:r>
        <w:rPr>
          <w:rFonts w:ascii="Times New Roman" w:cs="Times New Roman" w:eastAsia="Times New Roman" w:hAnsi="Times New Roman"/>
          <w:sz w:val="18"/>
          <w:szCs w:val="18"/>
          <w:color w:val="auto"/>
        </w:rPr>
        <w:t>At March 31, 2024, the Company had cash, cash equivalents and restricted cash of $4.8 million, including cash and cash equivalents held in locations outside the U.S. of $3.8 million.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Agreements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ABL Facility</w:t>
      </w:r>
    </w:p>
    <w:p>
      <w:pPr>
        <w:spacing w:after="0" w:line="103" w:lineRule="exact"/>
        <w:rPr>
          <w:sz w:val="20"/>
          <w:szCs w:val="20"/>
          <w:color w:val="auto"/>
        </w:rPr>
      </w:pPr>
    </w:p>
    <w:p>
      <w:pPr>
        <w:ind w:right="20" w:firstLine="401"/>
        <w:spacing w:after="0" w:line="251" w:lineRule="auto"/>
        <w:rPr>
          <w:sz w:val="20"/>
          <w:szCs w:val="20"/>
          <w:color w:val="auto"/>
        </w:rPr>
      </w:pPr>
      <w:r>
        <w:rPr>
          <w:rFonts w:ascii="Times New Roman" w:cs="Times New Roman" w:eastAsia="Times New Roman" w:hAnsi="Times New Roman"/>
          <w:sz w:val="18"/>
          <w:szCs w:val="18"/>
          <w:color w:val="auto"/>
        </w:rPr>
        <w:t>On December 27, 2023, the Company entered into Amendment No. 3 (the “ABL Facility”) to the Second Amended and Restated Credit Agreement, which provides the Company with a $180 million senior secured asset-based revolving credit facility that will expire on June 30, 2026. On April 16, 2024, the Company entered into Amendment No. 4 (the "Amendment") that, among other items: (i) moves the ABL Adjustment Date (defined below) from March 31, 2025 to September 30, 2025 and (ii) requires weekly reporting of the borrowing base financial covenant. The ABL Facility is secured by substantially all assets of the Company and its domestic subsidiaries, including equity in certain material first-tier foreign subsidiaries. Availability for borrowings under the ABL Facility is governed by a borrowing base, determined by the application of specified advance rates against eligible assets, including a portion of trade accounts receivable, inventory, cash and cash equivalents, owned real properties, and owned machinery and equipment. Upon the earlier of September 30, 2025 or the date the Company receives the proceeds from the sale of Terphane (the “ABL Adjustment Date”), the $180 million ABL Facility will be reduced to $125 million. As of March 31, 2024, availability under the ABL Facility was $22.2 million, after reducing the borrowing base by the aggregate outstanding borrowings of $128.3 million, standby letters of credit of $13.1 million, and the Minimum Liquidity (as defined in the ABL Facility) financial covenant.</w:t>
      </w:r>
    </w:p>
    <w:p>
      <w:pPr>
        <w:spacing w:after="0" w:line="53" w:lineRule="exact"/>
        <w:rPr>
          <w:sz w:val="20"/>
          <w:szCs w:val="20"/>
          <w:color w:val="auto"/>
        </w:rPr>
      </w:pPr>
    </w:p>
    <w:p>
      <w:pPr>
        <w:ind w:firstLine="401"/>
        <w:spacing w:after="0" w:line="253" w:lineRule="auto"/>
        <w:rPr>
          <w:sz w:val="20"/>
          <w:szCs w:val="20"/>
          <w:color w:val="auto"/>
        </w:rPr>
      </w:pPr>
      <w:r>
        <w:rPr>
          <w:rFonts w:ascii="Times New Roman" w:cs="Times New Roman" w:eastAsia="Times New Roman" w:hAnsi="Times New Roman"/>
          <w:sz w:val="18"/>
          <w:szCs w:val="18"/>
          <w:color w:val="auto"/>
        </w:rPr>
        <w:t>Under the terms of the ABL Facility, certain domestic bank accounts are subject to blocked account agreements, each of which contains a springing feature whereby the lenders may exercise control over those accounts during a cash dominion period (any such period, a “Cash Dominion Period”). A Cash Dominion Period was implemented on the date of the closing of the ABL Facility and will remain in effect at all times prior to the ABL Adjustment Date. After the ABL Adjustment Date, a Cash Dominion Period goes into effect if availability under the ABL Facility falls below 12.5% or an Event of Default (as defined in the ABL Facility) occurs. The Company would then be subject to the Cash Dominion Period until the Event of Default is waived or ABL Facility availability is above 12.5% of the $125 million aggregate commitment for 30 consecutive days. Receipts that have not yet been applied to the ABL Facility are classified as restricted cash in the Company’s consolidated balance sheets.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financial covenants in the ABL Facility are as follows:</w:t>
      </w:r>
    </w:p>
    <w:p>
      <w:pPr>
        <w:spacing w:after="0" w:line="101" w:lineRule="exact"/>
        <w:rPr>
          <w:sz w:val="20"/>
          <w:szCs w:val="20"/>
          <w:color w:val="auto"/>
        </w:rPr>
      </w:pPr>
    </w:p>
    <w:p>
      <w:pPr>
        <w:ind w:left="640" w:hanging="312"/>
        <w:spacing w:after="0" w:line="263"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ABL Adjustment Date, the Company is required to maintain (i) a minimum Credit EBITDA (as defined in the ABL Facility), as of the end of each fiscal month for the 12-month period then ended (presented below) and (ii) a Minimum Liquidity (as defined in the ABL Facility) of $10.0 million.</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977"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60"/>
        </w:trPr>
        <w:tc>
          <w:tcPr>
            <w:tcW w:w="2620" w:type="dxa"/>
            <w:vAlign w:val="bottom"/>
            <w:tcBorders>
              <w:top w:val="single" w:sz="8" w:color="auto"/>
            </w:tcBorders>
          </w:tcPr>
          <w:p>
            <w:pPr>
              <w:spacing w:after="0"/>
              <w:rPr>
                <w:sz w:val="22"/>
                <w:szCs w:val="22"/>
                <w:color w:val="auto"/>
              </w:rPr>
            </w:pPr>
          </w:p>
        </w:tc>
        <w:tc>
          <w:tcPr>
            <w:tcW w:w="7720" w:type="dxa"/>
            <w:vAlign w:val="bottom"/>
            <w:tcBorders>
              <w:top w:val="single" w:sz="8" w:color="auto"/>
            </w:tcBorders>
          </w:tcPr>
          <w:p>
            <w:pPr>
              <w:jc w:val="right"/>
              <w:ind w:right="3251"/>
              <w:spacing w:after="0"/>
              <w:rPr>
                <w:sz w:val="20"/>
                <w:szCs w:val="20"/>
                <w:color w:val="auto"/>
              </w:rPr>
            </w:pPr>
            <w:r>
              <w:rPr>
                <w:rFonts w:ascii="Times New Roman" w:cs="Times New Roman" w:eastAsia="Times New Roman" w:hAnsi="Times New Roman"/>
                <w:sz w:val="18"/>
                <w:szCs w:val="18"/>
                <w:color w:val="auto"/>
              </w:rPr>
              <w:t>Minimum Credit EBITDA (In thousands)</w:t>
            </w:r>
          </w:p>
        </w:tc>
        <w:tc>
          <w:tcPr>
            <w:tcW w:w="900" w:type="dxa"/>
            <w:vAlign w:val="bottom"/>
            <w:tcBorders>
              <w:top w:val="single" w:sz="8" w:color="auto"/>
            </w:tcBorders>
          </w:tcPr>
          <w:p>
            <w:pPr>
              <w:spacing w:after="0"/>
              <w:rPr>
                <w:sz w:val="22"/>
                <w:szCs w:val="22"/>
                <w:color w:val="auto"/>
              </w:rPr>
            </w:pPr>
          </w:p>
        </w:tc>
      </w:tr>
      <w:tr>
        <w:trPr>
          <w:trHeight w:val="21"/>
        </w:trPr>
        <w:tc>
          <w:tcPr>
            <w:tcW w:w="2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2024</w:t>
            </w:r>
          </w:p>
        </w:tc>
        <w:tc>
          <w:tcPr>
            <w:tcW w:w="772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16,640</w:t>
            </w:r>
          </w:p>
        </w:tc>
      </w:tr>
      <w:tr>
        <w:trPr>
          <w:trHeight w:val="23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2024</w:t>
            </w:r>
          </w:p>
        </w:tc>
        <w:tc>
          <w:tcPr>
            <w:tcW w:w="7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19,780</w:t>
            </w:r>
          </w:p>
        </w:tc>
      </w:tr>
      <w:tr>
        <w:trPr>
          <w:trHeight w:val="21"/>
        </w:trPr>
        <w:tc>
          <w:tcPr>
            <w:tcW w:w="2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2024</w:t>
            </w:r>
          </w:p>
        </w:tc>
        <w:tc>
          <w:tcPr>
            <w:tcW w:w="77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19,660</w:t>
            </w:r>
          </w:p>
        </w:tc>
      </w:tr>
      <w:tr>
        <w:trPr>
          <w:trHeight w:val="23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2024</w:t>
            </w:r>
          </w:p>
        </w:tc>
        <w:tc>
          <w:tcPr>
            <w:tcW w:w="7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19,450</w:t>
            </w:r>
          </w:p>
        </w:tc>
      </w:tr>
      <w:tr>
        <w:trPr>
          <w:trHeight w:val="21"/>
        </w:trPr>
        <w:tc>
          <w:tcPr>
            <w:tcW w:w="2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2024</w:t>
            </w:r>
          </w:p>
        </w:tc>
        <w:tc>
          <w:tcPr>
            <w:tcW w:w="77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21,860</w:t>
            </w:r>
          </w:p>
        </w:tc>
      </w:tr>
      <w:tr>
        <w:trPr>
          <w:trHeight w:val="23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2024</w:t>
            </w:r>
          </w:p>
        </w:tc>
        <w:tc>
          <w:tcPr>
            <w:tcW w:w="7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22,830</w:t>
            </w:r>
          </w:p>
        </w:tc>
      </w:tr>
      <w:tr>
        <w:trPr>
          <w:trHeight w:val="21"/>
        </w:trPr>
        <w:tc>
          <w:tcPr>
            <w:tcW w:w="2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2024</w:t>
            </w:r>
          </w:p>
        </w:tc>
        <w:tc>
          <w:tcPr>
            <w:tcW w:w="77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25,370</w:t>
            </w:r>
          </w:p>
        </w:tc>
      </w:tr>
      <w:tr>
        <w:trPr>
          <w:trHeight w:val="23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2024</w:t>
            </w:r>
          </w:p>
        </w:tc>
        <w:tc>
          <w:tcPr>
            <w:tcW w:w="7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26,070</w:t>
            </w:r>
          </w:p>
        </w:tc>
      </w:tr>
      <w:tr>
        <w:trPr>
          <w:trHeight w:val="21"/>
        </w:trPr>
        <w:tc>
          <w:tcPr>
            <w:tcW w:w="2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2024</w:t>
            </w:r>
          </w:p>
        </w:tc>
        <w:tc>
          <w:tcPr>
            <w:tcW w:w="77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27,640</w:t>
            </w:r>
          </w:p>
        </w:tc>
      </w:tr>
      <w:tr>
        <w:trPr>
          <w:trHeight w:val="23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7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29,640</w:t>
            </w:r>
          </w:p>
        </w:tc>
      </w:tr>
      <w:tr>
        <w:trPr>
          <w:trHeight w:val="21"/>
        </w:trPr>
        <w:tc>
          <w:tcPr>
            <w:tcW w:w="2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77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29,740</w:t>
            </w:r>
          </w:p>
        </w:tc>
      </w:tr>
      <w:tr>
        <w:trPr>
          <w:trHeight w:val="23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2025</w:t>
            </w:r>
          </w:p>
        </w:tc>
        <w:tc>
          <w:tcPr>
            <w:tcW w:w="7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29,850</w:t>
            </w:r>
          </w:p>
        </w:tc>
      </w:tr>
      <w:tr>
        <w:trPr>
          <w:trHeight w:val="21"/>
        </w:trPr>
        <w:tc>
          <w:tcPr>
            <w:tcW w:w="2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2025</w:t>
            </w:r>
          </w:p>
        </w:tc>
        <w:tc>
          <w:tcPr>
            <w:tcW w:w="77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29,980</w:t>
            </w:r>
          </w:p>
        </w:tc>
      </w:tr>
      <w:tr>
        <w:trPr>
          <w:trHeight w:val="23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2025</w:t>
            </w:r>
          </w:p>
        </w:tc>
        <w:tc>
          <w:tcPr>
            <w:tcW w:w="7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30,340</w:t>
            </w:r>
          </w:p>
        </w:tc>
      </w:tr>
      <w:tr>
        <w:trPr>
          <w:trHeight w:val="21"/>
        </w:trPr>
        <w:tc>
          <w:tcPr>
            <w:tcW w:w="2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77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30,700</w:t>
            </w:r>
          </w:p>
        </w:tc>
      </w:tr>
      <w:tr>
        <w:trPr>
          <w:trHeight w:val="23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2025</w:t>
            </w:r>
          </w:p>
        </w:tc>
        <w:tc>
          <w:tcPr>
            <w:tcW w:w="7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31,030</w:t>
            </w:r>
          </w:p>
        </w:tc>
      </w:tr>
      <w:tr>
        <w:trPr>
          <w:trHeight w:val="21"/>
        </w:trPr>
        <w:tc>
          <w:tcPr>
            <w:tcW w:w="2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2025</w:t>
            </w:r>
          </w:p>
        </w:tc>
        <w:tc>
          <w:tcPr>
            <w:tcW w:w="77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31,370</w:t>
            </w:r>
          </w:p>
        </w:tc>
      </w:tr>
      <w:tr>
        <w:trPr>
          <w:trHeight w:val="23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2025</w:t>
            </w:r>
          </w:p>
        </w:tc>
        <w:tc>
          <w:tcPr>
            <w:tcW w:w="7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31,710</w:t>
            </w:r>
          </w:p>
        </w:tc>
      </w:tr>
      <w:tr>
        <w:trPr>
          <w:trHeight w:val="21"/>
        </w:trPr>
        <w:tc>
          <w:tcPr>
            <w:tcW w:w="2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2025</w:t>
            </w:r>
          </w:p>
        </w:tc>
        <w:tc>
          <w:tcPr>
            <w:tcW w:w="772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32,080</w:t>
            </w:r>
          </w:p>
        </w:tc>
      </w:tr>
      <w:tr>
        <w:trPr>
          <w:trHeight w:val="27"/>
        </w:trPr>
        <w:tc>
          <w:tcPr>
            <w:tcW w:w="2620" w:type="dxa"/>
            <w:vAlign w:val="bottom"/>
            <w:shd w:val="clear" w:color="auto" w:fill="000000"/>
          </w:tcPr>
          <w:p>
            <w:pPr>
              <w:spacing w:after="0"/>
              <w:rPr>
                <w:sz w:val="2"/>
                <w:szCs w:val="2"/>
                <w:color w:val="auto"/>
              </w:rPr>
            </w:pPr>
          </w:p>
        </w:tc>
        <w:tc>
          <w:tcPr>
            <w:tcW w:w="77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156" w:lineRule="exact"/>
        <w:rPr>
          <w:sz w:val="20"/>
          <w:szCs w:val="20"/>
          <w:color w:val="auto"/>
        </w:rPr>
      </w:pPr>
    </w:p>
    <w:p>
      <w:pPr>
        <w:ind w:left="640" w:right="120" w:hanging="312"/>
        <w:spacing w:after="0" w:line="263"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ABL Adjustment Date, the foregoing financial covenants will cease to exist and will be replaced with a minimum fixed charge coverage ratio of 1.00:1.00 that will be triggered in the event that availability is less than 10% of $125 million commitment amount and continuing thereafter until availability is greater than 10% of the $125 million commitment amount for 30 consecutive days.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color w:val="auto"/>
        </w:rPr>
        <w:t>The computation of Credit EBITDA, as defined in the ABL Facility,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35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5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Computations of Credit EBITDA (as defined in the ABL Facility) as of and for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Twelve Months Ended March 31, 2024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Computations of Credit EBITDA for the twelve months ended March 31, 2024 (in thousands):</w:t>
            </w:r>
          </w:p>
        </w:tc>
        <w:tc>
          <w:tcPr>
            <w:tcW w:w="5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1"/>
        </w:trPr>
        <w:tc>
          <w:tcPr>
            <w:tcW w:w="9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4"/>
        </w:trPr>
        <w:tc>
          <w:tcPr>
            <w:tcW w:w="9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tcBorders>
              <w:bottom w:val="single" w:sz="8" w:color="CCEEFF"/>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(101,608)</w:t>
            </w:r>
          </w:p>
        </w:tc>
      </w:tr>
      <w:tr>
        <w:trPr>
          <w:trHeight w:val="233"/>
        </w:trPr>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Plus:</w:t>
            </w: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
        </w:trPr>
        <w:tc>
          <w:tcPr>
            <w:tcW w:w="9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4"/>
        </w:trPr>
        <w:tc>
          <w:tcPr>
            <w:tcW w:w="9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After-tax losses related to discontinued operations</w:t>
            </w:r>
          </w:p>
        </w:tc>
        <w:tc>
          <w:tcPr>
            <w:tcW w:w="5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9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income tax expense for continuing operations</w:t>
            </w: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9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4"/>
        </w:trPr>
        <w:tc>
          <w:tcPr>
            <w:tcW w:w="9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w:t>
            </w:r>
          </w:p>
        </w:tc>
      </w:tr>
      <w:tr>
        <w:trPr>
          <w:trHeight w:val="233"/>
        </w:trPr>
        <w:tc>
          <w:tcPr>
            <w:tcW w:w="9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 for continuing operations</w:t>
            </w: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27,554</w:t>
            </w:r>
          </w:p>
        </w:tc>
      </w:tr>
      <w:tr>
        <w:trPr>
          <w:trHeight w:val="21"/>
        </w:trPr>
        <w:tc>
          <w:tcPr>
            <w:tcW w:w="9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640" w:type="dxa"/>
            <w:vAlign w:val="bottom"/>
            <w:shd w:val="clear" w:color="auto" w:fill="CCEEFF"/>
          </w:tcPr>
          <w:p>
            <w:pPr>
              <w:ind w:left="660"/>
              <w:spacing w:after="0" w:line="195" w:lineRule="exact"/>
              <w:rPr>
                <w:sz w:val="20"/>
                <w:szCs w:val="20"/>
                <w:color w:val="auto"/>
              </w:rPr>
            </w:pPr>
            <w:r>
              <w:rPr>
                <w:rFonts w:ascii="Times New Roman" w:cs="Times New Roman" w:eastAsia="Times New Roman" w:hAnsi="Times New Roman"/>
                <w:sz w:val="18"/>
                <w:szCs w:val="18"/>
                <w:color w:val="auto"/>
              </w:rPr>
              <w:t>All non-cash losses and expenses, plus cash losses and expenses not to exceed $10,000, for continuing operations that are</w:t>
            </w: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141,252</w:t>
            </w:r>
          </w:p>
        </w:tc>
      </w:tr>
      <w:tr>
        <w:trPr>
          <w:trHeight w:val="201"/>
        </w:trPr>
        <w:tc>
          <w:tcPr>
            <w:tcW w:w="9640" w:type="dxa"/>
            <w:vAlign w:val="bottom"/>
            <w:shd w:val="clear" w:color="auto" w:fill="CCEEFF"/>
          </w:tcPr>
          <w:p>
            <w:pPr>
              <w:ind w:left="660"/>
              <w:spacing w:after="0" w:line="201" w:lineRule="exact"/>
              <w:rPr>
                <w:sz w:val="20"/>
                <w:szCs w:val="20"/>
                <w:color w:val="auto"/>
              </w:rPr>
            </w:pPr>
            <w:r>
              <w:rPr>
                <w:rFonts w:ascii="Times New Roman" w:cs="Times New Roman" w:eastAsia="Times New Roman" w:hAnsi="Times New Roman"/>
                <w:sz w:val="18"/>
                <w:szCs w:val="18"/>
                <w:color w:val="auto"/>
              </w:rPr>
              <w:t>classified as unusual, extraordinary or which are related to plant shutdowns, asset impairments and/or restructurings (cash-</w:t>
            </w: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9"/>
        </w:trPr>
        <w:tc>
          <w:tcPr>
            <w:tcW w:w="9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related of $9,899)</w:t>
            </w:r>
          </w:p>
        </w:tc>
        <w:tc>
          <w:tcPr>
            <w:tcW w:w="5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3"/>
        </w:trPr>
        <w:tc>
          <w:tcPr>
            <w:tcW w:w="9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Charges related to stock option grants and awards accounted for under the fair value-based method</w:t>
            </w: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9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4"/>
        </w:trPr>
        <w:tc>
          <w:tcPr>
            <w:tcW w:w="9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Losses related to the application of the equity method of accounting</w:t>
            </w:r>
          </w:p>
        </w:tc>
        <w:tc>
          <w:tcPr>
            <w:tcW w:w="5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9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Losses related to adjustments in the estimated fair value of assets accounted for under the fair value method of accounting</w:t>
            </w: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9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4"/>
        </w:trPr>
        <w:tc>
          <w:tcPr>
            <w:tcW w:w="9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Fees, costs and expenses incurred in connection with the amendment process</w:t>
            </w:r>
          </w:p>
        </w:tc>
        <w:tc>
          <w:tcPr>
            <w:tcW w:w="5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3"/>
        </w:trPr>
        <w:tc>
          <w:tcPr>
            <w:tcW w:w="9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Terphane sale transaction costs in an amount not to exceed $10,000</w:t>
            </w: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r>
      <w:tr>
        <w:trPr>
          <w:trHeight w:val="21"/>
        </w:trPr>
        <w:tc>
          <w:tcPr>
            <w:tcW w:w="9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4"/>
        </w:trPr>
        <w:tc>
          <w:tcPr>
            <w:tcW w:w="9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Minus:</w:t>
            </w:r>
          </w:p>
        </w:tc>
        <w:tc>
          <w:tcPr>
            <w:tcW w:w="5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3"/>
        </w:trPr>
        <w:tc>
          <w:tcPr>
            <w:tcW w:w="9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After-tax income related to discontinued operations</w:t>
            </w: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9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4"/>
        </w:trPr>
        <w:tc>
          <w:tcPr>
            <w:tcW w:w="9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income tax benefits for continuing operations</w:t>
            </w:r>
          </w:p>
        </w:tc>
        <w:tc>
          <w:tcPr>
            <w:tcW w:w="5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(53,799)</w:t>
            </w:r>
          </w:p>
        </w:tc>
      </w:tr>
      <w:tr>
        <w:trPr>
          <w:trHeight w:val="233"/>
        </w:trPr>
        <w:tc>
          <w:tcPr>
            <w:tcW w:w="9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
        </w:trPr>
        <w:tc>
          <w:tcPr>
            <w:tcW w:w="9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640" w:type="dxa"/>
            <w:vAlign w:val="bottom"/>
            <w:shd w:val="clear" w:color="auto" w:fill="CCEEFF"/>
          </w:tcPr>
          <w:p>
            <w:pPr>
              <w:ind w:left="660"/>
              <w:spacing w:after="0" w:line="195" w:lineRule="exact"/>
              <w:rPr>
                <w:sz w:val="20"/>
                <w:szCs w:val="20"/>
                <w:color w:val="auto"/>
              </w:rPr>
            </w:pPr>
            <w:r>
              <w:rPr>
                <w:rFonts w:ascii="Times New Roman" w:cs="Times New Roman" w:eastAsia="Times New Roman" w:hAnsi="Times New Roman"/>
                <w:sz w:val="18"/>
                <w:szCs w:val="18"/>
                <w:color w:val="auto"/>
                <w:w w:val="99"/>
              </w:rPr>
              <w:t>All non-cash gains and income, plus cash gains and income in excess of $10,000, for continuing operations that are classified</w:t>
            </w: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39"/>
        </w:trPr>
        <w:tc>
          <w:tcPr>
            <w:tcW w:w="9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as unusual, extraordinary or which are related to plant shutdowns, asset impairments and/or restructurings</w:t>
            </w:r>
          </w:p>
        </w:tc>
        <w:tc>
          <w:tcPr>
            <w:tcW w:w="5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3"/>
        </w:trPr>
        <w:tc>
          <w:tcPr>
            <w:tcW w:w="9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related to changes in estimates for stock option grants and awards accounted for under the fair value-based method</w:t>
            </w: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9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4"/>
        </w:trPr>
        <w:tc>
          <w:tcPr>
            <w:tcW w:w="9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related to the application of the equity method of accounting</w:t>
            </w:r>
          </w:p>
        </w:tc>
        <w:tc>
          <w:tcPr>
            <w:tcW w:w="5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9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related to adjustments in the estimated fair value of assets accounted for under the fair value method of accounting</w:t>
            </w: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9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4"/>
        </w:trPr>
        <w:tc>
          <w:tcPr>
            <w:tcW w:w="9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Plus cash dividends declared on investments in an amount not to exceed $10,000 for such period</w:t>
            </w:r>
          </w:p>
        </w:tc>
        <w:tc>
          <w:tcPr>
            <w:tcW w:w="5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Plus or minus, as applicable, pro forma EBITDA adjustments associated with acquisitions and asset dispositions</w:t>
            </w: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9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64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Plus or minus, as applicable, pro forma EBITDA adjustments to pension expense associated with the early payment of pension</w:t>
            </w: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7,284</w:t>
            </w:r>
          </w:p>
        </w:tc>
      </w:tr>
      <w:tr>
        <w:trPr>
          <w:trHeight w:val="264"/>
        </w:trPr>
        <w:tc>
          <w:tcPr>
            <w:tcW w:w="9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obligations</w:t>
            </w:r>
          </w:p>
        </w:tc>
        <w:tc>
          <w:tcPr>
            <w:tcW w:w="5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26"/>
        </w:trPr>
        <w:tc>
          <w:tcPr>
            <w:tcW w:w="96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Credit EBITDA</w:t>
            </w:r>
          </w:p>
        </w:tc>
        <w:tc>
          <w:tcPr>
            <w:tcW w:w="5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4" w:lineRule="exact"/>
        <w:rPr>
          <w:sz w:val="20"/>
          <w:szCs w:val="20"/>
          <w:color w:val="auto"/>
        </w:rPr>
      </w:pPr>
    </w:p>
    <w:p>
      <w:pPr>
        <w:ind w:left="180" w:right="40" w:hanging="155"/>
        <w:spacing w:after="0" w:line="259" w:lineRule="auto"/>
        <w:tabs>
          <w:tab w:leader="none" w:pos="1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EBITDA is not intended to represent net income (loss) or cash flow from operations as defined by GAAP and should not be considered as an alternative to either net income (loss) or to cash flow.</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color w:val="auto"/>
        </w:rPr>
        <w:t>The computation of the ABL Facility availability and Minimum Liquidity covenant, as defined in the ABL Facility, is presented below.</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18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March 31, 2024</w:t>
            </w:r>
          </w:p>
        </w:tc>
        <w:tc>
          <w:tcPr>
            <w:tcW w:w="28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
        </w:trPr>
        <w:tc>
          <w:tcPr>
            <w:tcW w:w="7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4"/>
        </w:trPr>
        <w:tc>
          <w:tcPr>
            <w:tcW w:w="7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3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Maximum aggregate principal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r>
      <w:tr>
        <w:trPr>
          <w:trHeight w:val="21"/>
        </w:trPr>
        <w:tc>
          <w:tcPr>
            <w:tcW w:w="7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67"/>
        </w:trPr>
        <w:tc>
          <w:tcPr>
            <w:tcW w:w="74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r>
      <w:tr>
        <w:trPr>
          <w:trHeight w:val="196"/>
        </w:trPr>
        <w:tc>
          <w:tcPr>
            <w:tcW w:w="746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Maximum borrowing limit per the Borrowing base as defined in the ABL Facility (includes eligible</w:t>
            </w:r>
          </w:p>
        </w:tc>
        <w:tc>
          <w:tcPr>
            <w:tcW w:w="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173,601</w:t>
            </w:r>
          </w:p>
        </w:tc>
        <w:tc>
          <w:tcPr>
            <w:tcW w:w="280" w:type="dxa"/>
            <w:vAlign w:val="bottom"/>
          </w:tcPr>
          <w:p>
            <w:pPr>
              <w:jc w:val="right"/>
              <w:ind w:right="11"/>
              <w:spacing w:after="0" w:line="195"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172,286</w:t>
            </w:r>
          </w:p>
        </w:tc>
      </w:tr>
      <w:tr>
        <w:trPr>
          <w:trHeight w:val="23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domestic cash and cash equivalents of $851 as of March 31, 2024 and $3,846 as of December 31, 2023)</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4"/>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Facility outstanding debt (matures on June 30, 2026)</w:t>
            </w: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128,330</w:t>
            </w:r>
          </w:p>
        </w:tc>
        <w:tc>
          <w:tcPr>
            <w:tcW w:w="2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126,322</w:t>
            </w:r>
          </w:p>
        </w:tc>
      </w:tr>
      <w:tr>
        <w:trPr>
          <w:trHeight w:val="23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standby letters of credit</w:t>
            </w:r>
          </w:p>
        </w:tc>
        <w:tc>
          <w:tcPr>
            <w:tcW w:w="18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13,080</w:t>
            </w:r>
          </w:p>
        </w:tc>
        <w:tc>
          <w:tcPr>
            <w:tcW w:w="2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13,080</w:t>
            </w:r>
          </w:p>
        </w:tc>
      </w:tr>
      <w:tr>
        <w:trPr>
          <w:trHeight w:val="21"/>
        </w:trPr>
        <w:tc>
          <w:tcPr>
            <w:tcW w:w="7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27"/>
        </w:trPr>
        <w:tc>
          <w:tcPr>
            <w:tcW w:w="7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ABL Facility availability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32,191</w:t>
            </w: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32,884</w:t>
            </w:r>
          </w:p>
        </w:tc>
      </w:tr>
      <w:tr>
        <w:trPr>
          <w:trHeight w:val="23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Liquidity covenant</w:t>
            </w:r>
          </w:p>
        </w:tc>
        <w:tc>
          <w:tcPr>
            <w:tcW w:w="18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
        </w:trPr>
        <w:tc>
          <w:tcPr>
            <w:tcW w:w="7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27"/>
        </w:trPr>
        <w:tc>
          <w:tcPr>
            <w:tcW w:w="7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ABL Facility availability in excess of Minimum Liquidity covenant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22,191</w:t>
            </w: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22,884</w:t>
            </w:r>
          </w:p>
        </w:tc>
      </w:tr>
      <w:tr>
        <w:trPr>
          <w:trHeight w:val="27"/>
        </w:trPr>
        <w:tc>
          <w:tcPr>
            <w:tcW w:w="7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r>
    </w:tbl>
    <w:p>
      <w:pPr>
        <w:spacing w:after="0" w:line="156" w:lineRule="exact"/>
        <w:rPr>
          <w:sz w:val="20"/>
          <w:szCs w:val="20"/>
          <w:color w:val="auto"/>
        </w:rPr>
      </w:pPr>
    </w:p>
    <w:p>
      <w:pPr>
        <w:ind w:right="260" w:firstLine="401"/>
        <w:spacing w:after="0" w:line="278" w:lineRule="auto"/>
        <w:rPr>
          <w:sz w:val="20"/>
          <w:szCs w:val="20"/>
          <w:color w:val="auto"/>
        </w:rPr>
      </w:pPr>
      <w:r>
        <w:rPr>
          <w:rFonts w:ascii="Times New Roman" w:cs="Times New Roman" w:eastAsia="Times New Roman" w:hAnsi="Times New Roman"/>
          <w:sz w:val="18"/>
          <w:szCs w:val="18"/>
          <w:color w:val="auto"/>
        </w:rPr>
        <w:t>In addition to the financial covenants, the ABL Facility contains restrictive covenants, including covenants that restrict the Company’s ability to pay dividends and repurchase shares of its common stock.</w:t>
      </w:r>
    </w:p>
    <w:p>
      <w:pPr>
        <w:spacing w:after="0" w:line="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31, 2024, the Company was in compliance with all debt covenants.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Terphane Brazil Loan</w:t>
      </w:r>
    </w:p>
    <w:p>
      <w:pPr>
        <w:spacing w:after="0" w:line="103" w:lineRule="exact"/>
        <w:rPr>
          <w:sz w:val="20"/>
          <w:szCs w:val="20"/>
          <w:color w:val="auto"/>
        </w:rPr>
      </w:pPr>
    </w:p>
    <w:p>
      <w:pPr>
        <w:ind w:right="200" w:firstLine="401"/>
        <w:spacing w:after="0" w:line="255" w:lineRule="auto"/>
        <w:rPr>
          <w:sz w:val="20"/>
          <w:szCs w:val="20"/>
          <w:color w:val="auto"/>
        </w:rPr>
      </w:pPr>
      <w:r>
        <w:rPr>
          <w:rFonts w:ascii="Times New Roman" w:cs="Times New Roman" w:eastAsia="Times New Roman" w:hAnsi="Times New Roman"/>
          <w:sz w:val="18"/>
          <w:szCs w:val="18"/>
          <w:color w:val="auto"/>
        </w:rPr>
        <w:t>On October 26, 2023, Terphane Ltda., the Company’s wholly owned subsidiary in Brazil, borrowed $20 million secured by certain of its assets (“Terphane Brazil Loan”). This U.S. Dollar borrowing matures on October 30, 2028. The Company expects that the Terphane Brazil Loan will be repaid (and collateral released) upon the closing of the Contingent Terphane Sale. On October 26, 2023, the Company borrowed $20 million from Terphane Ltda. (the “Intercompany Loan”) at the same interest rate as the Terphane Brazil Loan, thereby transferring the funds to the U.S. The Company will repay the Intercompany Loan in conjunction with the closing of the Contingent Terphane Sale.</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more information on the ABL Facility and the Terphane Brazil Loan, see Note 10 for additional information.</w:t>
      </w:r>
    </w:p>
    <w:p>
      <w:pPr>
        <w:spacing w:after="0" w:line="87" w:lineRule="exact"/>
        <w:rPr>
          <w:sz w:val="20"/>
          <w:szCs w:val="20"/>
          <w:color w:val="auto"/>
        </w:rPr>
      </w:pPr>
    </w:p>
    <w:p>
      <w:pPr>
        <w:ind w:right="100" w:firstLine="401"/>
        <w:spacing w:after="0" w:line="255" w:lineRule="auto"/>
        <w:rPr>
          <w:sz w:val="20"/>
          <w:szCs w:val="20"/>
          <w:color w:val="auto"/>
        </w:rPr>
      </w:pPr>
      <w:r>
        <w:rPr>
          <w:rFonts w:ascii="Times New Roman" w:cs="Times New Roman" w:eastAsia="Times New Roman" w:hAnsi="Times New Roman"/>
          <w:sz w:val="18"/>
          <w:szCs w:val="18"/>
          <w:color w:val="auto"/>
        </w:rPr>
        <w:t>The Company believes that existing borrowing availability, current cash balances and cash flow from operations will be sufficient to satisfy short term material cash requirements related to working capital, capital expenditure, and debt repayments for at least the next 12 months. In the longer term, liquidity will depend on many factors, including the results of operations, the timing and extent of capital expenditures, changes in operating plans, or other events that would cause the Company to seek additional financing in future periods. In addition, the completion of the Contingent Terphane Sale would provide additional liquidity.</w:t>
      </w:r>
    </w:p>
    <w:p>
      <w:pPr>
        <w:spacing w:after="0" w:line="6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5" w:lineRule="exact"/>
        <w:rPr>
          <w:sz w:val="20"/>
          <w:szCs w:val="20"/>
          <w:color w:val="auto"/>
        </w:rPr>
      </w:pPr>
    </w:p>
    <w:p>
      <w:pPr>
        <w:jc w:val="both"/>
        <w:ind w:right="320" w:firstLine="401"/>
        <w:spacing w:after="0" w:line="263" w:lineRule="auto"/>
        <w:rPr>
          <w:sz w:val="20"/>
          <w:szCs w:val="20"/>
          <w:color w:val="auto"/>
        </w:rPr>
      </w:pPr>
      <w:r>
        <w:rPr>
          <w:rFonts w:ascii="Times New Roman" w:cs="Times New Roman" w:eastAsia="Times New Roman" w:hAnsi="Times New Roman"/>
          <w:sz w:val="18"/>
          <w:szCs w:val="18"/>
          <w:color w:val="auto"/>
        </w:rPr>
        <w:t xml:space="preserve">Tredegar has exposure to the volatility of interest rates, polyethylene and polypropylene resin prices, Terephthalic Acid (“PTA”) and Monoethylene Glycol (“MEG”) prices, aluminum ingot and scrap prices, energy prices, foreign currencies and emerging markets. See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above regarding interest rate exposures related to borrowings under the Credit Agreement.</w:t>
      </w:r>
    </w:p>
    <w:p>
      <w:pPr>
        <w:spacing w:after="0" w:line="42" w:lineRule="exact"/>
        <w:rPr>
          <w:sz w:val="20"/>
          <w:szCs w:val="20"/>
          <w:color w:val="auto"/>
        </w:rPr>
      </w:pPr>
    </w:p>
    <w:p>
      <w:pPr>
        <w:ind w:right="100" w:firstLine="401"/>
        <w:spacing w:after="0" w:line="255" w:lineRule="auto"/>
        <w:rPr>
          <w:sz w:val="20"/>
          <w:szCs w:val="20"/>
          <w:color w:val="auto"/>
        </w:rPr>
      </w:pPr>
      <w:r>
        <w:rPr>
          <w:rFonts w:ascii="Times New Roman" w:cs="Times New Roman" w:eastAsia="Times New Roman" w:hAnsi="Times New Roman"/>
          <w:sz w:val="18"/>
          <w:szCs w:val="18"/>
          <w:color w:val="auto"/>
        </w:rPr>
        <w:t>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PE Films. Changes in polyester resin, PTA and MEG prices, and the timing of those changes, could have a significant impact on profit margins in Flexible Packaging Films. There is no assurance of the Company’s ability to pass through higher raw material and energy costs to its customers.</w:t>
      </w:r>
    </w:p>
    <w:p>
      <w:pPr>
        <w:spacing w:after="0" w:line="64" w:lineRule="exact"/>
        <w:rPr>
          <w:sz w:val="20"/>
          <w:szCs w:val="20"/>
          <w:color w:val="auto"/>
        </w:rPr>
      </w:pPr>
    </w:p>
    <w:p>
      <w:pPr>
        <w:ind w:right="80" w:firstLine="401"/>
        <w:spacing w:after="0" w:line="254" w:lineRule="auto"/>
        <w:rPr>
          <w:sz w:val="20"/>
          <w:szCs w:val="20"/>
          <w:color w:val="auto"/>
        </w:rPr>
      </w:pPr>
      <w:r>
        <w:rPr>
          <w:rFonts w:ascii="Times New Roman" w:cs="Times New Roman" w:eastAsia="Times New Roman" w:hAnsi="Times New Roman"/>
          <w:sz w:val="18"/>
          <w:szCs w:val="18"/>
          <w:color w:val="auto"/>
        </w:rPr>
        <w:t>The purchase price of raw materials fluctuates on a monthly basis; therefore, Aluminum Extrusions pricing policies generally allow the Company to pass the underlying index cost of aluminum and certain alloys through to the vast majority of our customers so that we remain substantially neutral to metal pricing. 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12 months, the Company enters into a combination of forward purchase commitments and futures contracts to acquire or hedge aluminum, based on the scheduled deliveries. See Note 7 for additional information.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0" w:name="page31"/>
    <w:bookmarkEnd w:id="30"/>
    <w:p>
      <w:pPr>
        <w:ind w:left="180"/>
        <w:spacing w:after="0"/>
        <w:rPr>
          <w:sz w:val="20"/>
          <w:szCs w:val="20"/>
          <w:color w:val="auto"/>
        </w:rPr>
      </w:pPr>
      <w:r>
        <w:rPr>
          <w:rFonts w:ascii="Times New Roman" w:cs="Times New Roman" w:eastAsia="Times New Roman" w:hAnsi="Times New Roman"/>
          <w:sz w:val="17"/>
          <w:szCs w:val="17"/>
          <w:color w:val="auto"/>
        </w:rPr>
        <w:t>The volatility of quarterly average aluminum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74295</wp:posOffset>
            </wp:positionV>
            <wp:extent cx="5715635" cy="25222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15635" cy="252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Source: Quarterly averages computed by the Company using daily Midwest average prices provided by Platts.</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volatility of quarterly average natural gas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82550</wp:posOffset>
            </wp:positionV>
            <wp:extent cx="5715635" cy="25222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5635" cy="252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Source: Quarterly averages computed by Tredegar using monthly NYMEX settlement prices.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71120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9919"/>
          </w:cols>
          <w:pgMar w:left="540" w:top="977" w:right="1440"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color w:val="auto"/>
        </w:rPr>
        <w:t>The volatility of average quarterly prices of polyethylene resin in the U.S. (a primary raw material for PE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67310</wp:posOffset>
            </wp:positionV>
            <wp:extent cx="5715635" cy="25222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15635" cy="252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0" w:right="260"/>
        <w:spacing w:after="0" w:line="233" w:lineRule="auto"/>
        <w:rPr>
          <w:sz w:val="20"/>
          <w:szCs w:val="20"/>
          <w:color w:val="auto"/>
        </w:rPr>
      </w:pPr>
      <w:r>
        <w:rPr>
          <w:rFonts w:ascii="Times New Roman" w:cs="Times New Roman" w:eastAsia="Times New Roman" w:hAnsi="Times New Roman"/>
          <w:sz w:val="12"/>
          <w:szCs w:val="12"/>
          <w:color w:val="auto"/>
        </w:rPr>
        <w:t>Source: Quarterly averages computed by Tredegar using monthly data provided by IHS, Inc. In February 2020, IHS reflected a 32 cents per pound non-market adjustment based on their estimate of the growth of discounts in prior periods. The 4th quarter 2019 average rate of $0.51 per pound is shown on a pro forma basis as if the non-market adjustment was made in the fourth quarter of 2019. In January 2023, IHS</w:t>
      </w:r>
    </w:p>
    <w:p>
      <w:pPr>
        <w:ind w:left="300" w:right="180"/>
        <w:spacing w:after="0" w:line="234" w:lineRule="auto"/>
        <w:rPr>
          <w:sz w:val="20"/>
          <w:szCs w:val="20"/>
          <w:color w:val="auto"/>
        </w:rPr>
      </w:pPr>
      <w:r>
        <w:rPr>
          <w:rFonts w:ascii="Times New Roman" w:cs="Times New Roman" w:eastAsia="Times New Roman" w:hAnsi="Times New Roman"/>
          <w:sz w:val="12"/>
          <w:szCs w:val="12"/>
          <w:color w:val="auto"/>
        </w:rPr>
        <w:t>reflected a 41 cents per pound non-market adjustment based on their estimate of the growth of discounts in the prior periods. The 4th quarter 2022 average rate of $0.60 per pound is shown on a pro forma basis as if the non-market adjustment was made in the fourth quarter of 2022.</w:t>
      </w:r>
    </w:p>
    <w:p>
      <w:pPr>
        <w:spacing w:after="0" w:line="171" w:lineRule="exact"/>
        <w:rPr>
          <w:sz w:val="20"/>
          <w:szCs w:val="20"/>
          <w:color w:val="auto"/>
        </w:rPr>
      </w:pPr>
    </w:p>
    <w:p>
      <w:pPr>
        <w:ind w:firstLine="401"/>
        <w:spacing w:after="0" w:line="254" w:lineRule="auto"/>
        <w:rPr>
          <w:sz w:val="20"/>
          <w:szCs w:val="20"/>
          <w:color w:val="auto"/>
        </w:rPr>
      </w:pPr>
      <w:r>
        <w:rPr>
          <w:rFonts w:ascii="Times New Roman" w:cs="Times New Roman" w:eastAsia="Times New Roman" w:hAnsi="Times New Roman"/>
          <w:sz w:val="18"/>
          <w:szCs w:val="18"/>
          <w:color w:val="auto"/>
        </w:rPr>
        <w:t>The price of resin is driven by several factors, including supply and demand and the price of oil, ethylene and natural gas. Selling prices to customers are set considering numerous factors, including the expected volatility of resin prices. PE Films has index-based pass-through raw material cost arrangements with customers. However, under certain agreements, changes in resin prices are not passed through for a period of 90 days. In response to unprecedented cost increases and supply issues for polyethylene and polypropylene resin, Tredegar Surface Protection implemented a quarterly resin cost pass-through mechanism, effective July 1, 2021, for all products and customers not previously covered by such arrangements. Pricing on the remainder of the business is based upon raw material costs and supply/demand dynamics within the markets that the Company competes.</w:t>
      </w:r>
    </w:p>
    <w:p>
      <w:pPr>
        <w:spacing w:after="0" w:line="200" w:lineRule="exact"/>
        <w:rPr>
          <w:sz w:val="20"/>
          <w:szCs w:val="20"/>
          <w:color w:val="auto"/>
        </w:rPr>
      </w:pPr>
    </w:p>
    <w:p>
      <w:pPr>
        <w:spacing w:after="0" w:line="3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60"/>
          </w:cols>
          <w:pgMar w:left="320" w:top="977" w:right="519" w:bottom="1440" w:gutter="0" w:footer="0" w:header="0"/>
        </w:sectPr>
      </w:pPr>
    </w:p>
    <w:bookmarkStart w:id="32" w:name="page33"/>
    <w:bookmarkEnd w:id="32"/>
    <w:p>
      <w:pPr>
        <w:ind w:right="40" w:firstLine="401"/>
        <w:spacing w:after="0" w:line="258" w:lineRule="auto"/>
        <w:rPr>
          <w:sz w:val="20"/>
          <w:szCs w:val="20"/>
          <w:color w:val="auto"/>
        </w:rPr>
      </w:pPr>
      <w:r>
        <w:rPr>
          <w:rFonts w:ascii="Times New Roman" w:cs="Times New Roman" w:eastAsia="Times New Roman" w:hAnsi="Times New Roman"/>
          <w:sz w:val="18"/>
          <w:szCs w:val="18"/>
          <w:color w:val="auto"/>
        </w:rPr>
        <w:t>Polyester resins, MEG and PTA used in flexible packaging films produced in Brazil are primarily purchased domestically, with other sources available mostly from Asia and the U.S. Given the nature of these products as commodities, pricing is derived from Asian pricing indexes. The volatility of the average quarterly prices for polyester fibers in Asia, which is representative of polyester resin (a primary raw material for Flexible Packaging Films) pricing trends,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40640</wp:posOffset>
            </wp:positionV>
            <wp:extent cx="5715635" cy="25222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15635" cy="252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Source: Quarterly averages computed by Tredegar using monthly data from CMAI Global Index data.</w:t>
      </w:r>
    </w:p>
    <w:p>
      <w:pPr>
        <w:spacing w:after="0" w:line="196" w:lineRule="exact"/>
        <w:rPr>
          <w:sz w:val="20"/>
          <w:szCs w:val="20"/>
          <w:color w:val="auto"/>
        </w:rPr>
      </w:pPr>
    </w:p>
    <w:p>
      <w:pPr>
        <w:ind w:right="400" w:firstLine="401"/>
        <w:spacing w:after="0" w:line="278" w:lineRule="auto"/>
        <w:rPr>
          <w:sz w:val="20"/>
          <w:szCs w:val="20"/>
          <w:color w:val="auto"/>
        </w:rPr>
      </w:pPr>
      <w:r>
        <w:rPr>
          <w:rFonts w:ascii="Times New Roman" w:cs="Times New Roman" w:eastAsia="Times New Roman" w:hAnsi="Times New Roman"/>
          <w:sz w:val="18"/>
          <w:szCs w:val="18"/>
          <w:color w:val="auto"/>
        </w:rPr>
        <w:t>The volatility of average quarterly prices of PTA and MEG in Asia (raw materials used in the production of polyester resins produced by Flexible Packaging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38100</wp:posOffset>
            </wp:positionV>
            <wp:extent cx="5715635" cy="26327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1563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Source: Quarterly averages computed by Tredegar using monthly data from CMAI Global Index data.</w:t>
      </w:r>
    </w:p>
    <w:p>
      <w:pPr>
        <w:spacing w:after="0" w:line="196" w:lineRule="exact"/>
        <w:rPr>
          <w:sz w:val="20"/>
          <w:szCs w:val="20"/>
          <w:color w:val="auto"/>
        </w:rPr>
      </w:pPr>
    </w:p>
    <w:p>
      <w:pPr>
        <w:ind w:firstLine="401"/>
        <w:spacing w:after="0" w:line="258" w:lineRule="auto"/>
        <w:rPr>
          <w:sz w:val="20"/>
          <w:szCs w:val="20"/>
          <w:color w:val="auto"/>
        </w:rPr>
      </w:pPr>
      <w:r>
        <w:rPr>
          <w:rFonts w:ascii="Times New Roman" w:cs="Times New Roman" w:eastAsia="Times New Roman" w:hAnsi="Times New Roman"/>
          <w:sz w:val="18"/>
          <w:szCs w:val="18"/>
          <w:color w:val="auto"/>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Brazilian Real and Chinese Yuan in the charts on the following page). Exports from the U.S. are generally denominated in U.S. Dollars. The Company’s foreign currency exposure on income from foreign operations relates to the Chinese Yuan and the Brazilian Real.</w:t>
      </w:r>
    </w:p>
    <w:p>
      <w:pPr>
        <w:spacing w:after="0" w:line="60" w:lineRule="exact"/>
        <w:rPr>
          <w:sz w:val="20"/>
          <w:szCs w:val="20"/>
          <w:color w:val="auto"/>
        </w:rPr>
      </w:pPr>
    </w:p>
    <w:p>
      <w:pPr>
        <w:ind w:right="20" w:firstLine="401"/>
        <w:spacing w:after="0" w:line="263" w:lineRule="auto"/>
        <w:rPr>
          <w:sz w:val="20"/>
          <w:szCs w:val="20"/>
          <w:color w:val="auto"/>
        </w:rPr>
      </w:pPr>
      <w:r>
        <w:rPr>
          <w:rFonts w:ascii="Times New Roman" w:cs="Times New Roman" w:eastAsia="Times New Roman" w:hAnsi="Times New Roman"/>
          <w:sz w:val="18"/>
          <w:szCs w:val="18"/>
          <w:color w:val="auto"/>
        </w:rPr>
        <w:t>PE Films is generally able to match the currency of its sales and costs for its product lines. For flexible packaging films produced in Brazil, selling prices and key raw material costs are principally determined in U.S. Dollars and are impacted by local economic conditions and local and global competitive dynamics. Flexible Packaging Films is exposed to foreign</w:t>
      </w:r>
    </w:p>
    <w:p>
      <w:pPr>
        <w:sectPr>
          <w:pgSz w:w="11900" w:h="16838" w:orient="portrait"/>
          <w:cols w:equalWidth="0" w:num="1">
            <w:col w:w="11200"/>
          </w:cols>
          <w:pgMar w:left="320" w:top="977" w:right="37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977" w:right="379" w:bottom="1440" w:gutter="0" w:footer="0" w:header="0"/>
          <w:type w:val="continuous"/>
        </w:sectPr>
      </w:pPr>
    </w:p>
    <w:bookmarkStart w:id="33" w:name="page34"/>
    <w:bookmarkEnd w:id="33"/>
    <w:p>
      <w:pPr>
        <w:ind w:right="100"/>
        <w:spacing w:after="0" w:line="255" w:lineRule="auto"/>
        <w:rPr>
          <w:sz w:val="20"/>
          <w:szCs w:val="20"/>
          <w:color w:val="auto"/>
        </w:rPr>
      </w:pPr>
      <w:r>
        <w:rPr>
          <w:rFonts w:ascii="Times New Roman" w:cs="Times New Roman" w:eastAsia="Times New Roman" w:hAnsi="Times New Roman"/>
          <w:sz w:val="18"/>
          <w:szCs w:val="18"/>
          <w:color w:val="auto"/>
        </w:rPr>
        <w:t>exchange translation risk (its functional currency is the Brazilian Real) because almost 90% of the sales of Flexible Packaging Films business unit in Brazil (“Terphane Ltda.”) and substantially all of its related raw material costs are quoted or priced in U.S. Dollars while its variable conversion, fixed conversion and sales, general and administrative costs before depreciation &amp; amortization (collectively “Terphane Ltda. Operating Costs”) are quoted or priced in Brazilian Real. This mismatch, together with a variety of economic variables impacting currency exchange rates, causes volatility that could negatively or positively impact EBITDA from ongoing operations for Flexible Packaging Films.</w:t>
      </w:r>
    </w:p>
    <w:p>
      <w:pPr>
        <w:spacing w:after="0" w:line="51" w:lineRule="exact"/>
        <w:rPr>
          <w:sz w:val="20"/>
          <w:szCs w:val="20"/>
          <w:color w:val="auto"/>
        </w:rPr>
      </w:pPr>
    </w:p>
    <w:p>
      <w:pPr>
        <w:ind w:right="20" w:firstLine="401"/>
        <w:spacing w:after="0" w:line="258" w:lineRule="auto"/>
        <w:rPr>
          <w:sz w:val="20"/>
          <w:szCs w:val="20"/>
          <w:color w:val="auto"/>
        </w:rPr>
      </w:pPr>
      <w:r>
        <w:rPr>
          <w:rFonts w:ascii="Times New Roman" w:cs="Times New Roman" w:eastAsia="Times New Roman" w:hAnsi="Times New Roman"/>
          <w:sz w:val="18"/>
          <w:szCs w:val="18"/>
          <w:color w:val="auto"/>
        </w:rPr>
        <w:t>The Company estimates annual net costs of R$139.0 million for the net mismatch translation exposure between Terphane Ltda.’s U.S. Dollar quoted or priced sales and raw material costs and underlying Brazilian Real quoted or priced Terphane Ltda. Operating Costs. Terphane Ltda. has outstanding foreign exchange average forward rate contracts to purchase Brazilian Real and sell U.S. Dollars to hedge its exposure. See Note 7 for more information on outstanding hedging contracts and this hedging program.</w:t>
      </w:r>
    </w:p>
    <w:p>
      <w:pPr>
        <w:spacing w:after="0" w:line="60" w:lineRule="exact"/>
        <w:rPr>
          <w:sz w:val="20"/>
          <w:szCs w:val="20"/>
          <w:color w:val="auto"/>
        </w:rPr>
      </w:pPr>
    </w:p>
    <w:p>
      <w:pPr>
        <w:ind w:right="80" w:firstLine="401"/>
        <w:spacing w:after="0" w:line="278" w:lineRule="auto"/>
        <w:rPr>
          <w:sz w:val="20"/>
          <w:szCs w:val="20"/>
          <w:color w:val="auto"/>
        </w:rPr>
      </w:pPr>
      <w:r>
        <w:rPr>
          <w:rFonts w:ascii="Times New Roman" w:cs="Times New Roman" w:eastAsia="Times New Roman" w:hAnsi="Times New Roman"/>
          <w:sz w:val="18"/>
          <w:szCs w:val="18"/>
          <w:color w:val="auto"/>
        </w:rPr>
        <w:t>Tredegar estimates that the change in the value of foreign currencies relative to the U.S. Dollar for PE Films had no impact on EBITDA from ongoing operations for the first quarter of 2024 compared with the same period of 2023.</w:t>
      </w:r>
    </w:p>
    <w:p>
      <w:pPr>
        <w:spacing w:after="0" w:line="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Trends for the Brazilian Real and Chinese Yuan exchange rates relative to the U.S. Dollar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67310</wp:posOffset>
            </wp:positionV>
            <wp:extent cx="5715635" cy="25222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15635" cy="252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Source: Quarterly averages computed by Tredegar using daily closing data provided by Bloomberg.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Evaluation of Disclosure Controls and Procedures</w:t>
      </w:r>
    </w:p>
    <w:p>
      <w:pPr>
        <w:spacing w:after="0" w:line="105" w:lineRule="exact"/>
        <w:rPr>
          <w:sz w:val="20"/>
          <w:szCs w:val="20"/>
          <w:color w:val="auto"/>
        </w:rPr>
      </w:pPr>
    </w:p>
    <w:p>
      <w:pPr>
        <w:ind w:firstLine="401"/>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of this Form 10-Q,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the design and operation of the Company’s disclosure controls and procedures (as defined under Rule 13a-15(e) and 15d-15(e) under the Exchange Act) as of March 31, 2024.</w:t>
      </w:r>
    </w:p>
    <w:p>
      <w:pPr>
        <w:spacing w:after="0" w:line="46" w:lineRule="exact"/>
        <w:rPr>
          <w:sz w:val="20"/>
          <w:szCs w:val="20"/>
          <w:color w:val="auto"/>
        </w:rPr>
      </w:pPr>
    </w:p>
    <w:p>
      <w:pPr>
        <w:ind w:right="140" w:firstLine="401"/>
        <w:spacing w:after="0" w:line="278" w:lineRule="auto"/>
        <w:rPr>
          <w:sz w:val="20"/>
          <w:szCs w:val="20"/>
          <w:color w:val="auto"/>
        </w:rPr>
      </w:pPr>
      <w:r>
        <w:rPr>
          <w:rFonts w:ascii="Times New Roman" w:cs="Times New Roman" w:eastAsia="Times New Roman" w:hAnsi="Times New Roman"/>
          <w:sz w:val="18"/>
          <w:szCs w:val="18"/>
          <w:color w:val="auto"/>
        </w:rPr>
        <w:t>Based on this evaluation of our disclosure controls and procedures as of March 31, 2024, the Company's Chief Executive Officer and Chief Financial Officer concluded that, as of such date, our disclosure controls and procedures were effective.</w:t>
      </w:r>
    </w:p>
    <w:p>
      <w:pPr>
        <w:spacing w:after="0" w:line="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Changes in Internal Control Over Financial Reporting</w:t>
      </w:r>
    </w:p>
    <w:p>
      <w:pPr>
        <w:spacing w:after="0" w:line="105" w:lineRule="exact"/>
        <w:rPr>
          <w:sz w:val="20"/>
          <w:szCs w:val="20"/>
          <w:color w:val="auto"/>
        </w:rPr>
      </w:pPr>
    </w:p>
    <w:p>
      <w:pPr>
        <w:ind w:right="400" w:firstLine="401"/>
        <w:spacing w:after="0" w:line="263"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during the quarter ended March 31, 2024, that has materially affected, or is reasonably likely to materially affect, its internal control over financial reporting (as defined in Rules 13a-15(f) and 15d-15(f) under the Exchange Act).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5" w:lineRule="exact"/>
        <w:rPr>
          <w:sz w:val="20"/>
          <w:szCs w:val="20"/>
          <w:color w:val="auto"/>
        </w:rPr>
      </w:pPr>
    </w:p>
    <w:p>
      <w:pPr>
        <w:ind w:right="100" w:firstLine="401"/>
        <w:spacing w:after="0" w:line="263" w:lineRule="auto"/>
        <w:rPr>
          <w:sz w:val="20"/>
          <w:szCs w:val="20"/>
          <w:color w:val="auto"/>
        </w:rPr>
      </w:pPr>
      <w:r>
        <w:rPr>
          <w:rFonts w:ascii="Times New Roman" w:cs="Times New Roman" w:eastAsia="Times New Roman" w:hAnsi="Times New Roman"/>
          <w:sz w:val="18"/>
          <w:szCs w:val="18"/>
          <w:color w:val="auto"/>
        </w:rPr>
        <w:t>As disclosed in “Item 1A. Risk Factors” in the 2023 Form 10-K, there are a number of risks and uncertainties that can have a material effect on the operating results of our businesses and our financial condition. There are no material updates or changes to our risk factors previously disclosed in the 2023 Form 10-K.</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977" w:right="379" w:bottom="1440" w:gutter="0" w:footer="0" w:header="0"/>
        </w:sectPr>
      </w:pPr>
    </w:p>
    <w:bookmarkStart w:id="34" w:name="page35"/>
    <w:bookmarkEnd w:id="34"/>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91" w:lineRule="exact"/>
        <w:rPr>
          <w:sz w:val="20"/>
          <w:szCs w:val="20"/>
          <w:color w:val="auto"/>
        </w:rPr>
      </w:pPr>
    </w:p>
    <w:p>
      <w:pPr>
        <w:jc w:val="both"/>
        <w:ind w:right="80" w:firstLine="401"/>
        <w:spacing w:after="0" w:line="263" w:lineRule="auto"/>
        <w:rPr>
          <w:sz w:val="20"/>
          <w:szCs w:val="20"/>
          <w:color w:val="auto"/>
        </w:rPr>
      </w:pPr>
      <w:r>
        <w:rPr>
          <w:rFonts w:ascii="Times New Roman" w:cs="Times New Roman" w:eastAsia="Times New Roman" w:hAnsi="Times New Roman"/>
          <w:sz w:val="18"/>
          <w:szCs w:val="18"/>
          <w:color w:val="auto"/>
        </w:rPr>
        <w:t>The Company’s Credit Agreement contains financial and other restrictive covenants, including a restriction on the Company’s ability to pay dividends to shareholders. For more information on the Credit Agreement, see “Item 2. Management’s Discussion and Analysis of Financial Condition and Results of Operations - Liquidity and Capital Resources.”</w:t>
      </w:r>
    </w:p>
    <w:p>
      <w:pPr>
        <w:spacing w:after="0" w:line="5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Director and Officer Trading Arrangements</w:t>
      </w:r>
    </w:p>
    <w:p>
      <w:pPr>
        <w:spacing w:after="0" w:line="89" w:lineRule="exact"/>
        <w:rPr>
          <w:sz w:val="20"/>
          <w:szCs w:val="20"/>
          <w:color w:val="auto"/>
        </w:rPr>
      </w:pPr>
    </w:p>
    <w:p>
      <w:pPr>
        <w:ind w:right="160" w:firstLine="401"/>
        <w:spacing w:after="0" w:line="278"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of the Company adopted or terminated a "Rule 10b5-1 trading arrangement" or "non-Rule 10b5-1 trading arrangement," as each term is defined in Item 408(a) of Regulation S-K.</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16"/>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6"/>
        </w:trPr>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7"/>
        </w:trPr>
        <w:tc>
          <w:tcPr>
            <w:tcW w:w="64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540" w:type="dxa"/>
            <w:vAlign w:val="bottom"/>
            <w:shd w:val="clear" w:color="auto" w:fill="CCEEFF"/>
          </w:tcPr>
          <w:p>
            <w:pPr>
              <w:spacing w:after="0"/>
              <w:rPr>
                <w:sz w:val="16"/>
                <w:szCs w:val="16"/>
                <w:color w:val="auto"/>
              </w:rPr>
            </w:pPr>
          </w:p>
        </w:tc>
        <w:tc>
          <w:tcPr>
            <w:tcW w:w="10020" w:type="dxa"/>
            <w:vAlign w:val="bottom"/>
            <w:gridSpan w:val="15"/>
            <w:shd w:val="clear" w:color="auto" w:fill="CCEEFF"/>
          </w:tcPr>
          <w:p>
            <w:pPr>
              <w:spacing w:after="0" w:line="188"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Amendment No. 4, dated April 16, 2024, to the Second Amended and Restated Credit Agreement, dated June 29, 2022, by and among</w:t>
              </w:r>
            </w:hyperlink>
          </w:p>
        </w:tc>
      </w:tr>
      <w:tr>
        <w:trPr>
          <w:trHeight w:val="154"/>
        </w:trPr>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9580" w:type="dxa"/>
            <w:vAlign w:val="bottom"/>
            <w:tcBorders>
              <w:top w:val="single" w:sz="8" w:color="0000FF"/>
              <w:bottom w:val="single" w:sz="8" w:color="0000FF"/>
            </w:tcBorders>
            <w:gridSpan w:val="7"/>
            <w:shd w:val="clear" w:color="auto" w:fill="CCEEFF"/>
          </w:tcPr>
          <w:p>
            <w:pPr>
              <w:spacing w:after="0" w:line="154" w:lineRule="exact"/>
              <w:rPr>
                <w:rFonts w:ascii="Times New Roman" w:cs="Times New Roman" w:eastAsia="Times New Roman" w:hAnsi="Times New Roman"/>
                <w:sz w:val="17"/>
                <w:szCs w:val="17"/>
                <w:color w:val="0000FF"/>
              </w:rPr>
            </w:pPr>
            <w:hyperlink r:id="rId64">
              <w:r>
                <w:rPr>
                  <w:rFonts w:ascii="Times New Roman" w:cs="Times New Roman" w:eastAsia="Times New Roman" w:hAnsi="Times New Roman"/>
                  <w:sz w:val="17"/>
                  <w:szCs w:val="17"/>
                  <w:color w:val="0000FF"/>
                </w:rPr>
                <w:t>Tredegar Corporation, as borrower, certain of Tredegar Corporation’s material domestic subsidiaries, as guarantors, the lenders named</w:t>
              </w:r>
            </w:hyperlink>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7"/>
        </w:trPr>
        <w:tc>
          <w:tcPr>
            <w:tcW w:w="6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20" w:type="dxa"/>
            <w:vAlign w:val="bottom"/>
            <w:gridSpan w:val="15"/>
            <w:shd w:val="clear" w:color="auto" w:fill="CCEEFF"/>
          </w:tcPr>
          <w:p>
            <w:pPr>
              <w:spacing w:after="0" w:line="167"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therein, JPMorgan Chase Bank, N.A., as administrative agent, Citizens Bank, N.A. and PNC Bank, National Association, as co-syndication</w:t>
              </w:r>
            </w:hyperlink>
          </w:p>
        </w:tc>
      </w:tr>
      <w:tr>
        <w:trPr>
          <w:trHeight w:val="154"/>
        </w:trPr>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9680" w:type="dxa"/>
            <w:vAlign w:val="bottom"/>
            <w:tcBorders>
              <w:top w:val="single" w:sz="8" w:color="0000FF"/>
              <w:bottom w:val="single" w:sz="8" w:color="0000FF"/>
            </w:tcBorders>
            <w:gridSpan w:val="9"/>
            <w:shd w:val="clear" w:color="auto" w:fill="CCEEFF"/>
          </w:tcPr>
          <w:p>
            <w:pPr>
              <w:spacing w:after="0" w:line="154" w:lineRule="exact"/>
              <w:rPr>
                <w:rFonts w:ascii="Times New Roman" w:cs="Times New Roman" w:eastAsia="Times New Roman" w:hAnsi="Times New Roman"/>
                <w:sz w:val="17"/>
                <w:szCs w:val="17"/>
                <w:color w:val="0000FF"/>
              </w:rPr>
            </w:pPr>
            <w:hyperlink r:id="rId64">
              <w:r>
                <w:rPr>
                  <w:rFonts w:ascii="Times New Roman" w:cs="Times New Roman" w:eastAsia="Times New Roman" w:hAnsi="Times New Roman"/>
                  <w:sz w:val="17"/>
                  <w:szCs w:val="17"/>
                  <w:color w:val="0000FF"/>
                </w:rPr>
                <w:t>agents, and Bank of America, N.A., U.S. Bank National Association and Wells Fargo Bank, National Association, as co-documentation</w:t>
              </w:r>
            </w:hyperlink>
          </w:p>
        </w:tc>
        <w:tc>
          <w:tcPr>
            <w:tcW w:w="280" w:type="dxa"/>
            <w:vAlign w:val="bottom"/>
            <w:tcBorders>
              <w:top w:val="single" w:sz="8" w:color="0000FF"/>
              <w:bottom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4"/>
        </w:trPr>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20" w:type="dxa"/>
            <w:vAlign w:val="bottom"/>
            <w:gridSpan w:val="15"/>
            <w:shd w:val="clear" w:color="auto" w:fill="CCEEFF"/>
          </w:tcPr>
          <w:p>
            <w:pPr>
              <w:spacing w:after="0" w:line="154" w:lineRule="exact"/>
              <w:rPr>
                <w:rFonts w:ascii="Times New Roman" w:cs="Times New Roman" w:eastAsia="Times New Roman" w:hAnsi="Times New Roman"/>
                <w:sz w:val="17"/>
                <w:szCs w:val="17"/>
                <w:color w:val="0000FF"/>
              </w:rPr>
            </w:pPr>
            <w:hyperlink r:id="rId64">
              <w:r>
                <w:rPr>
                  <w:rFonts w:ascii="Times New Roman" w:cs="Times New Roman" w:eastAsia="Times New Roman" w:hAnsi="Times New Roman"/>
                  <w:sz w:val="17"/>
                  <w:szCs w:val="17"/>
                  <w:color w:val="0000FF"/>
                </w:rPr>
                <w:t>agents (filed as Exhibit 10.1 of Tredegar's Current Report on Form 8-K (File No. 1-10258), filed on April 22, 2024, and incorporated herein</w:t>
              </w:r>
            </w:hyperlink>
          </w:p>
        </w:tc>
      </w:tr>
      <w:tr>
        <w:trPr>
          <w:trHeight w:val="187"/>
        </w:trPr>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0000FF"/>
              <w:bottom w:val="single" w:sz="8" w:color="0000FF"/>
            </w:tcBorders>
            <w:shd w:val="clear" w:color="auto" w:fill="CCEEFF"/>
          </w:tcPr>
          <w:p>
            <w:pPr>
              <w:spacing w:after="0" w:line="167" w:lineRule="exact"/>
              <w:rPr>
                <w:rFonts w:ascii="Times New Roman" w:cs="Times New Roman" w:eastAsia="Times New Roman" w:hAnsi="Times New Roman"/>
                <w:sz w:val="18"/>
                <w:szCs w:val="18"/>
                <w:color w:val="0000FF"/>
                <w:w w:val="98"/>
              </w:rPr>
            </w:pPr>
            <w:hyperlink r:id="rId64">
              <w:r>
                <w:rPr>
                  <w:rFonts w:ascii="Times New Roman" w:cs="Times New Roman" w:eastAsia="Times New Roman" w:hAnsi="Times New Roman"/>
                  <w:sz w:val="18"/>
                  <w:szCs w:val="18"/>
                  <w:color w:val="0000FF"/>
                  <w:w w:val="98"/>
                </w:rPr>
                <w:t>by reference).</w:t>
              </w:r>
            </w:hyperlink>
          </w:p>
        </w:tc>
        <w:tc>
          <w:tcPr>
            <w:tcW w:w="8980" w:type="dxa"/>
            <w:vAlign w:val="bottom"/>
            <w:tcBorders>
              <w:top w:val="single" w:sz="8" w:color="0000FF"/>
              <w:bottom w:val="single" w:sz="8" w:color="CCEEFF"/>
            </w:tcBorders>
            <w:gridSpan w:val="13"/>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6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16"/>
                <w:szCs w:val="16"/>
                <w:color w:val="auto"/>
              </w:rPr>
            </w:pPr>
          </w:p>
        </w:tc>
        <w:tc>
          <w:tcPr>
            <w:tcW w:w="10020" w:type="dxa"/>
            <w:vAlign w:val="bottom"/>
            <w:gridSpan w:val="15"/>
          </w:tcPr>
          <w:p>
            <w:pPr>
              <w:spacing w:after="0" w:line="188" w:lineRule="exact"/>
              <w:rPr>
                <w:sz w:val="20"/>
                <w:szCs w:val="20"/>
                <w:color w:val="auto"/>
              </w:rPr>
            </w:pPr>
            <w:r>
              <w:rPr>
                <w:rFonts w:ascii="Times New Roman" w:cs="Times New Roman" w:eastAsia="Times New Roman" w:hAnsi="Times New Roman"/>
                <w:sz w:val="18"/>
                <w:szCs w:val="18"/>
                <w:color w:val="0000FF"/>
              </w:rPr>
              <w:t>Form of Notice of Phantom Stock Unit Award and Phantom Stock Unit Award Terms and Conditions.</w:t>
            </w:r>
          </w:p>
        </w:tc>
      </w:tr>
      <w:tr>
        <w:trPr>
          <w:trHeight w:val="20"/>
        </w:trPr>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240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7"/>
        </w:trPr>
        <w:tc>
          <w:tcPr>
            <w:tcW w:w="64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31.1</w:t>
            </w:r>
          </w:p>
        </w:tc>
        <w:tc>
          <w:tcPr>
            <w:tcW w:w="540" w:type="dxa"/>
            <w:vAlign w:val="bottom"/>
            <w:shd w:val="clear" w:color="auto" w:fill="CCEEFF"/>
          </w:tcPr>
          <w:p>
            <w:pPr>
              <w:spacing w:after="0"/>
              <w:rPr>
                <w:sz w:val="16"/>
                <w:szCs w:val="16"/>
                <w:color w:val="auto"/>
              </w:rPr>
            </w:pPr>
          </w:p>
        </w:tc>
        <w:tc>
          <w:tcPr>
            <w:tcW w:w="10020" w:type="dxa"/>
            <w:vAlign w:val="bottom"/>
            <w:gridSpan w:val="1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President and Chief Executive Officer of Tredegar Corporation, pursuant to Rules 13a-14(a) and 15d-14(a) promulgated</w:t>
            </w:r>
          </w:p>
        </w:tc>
      </w:tr>
      <w:tr>
        <w:trPr>
          <w:trHeight w:val="154"/>
        </w:trPr>
        <w:tc>
          <w:tcPr>
            <w:tcW w:w="6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9720" w:type="dxa"/>
            <w:vAlign w:val="bottom"/>
            <w:tcBorders>
              <w:top w:val="single" w:sz="8" w:color="0000FF"/>
            </w:tcBorders>
            <w:gridSpan w:val="10"/>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under the Securities Exchange Act of 1934, as adopted pursuant to Section 302 of the Sarbanes-Oxley Act of 2002.</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r>
      <w:tr>
        <w:trPr>
          <w:trHeight w:val="33"/>
        </w:trPr>
        <w:tc>
          <w:tcPr>
            <w:tcW w:w="6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244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24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7"/>
        </w:trPr>
        <w:tc>
          <w:tcPr>
            <w:tcW w:w="6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31.2</w:t>
            </w:r>
          </w:p>
        </w:tc>
        <w:tc>
          <w:tcPr>
            <w:tcW w:w="540" w:type="dxa"/>
            <w:vAlign w:val="bottom"/>
          </w:tcPr>
          <w:p>
            <w:pPr>
              <w:spacing w:after="0"/>
              <w:rPr>
                <w:sz w:val="16"/>
                <w:szCs w:val="16"/>
                <w:color w:val="auto"/>
              </w:rPr>
            </w:pPr>
          </w:p>
        </w:tc>
        <w:tc>
          <w:tcPr>
            <w:tcW w:w="10020" w:type="dxa"/>
            <w:vAlign w:val="bottom"/>
            <w:gridSpan w:val="15"/>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Executive Vice President and Chief Financial Officer of Tredegar Corporation, pursuant to Rules 13a-14(a) and 15d-14(a)</w:t>
            </w:r>
          </w:p>
        </w:tc>
      </w:tr>
      <w:tr>
        <w:trPr>
          <w:trHeight w:val="154"/>
        </w:trPr>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40" w:type="dxa"/>
            <w:vAlign w:val="bottom"/>
            <w:tcBorders>
              <w:top w:val="single" w:sz="8" w:color="0000FF"/>
            </w:tcBorders>
            <w:gridSpan w:val="11"/>
          </w:tcPr>
          <w:p>
            <w:pPr>
              <w:spacing w:after="0" w:line="154" w:lineRule="exact"/>
              <w:rPr>
                <w:sz w:val="20"/>
                <w:szCs w:val="20"/>
                <w:color w:val="auto"/>
              </w:rPr>
            </w:pPr>
            <w:r>
              <w:rPr>
                <w:rFonts w:ascii="Times New Roman" w:cs="Times New Roman" w:eastAsia="Times New Roman" w:hAnsi="Times New Roman"/>
                <w:sz w:val="17"/>
                <w:szCs w:val="17"/>
                <w:color w:val="0000FF"/>
              </w:rPr>
              <w:t>promulgated under the Securities Exchange Act of 1934, as adopted pursuant to Section 302 of the Sarbanes-Oxley Act of 2002.</w:t>
            </w:r>
          </w:p>
        </w:tc>
        <w:tc>
          <w:tcPr>
            <w:tcW w:w="10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3"/>
        </w:trPr>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244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240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7"/>
        </w:trPr>
        <w:tc>
          <w:tcPr>
            <w:tcW w:w="64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32.1</w:t>
            </w:r>
          </w:p>
        </w:tc>
        <w:tc>
          <w:tcPr>
            <w:tcW w:w="540" w:type="dxa"/>
            <w:vAlign w:val="bottom"/>
            <w:shd w:val="clear" w:color="auto" w:fill="CCEEFF"/>
          </w:tcPr>
          <w:p>
            <w:pPr>
              <w:spacing w:after="0"/>
              <w:rPr>
                <w:sz w:val="16"/>
                <w:szCs w:val="16"/>
                <w:color w:val="auto"/>
              </w:rPr>
            </w:pPr>
          </w:p>
        </w:tc>
        <w:tc>
          <w:tcPr>
            <w:tcW w:w="10020" w:type="dxa"/>
            <w:vAlign w:val="bottom"/>
            <w:gridSpan w:val="15"/>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w w:val="99"/>
              </w:rPr>
              <w:t>Certification of President and Chief Executive Officer of Tredegar Corporation, pursuant to 18 U.S.C. Section 1350, as adopted pursuant to</w:t>
            </w:r>
          </w:p>
        </w:tc>
      </w:tr>
      <w:tr>
        <w:trPr>
          <w:trHeight w:val="187"/>
        </w:trPr>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3440" w:type="dxa"/>
            <w:vAlign w:val="bottom"/>
            <w:tcBorders>
              <w:top w:val="single" w:sz="8" w:color="0000FF"/>
              <w:bottom w:val="single" w:sz="8" w:color="0000FF"/>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Section 906 of the Sarbanes-Oxley Act of 2002.</w:t>
            </w:r>
          </w:p>
        </w:tc>
        <w:tc>
          <w:tcPr>
            <w:tcW w:w="6500" w:type="dxa"/>
            <w:vAlign w:val="bottom"/>
            <w:tcBorders>
              <w:top w:val="single" w:sz="8" w:color="0000FF"/>
              <w:bottom w:val="single" w:sz="8" w:color="CCEEFF"/>
            </w:tcBorders>
            <w:gridSpan w:val="10"/>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3"/>
            <w:shd w:val="clear" w:color="auto" w:fill="CCEEFF"/>
          </w:tcPr>
          <w:p>
            <w:pPr>
              <w:spacing w:after="0"/>
              <w:rPr>
                <w:sz w:val="16"/>
                <w:szCs w:val="16"/>
                <w:color w:val="auto"/>
              </w:rPr>
            </w:pPr>
          </w:p>
        </w:tc>
      </w:tr>
      <w:tr>
        <w:trPr>
          <w:trHeight w:val="187"/>
        </w:trPr>
        <w:tc>
          <w:tcPr>
            <w:tcW w:w="6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32.2</w:t>
            </w:r>
          </w:p>
        </w:tc>
        <w:tc>
          <w:tcPr>
            <w:tcW w:w="540" w:type="dxa"/>
            <w:vAlign w:val="bottom"/>
          </w:tcPr>
          <w:p>
            <w:pPr>
              <w:spacing w:after="0"/>
              <w:rPr>
                <w:sz w:val="16"/>
                <w:szCs w:val="16"/>
                <w:color w:val="auto"/>
              </w:rPr>
            </w:pPr>
          </w:p>
        </w:tc>
        <w:tc>
          <w:tcPr>
            <w:tcW w:w="10020" w:type="dxa"/>
            <w:vAlign w:val="bottom"/>
            <w:gridSpan w:val="15"/>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Executive Vice President and Chief Financial Officer of Tredegar Corporation, pursuant to 18 U.S.C. Section 1350, as</w:t>
            </w:r>
          </w:p>
        </w:tc>
      </w:tr>
      <w:tr>
        <w:trPr>
          <w:trHeight w:val="154"/>
        </w:trPr>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580" w:type="dxa"/>
            <w:vAlign w:val="bottom"/>
            <w:tcBorders>
              <w:top w:val="single" w:sz="8" w:color="0000FF"/>
            </w:tcBorders>
            <w:gridSpan w:val="7"/>
          </w:tcPr>
          <w:p>
            <w:pPr>
              <w:spacing w:after="0" w:line="154" w:lineRule="exact"/>
              <w:rPr>
                <w:sz w:val="20"/>
                <w:szCs w:val="20"/>
                <w:color w:val="auto"/>
              </w:rPr>
            </w:pPr>
            <w:r>
              <w:rPr>
                <w:rFonts w:ascii="Times New Roman" w:cs="Times New Roman" w:eastAsia="Times New Roman" w:hAnsi="Times New Roman"/>
                <w:sz w:val="17"/>
                <w:szCs w:val="17"/>
                <w:color w:val="0000FF"/>
              </w:rPr>
              <w:t>adopted pursuant to Section 906 of the Sarbanes-Oxley Act of 2002.</w:t>
            </w:r>
          </w:p>
        </w:tc>
        <w:tc>
          <w:tcPr>
            <w:tcW w:w="440" w:type="dxa"/>
            <w:vAlign w:val="bottom"/>
            <w:gridSpan w:val="8"/>
          </w:tcPr>
          <w:p>
            <w:pPr>
              <w:spacing w:after="0"/>
              <w:rPr>
                <w:sz w:val="13"/>
                <w:szCs w:val="13"/>
                <w:color w:val="auto"/>
              </w:rPr>
            </w:pPr>
          </w:p>
        </w:tc>
      </w:tr>
      <w:tr>
        <w:trPr>
          <w:trHeight w:val="33"/>
        </w:trPr>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244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2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7"/>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shd w:val="clear" w:color="auto" w:fill="CCEEFF"/>
          </w:tcPr>
          <w:p>
            <w:pPr>
              <w:spacing w:after="0"/>
              <w:rPr>
                <w:sz w:val="19"/>
                <w:szCs w:val="19"/>
                <w:color w:val="auto"/>
              </w:rPr>
            </w:pPr>
          </w:p>
        </w:tc>
        <w:tc>
          <w:tcPr>
            <w:tcW w:w="100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 and Related Items.</w:t>
            </w:r>
          </w:p>
        </w:tc>
      </w:tr>
      <w:tr>
        <w:trPr>
          <w:trHeight w:val="233"/>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0"/>
                <w:szCs w:val="20"/>
                <w:color w:val="auto"/>
              </w:rPr>
            </w:pPr>
          </w:p>
        </w:tc>
        <w:tc>
          <w:tcPr>
            <w:tcW w:w="100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08190" cy="144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08190" cy="144145"/>
                    </a:xfrm>
                    <a:prstGeom prst="rect">
                      <a:avLst/>
                    </a:prstGeom>
                    <a:noFill/>
                  </pic:spPr>
                </pic:pic>
              </a:graphicData>
            </a:graphic>
          </wp:anchor>
        </w:drawing>
      </w:r>
    </w:p>
    <w:p>
      <w:pPr>
        <w:ind w:left="1180" w:hanging="1155"/>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compensatory plans or arrangements or management contracts.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973" w:right="37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1" w:lineRule="exact"/>
        <w:rPr>
          <w:sz w:val="20"/>
          <w:szCs w:val="20"/>
          <w:color w:val="auto"/>
        </w:rPr>
      </w:pPr>
    </w:p>
    <w:p>
      <w:pPr>
        <w:ind w:right="560" w:firstLine="441"/>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7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Tredegar Corporation</w:t>
            </w:r>
          </w:p>
        </w:tc>
      </w:tr>
      <w:tr>
        <w:trPr>
          <w:trHeight w:val="233"/>
        </w:trPr>
        <w:tc>
          <w:tcPr>
            <w:tcW w:w="7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9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9, 2024</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M. Steitz</w:t>
            </w:r>
          </w:p>
        </w:tc>
      </w:tr>
      <w:tr>
        <w:trPr>
          <w:trHeight w:val="216"/>
        </w:trPr>
        <w:tc>
          <w:tcPr>
            <w:tcW w:w="780" w:type="dxa"/>
            <w:vAlign w:val="bottom"/>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M. Steitz</w:t>
            </w:r>
          </w:p>
        </w:tc>
      </w:tr>
      <w:tr>
        <w:trPr>
          <w:trHeight w:val="227"/>
        </w:trPr>
        <w:tc>
          <w:tcPr>
            <w:tcW w:w="7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3"/>
        </w:trPr>
        <w:tc>
          <w:tcPr>
            <w:tcW w:w="7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9, 2024</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 Andrew Edwards</w:t>
            </w:r>
          </w:p>
        </w:tc>
      </w:tr>
      <w:tr>
        <w:trPr>
          <w:trHeight w:val="216"/>
        </w:trPr>
        <w:tc>
          <w:tcPr>
            <w:tcW w:w="780" w:type="dxa"/>
            <w:vAlign w:val="bottom"/>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 Andrew Edwards</w:t>
            </w:r>
          </w:p>
        </w:tc>
      </w:tr>
      <w:tr>
        <w:trPr>
          <w:trHeight w:val="227"/>
        </w:trPr>
        <w:tc>
          <w:tcPr>
            <w:tcW w:w="7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3"/>
        </w:trPr>
        <w:tc>
          <w:tcPr>
            <w:tcW w:w="7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9, 2024</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Frasier W. Brickhouse, II</w:t>
            </w:r>
          </w:p>
        </w:tc>
      </w:tr>
      <w:tr>
        <w:trPr>
          <w:trHeight w:val="216"/>
        </w:trPr>
        <w:tc>
          <w:tcPr>
            <w:tcW w:w="780" w:type="dxa"/>
            <w:vAlign w:val="bottom"/>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Frasier W. Brickhouse, II</w:t>
            </w:r>
          </w:p>
        </w:tc>
      </w:tr>
      <w:tr>
        <w:trPr>
          <w:trHeight w:val="227"/>
        </w:trPr>
        <w:tc>
          <w:tcPr>
            <w:tcW w:w="7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Treasurer and Controller</w:t>
            </w:r>
          </w:p>
        </w:tc>
      </w:tr>
      <w:tr>
        <w:trPr>
          <w:trHeight w:val="233"/>
        </w:trPr>
        <w:tc>
          <w:tcPr>
            <w:tcW w:w="7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73" w:right="339" w:bottom="1440" w:gutter="0" w:footer="0" w:header="0"/>
        </w:sectPr>
      </w:pPr>
    </w:p>
    <w:bookmarkStart w:id="36" w:name="page37"/>
    <w:bookmarkEnd w:id="36"/>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TREDEGAR CORPORATION</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PHANTOM UNIT AWARD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Notice of Phantom Unit Award</w:t>
      </w: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Subject to the terms and conditions of this Notice of Phantom Unit Award (this "</w:t>
      </w:r>
      <w:r>
        <w:rPr>
          <w:rFonts w:ascii="Times New Roman" w:cs="Times New Roman" w:eastAsia="Times New Roman" w:hAnsi="Times New Roman"/>
          <w:sz w:val="21"/>
          <w:szCs w:val="21"/>
          <w:b w:val="1"/>
          <w:bCs w:val="1"/>
          <w:i w:val="1"/>
          <w:iCs w:val="1"/>
          <w:color w:val="auto"/>
        </w:rPr>
        <w:t>Notice</w:t>
      </w:r>
      <w:r>
        <w:rPr>
          <w:rFonts w:ascii="Times New Roman" w:cs="Times New Roman" w:eastAsia="Times New Roman" w:hAnsi="Times New Roman"/>
          <w:sz w:val="20"/>
          <w:szCs w:val="20"/>
          <w:color w:val="auto"/>
        </w:rPr>
        <w:t>") and the attached Tredegar Corporation Phantom Unit Award Agreement (the "</w:t>
      </w:r>
      <w:r>
        <w:rPr>
          <w:rFonts w:ascii="Times New Roman" w:cs="Times New Roman" w:eastAsia="Times New Roman" w:hAnsi="Times New Roman"/>
          <w:sz w:val="21"/>
          <w:szCs w:val="21"/>
          <w:b w:val="1"/>
          <w:bCs w:val="1"/>
          <w:i w:val="1"/>
          <w:iCs w:val="1"/>
          <w:color w:val="auto"/>
        </w:rPr>
        <w:t>Award Agreement</w:t>
      </w:r>
      <w:r>
        <w:rPr>
          <w:rFonts w:ascii="Times New Roman" w:cs="Times New Roman" w:eastAsia="Times New Roman" w:hAnsi="Times New Roman"/>
          <w:sz w:val="20"/>
          <w:szCs w:val="20"/>
          <w:color w:val="auto"/>
        </w:rPr>
        <w:t>"), Tredegar Corporation, a Virginia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0"/>
          <w:szCs w:val="20"/>
          <w:color w:val="auto"/>
        </w:rPr>
        <w:t>") hereby grants you (the "</w:t>
      </w:r>
      <w:r>
        <w:rPr>
          <w:rFonts w:ascii="Times New Roman" w:cs="Times New Roman" w:eastAsia="Times New Roman" w:hAnsi="Times New Roman"/>
          <w:sz w:val="21"/>
          <w:szCs w:val="21"/>
          <w:b w:val="1"/>
          <w:bCs w:val="1"/>
          <w:i w:val="1"/>
          <w:iCs w:val="1"/>
          <w:color w:val="auto"/>
        </w:rPr>
        <w:t>Participant</w:t>
      </w:r>
      <w:r>
        <w:rPr>
          <w:rFonts w:ascii="Times New Roman" w:cs="Times New Roman" w:eastAsia="Times New Roman" w:hAnsi="Times New Roman"/>
          <w:sz w:val="20"/>
          <w:szCs w:val="20"/>
          <w:color w:val="auto"/>
        </w:rPr>
        <w:t>") the number of Phantom Units (the "</w:t>
      </w:r>
      <w:r>
        <w:rPr>
          <w:rFonts w:ascii="Times New Roman" w:cs="Times New Roman" w:eastAsia="Times New Roman" w:hAnsi="Times New Roman"/>
          <w:sz w:val="21"/>
          <w:szCs w:val="21"/>
          <w:b w:val="1"/>
          <w:bCs w:val="1"/>
          <w:i w:val="1"/>
          <w:iCs w:val="1"/>
          <w:color w:val="auto"/>
        </w:rPr>
        <w:t>Units</w:t>
      </w:r>
      <w:r>
        <w:rPr>
          <w:rFonts w:ascii="Times New Roman" w:cs="Times New Roman" w:eastAsia="Times New Roman" w:hAnsi="Times New Roman"/>
          <w:sz w:val="20"/>
          <w:szCs w:val="20"/>
          <w:color w:val="auto"/>
        </w:rPr>
        <w:t>") set forth below. Unless otherwise specifically indicated, all terms used in this Notice shall have the meaning set forth in the Award Agreement, and if not defined therein, then as so defined in the Tredegar Corporation 2018 Equity Incentive Plan, as amended and restated effective May 6, 2021 (the "</w:t>
      </w:r>
      <w:r>
        <w:rPr>
          <w:rFonts w:ascii="Times New Roman" w:cs="Times New Roman" w:eastAsia="Times New Roman" w:hAnsi="Times New Roman"/>
          <w:sz w:val="21"/>
          <w:szCs w:val="21"/>
          <w:b w:val="1"/>
          <w:bCs w:val="1"/>
          <w:i w:val="1"/>
          <w:iCs w:val="1"/>
          <w:color w:val="auto"/>
        </w:rPr>
        <w:t>Equity Plan</w:t>
      </w:r>
      <w:r>
        <w:rPr>
          <w:rFonts w:ascii="Times New Roman" w:cs="Times New Roman" w:eastAsia="Times New Roman" w:hAnsi="Times New Roman"/>
          <w:sz w:val="20"/>
          <w:szCs w:val="20"/>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980" w:type="dxa"/>
            <w:vAlign w:val="bottom"/>
          </w:tcPr>
          <w:p>
            <w:pPr>
              <w:jc w:val="right"/>
              <w:ind w:right="948"/>
              <w:spacing w:after="0"/>
              <w:rPr>
                <w:sz w:val="20"/>
                <w:szCs w:val="20"/>
                <w:color w:val="auto"/>
              </w:rPr>
            </w:pPr>
            <w:r>
              <w:rPr>
                <w:rFonts w:ascii="Times New Roman" w:cs="Times New Roman" w:eastAsia="Times New Roman" w:hAnsi="Times New Roman"/>
                <w:sz w:val="20"/>
                <w:szCs w:val="20"/>
                <w:b w:val="1"/>
                <w:bCs w:val="1"/>
                <w:color w:val="auto"/>
                <w:w w:val="97"/>
              </w:rPr>
              <w:t>Identifying</w:t>
            </w:r>
          </w:p>
        </w:tc>
        <w:tc>
          <w:tcPr>
            <w:tcW w:w="31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38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w w:val="97"/>
              </w:rPr>
              <w:t>Information:</w:t>
            </w:r>
          </w:p>
        </w:tc>
        <w:tc>
          <w:tcPr>
            <w:tcW w:w="0" w:type="dxa"/>
            <w:vAlign w:val="bottom"/>
          </w:tcPr>
          <w:p>
            <w:pPr>
              <w:spacing w:after="0"/>
              <w:rPr>
                <w:sz w:val="1"/>
                <w:szCs w:val="1"/>
                <w:color w:val="auto"/>
              </w:rPr>
            </w:pPr>
          </w:p>
        </w:tc>
      </w:tr>
      <w:tr>
        <w:trPr>
          <w:trHeight w:val="250"/>
        </w:trPr>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Participant Name:</w:t>
            </w:r>
          </w:p>
        </w:tc>
        <w:tc>
          <w:tcPr>
            <w:tcW w:w="3140" w:type="dxa"/>
            <w:vAlign w:val="bottom"/>
          </w:tcPr>
          <w:p>
            <w:pPr>
              <w:spacing w:after="0"/>
              <w:rPr>
                <w:sz w:val="21"/>
                <w:szCs w:val="21"/>
                <w:color w:val="auto"/>
              </w:rPr>
            </w:pPr>
          </w:p>
        </w:tc>
        <w:tc>
          <w:tcPr>
            <w:tcW w:w="6120" w:type="dxa"/>
            <w:vAlign w:val="bottom"/>
            <w:gridSpan w:val="3"/>
          </w:tcPr>
          <w:p>
            <w:pPr>
              <w:jc w:val="right"/>
              <w:ind w:right="3082"/>
              <w:spacing w:after="0"/>
              <w:rPr>
                <w:sz w:val="20"/>
                <w:szCs w:val="20"/>
                <w:color w:val="auto"/>
              </w:rPr>
            </w:pPr>
            <w:r>
              <w:rPr>
                <w:rFonts w:ascii="Times New Roman" w:cs="Times New Roman" w:eastAsia="Times New Roman" w:hAnsi="Times New Roman"/>
                <w:sz w:val="18"/>
                <w:szCs w:val="18"/>
                <w:color w:val="auto"/>
              </w:rPr>
              <w:t>Date of Grant:</w:t>
            </w:r>
          </w:p>
        </w:tc>
        <w:tc>
          <w:tcPr>
            <w:tcW w:w="0" w:type="dxa"/>
            <w:vAlign w:val="bottom"/>
          </w:tcPr>
          <w:p>
            <w:pPr>
              <w:spacing w:after="0"/>
              <w:rPr>
                <w:sz w:val="1"/>
                <w:szCs w:val="1"/>
                <w:color w:val="auto"/>
              </w:rPr>
            </w:pPr>
          </w:p>
        </w:tc>
      </w:tr>
      <w:tr>
        <w:trPr>
          <w:trHeight w:val="26"/>
        </w:trPr>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and Address:</w:t>
            </w:r>
          </w:p>
        </w:tc>
        <w:tc>
          <w:tcPr>
            <w:tcW w:w="3140" w:type="dxa"/>
            <w:vAlign w:val="bottom"/>
            <w:tcBorders>
              <w:bottom w:val="single" w:sz="8" w:color="auto"/>
            </w:tcBorders>
          </w:tcPr>
          <w:p>
            <w:pPr>
              <w:spacing w:after="0"/>
              <w:rPr>
                <w:sz w:val="2"/>
                <w:szCs w:val="2"/>
                <w:color w:val="auto"/>
              </w:rPr>
            </w:pPr>
          </w:p>
        </w:tc>
        <w:tc>
          <w:tcPr>
            <w:tcW w:w="2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Number of Units:</w:t>
            </w:r>
          </w:p>
        </w:tc>
        <w:tc>
          <w:tcPr>
            <w:tcW w:w="1780" w:type="dxa"/>
            <w:vAlign w:val="bottom"/>
            <w:tcBorders>
              <w:bottom w:val="single" w:sz="8" w:color="auto"/>
            </w:tcBorders>
          </w:tcPr>
          <w:p>
            <w:pPr>
              <w:spacing w:after="0"/>
              <w:rPr>
                <w:sz w:val="2"/>
                <w:szCs w:val="2"/>
                <w:color w:val="auto"/>
              </w:rPr>
            </w:pPr>
          </w:p>
        </w:tc>
        <w:tc>
          <w:tcPr>
            <w:tcW w:w="13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980" w:type="dxa"/>
            <w:vAlign w:val="bottom"/>
            <w:vMerge w:val="continue"/>
          </w:tcPr>
          <w:p>
            <w:pPr>
              <w:spacing w:after="0"/>
              <w:rPr>
                <w:sz w:val="18"/>
                <w:szCs w:val="18"/>
                <w:color w:val="auto"/>
              </w:rPr>
            </w:pPr>
          </w:p>
        </w:tc>
        <w:tc>
          <w:tcPr>
            <w:tcW w:w="3140" w:type="dxa"/>
            <w:vAlign w:val="bottom"/>
          </w:tcPr>
          <w:p>
            <w:pPr>
              <w:spacing w:after="0"/>
              <w:rPr>
                <w:sz w:val="18"/>
                <w:szCs w:val="18"/>
                <w:color w:val="auto"/>
              </w:rPr>
            </w:pPr>
          </w:p>
        </w:tc>
        <w:tc>
          <w:tcPr>
            <w:tcW w:w="296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9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1980" w:type="dxa"/>
            <w:vAlign w:val="bottom"/>
          </w:tcPr>
          <w:p>
            <w:pPr>
              <w:spacing w:after="0"/>
              <w:rPr>
                <w:sz w:val="21"/>
                <w:szCs w:val="21"/>
                <w:color w:val="auto"/>
              </w:rPr>
            </w:pPr>
          </w:p>
        </w:tc>
        <w:tc>
          <w:tcPr>
            <w:tcW w:w="3140" w:type="dxa"/>
            <w:vAlign w:val="bottom"/>
            <w:tcBorders>
              <w:bottom w:val="single" w:sz="8" w:color="auto"/>
            </w:tcBorders>
          </w:tcPr>
          <w:p>
            <w:pPr>
              <w:spacing w:after="0"/>
              <w:rPr>
                <w:sz w:val="21"/>
                <w:szCs w:val="21"/>
                <w:color w:val="auto"/>
              </w:rPr>
            </w:pPr>
          </w:p>
        </w:tc>
        <w:tc>
          <w:tcPr>
            <w:tcW w:w="29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Schedule:</w:t>
      </w:r>
    </w:p>
    <w:p>
      <w:pPr>
        <w:spacing w:after="0" w:line="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Subject to the Participant's Continuous Service with the Company, compliance with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19"/>
          <w:szCs w:val="19"/>
          <w:color w:val="auto"/>
        </w:rPr>
        <w:t xml:space="preserve"> of the Award Agreement, and compliance with any other limitations set forth in the Award Agreement, this Award shall vest in accordance with the following time-based vesting schedule (such being, the "</w:t>
      </w:r>
      <w:r>
        <w:rPr>
          <w:rFonts w:ascii="Times New Roman" w:cs="Times New Roman" w:eastAsia="Times New Roman" w:hAnsi="Times New Roman"/>
          <w:sz w:val="20"/>
          <w:szCs w:val="20"/>
          <w:b w:val="1"/>
          <w:bCs w:val="1"/>
          <w:i w:val="1"/>
          <w:iCs w:val="1"/>
          <w:color w:val="auto"/>
        </w:rPr>
        <w:t>Vesting Schedule</w:t>
      </w:r>
      <w:r>
        <w:rPr>
          <w:rFonts w:ascii="Times New Roman" w:cs="Times New Roman" w:eastAsia="Times New Roman" w:hAnsi="Times New Roman"/>
          <w:sz w:val="19"/>
          <w:szCs w:val="19"/>
          <w:color w:val="auto"/>
        </w:rPr>
        <w:t>"): (i) __________ Units shall vest on __________, and (ii) __________ Units shall vest on __________.</w:t>
      </w:r>
    </w:p>
    <w:p>
      <w:pPr>
        <w:spacing w:after="0" w:line="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Notwithstanding the foregoing, the Units shall automatically become fully vested immediately prior to consummation of a Change in Control in the same manner as provided under Article X of the Equity Plan with respect to time-based vested awards thereunder.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Representations and Agreements of the Participant:</w:t>
      </w:r>
    </w:p>
    <w:p>
      <w:pPr>
        <w:spacing w:after="0" w:line="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The Participant has reviewed this Notice and the Award Agreement in their entirety, has had an opportunity to have them reviewed by his/her legal and tax advisers, and hereby represents that he/she is relying solely on such advisors and not on any statements or representations of the Company or any of its agents. The Participant represents to the Company that he/she is familiar with the terms of this Notice and the Award</w:t>
      </w:r>
    </w:p>
    <w:p>
      <w:pPr>
        <w:jc w:val="both"/>
        <w:spacing w:after="0" w:line="263" w:lineRule="auto"/>
        <w:rPr>
          <w:sz w:val="20"/>
          <w:szCs w:val="20"/>
          <w:color w:val="auto"/>
        </w:rPr>
      </w:pPr>
      <w:r>
        <w:rPr>
          <w:rFonts w:ascii="Times New Roman" w:cs="Times New Roman" w:eastAsia="Times New Roman" w:hAnsi="Times New Roman"/>
          <w:sz w:val="20"/>
          <w:szCs w:val="20"/>
          <w:color w:val="auto"/>
        </w:rPr>
        <w:t>Agreement and hereby accepts this Award subject to all of their terms. The Participant hereby agrees that all questions of interpretation and administration relating to this Notice and the Award Agreement will be resolved solely by the Board.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Electronic Signature:</w:t>
      </w:r>
    </w:p>
    <w:p>
      <w:pPr>
        <w:spacing w:after="0" w:line="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This Notice may be executed by the Participant and the Company by means of electronic or digital signatures, which have the same force and effect as manual signatures. The Participant agrees that clicking "I Accept" in connection with or response to any electronic communication or other medium has the effect of affixing the Participant's electronic signature to this Notice.</w:t>
      </w:r>
    </w:p>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By the Participant's signature and the signature of the Company's representative below, the Participant and the Company agree that this Award is governed only by the terms and conditions of this Notice and the Award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TREDEGAR CORPORATION PARTICIPANT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By:</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Its: Dated: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w:t>
      </w:r>
    </w:p>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TREDEGAR CORPORATION</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PHANTOM UNIT AWARD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Award Agreement</w:t>
      </w:r>
    </w:p>
    <w:p>
      <w:pPr>
        <w:spacing w:after="0" w:line="2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Subject to the terms and conditions of the Notice of Phantom Unit Award (the "</w:t>
      </w:r>
      <w:r>
        <w:rPr>
          <w:rFonts w:ascii="Times New Roman" w:cs="Times New Roman" w:eastAsia="Times New Roman" w:hAnsi="Times New Roman"/>
          <w:sz w:val="21"/>
          <w:szCs w:val="21"/>
          <w:b w:val="1"/>
          <w:bCs w:val="1"/>
          <w:i w:val="1"/>
          <w:iCs w:val="1"/>
          <w:color w:val="auto"/>
        </w:rPr>
        <w:t>Notice</w:t>
      </w:r>
      <w:r>
        <w:rPr>
          <w:rFonts w:ascii="Times New Roman" w:cs="Times New Roman" w:eastAsia="Times New Roman" w:hAnsi="Times New Roman"/>
          <w:sz w:val="21"/>
          <w:szCs w:val="21"/>
          <w:color w:val="auto"/>
        </w:rPr>
        <w:t>") and this Tredegar Corporation Phantom Unit Award Agreement (this "</w:t>
      </w:r>
      <w:r>
        <w:rPr>
          <w:rFonts w:ascii="Times New Roman" w:cs="Times New Roman" w:eastAsia="Times New Roman" w:hAnsi="Times New Roman"/>
          <w:sz w:val="21"/>
          <w:szCs w:val="21"/>
          <w:b w:val="1"/>
          <w:bCs w:val="1"/>
          <w:i w:val="1"/>
          <w:iCs w:val="1"/>
          <w:color w:val="auto"/>
        </w:rPr>
        <w:t>Award Agreement</w:t>
      </w:r>
      <w:r>
        <w:rPr>
          <w:rFonts w:ascii="Times New Roman" w:cs="Times New Roman" w:eastAsia="Times New Roman" w:hAnsi="Times New Roman"/>
          <w:sz w:val="21"/>
          <w:szCs w:val="21"/>
          <w:color w:val="auto"/>
        </w:rPr>
        <w:t>"), Tredegar Corporation, a Virginia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hereby grants the individual set forth in the Notice ("</w:t>
      </w:r>
      <w:r>
        <w:rPr>
          <w:rFonts w:ascii="Times New Roman" w:cs="Times New Roman" w:eastAsia="Times New Roman" w:hAnsi="Times New Roman"/>
          <w:sz w:val="21"/>
          <w:szCs w:val="21"/>
          <w:b w:val="1"/>
          <w:bCs w:val="1"/>
          <w:i w:val="1"/>
          <w:iCs w:val="1"/>
          <w:color w:val="auto"/>
        </w:rPr>
        <w:t>Participant</w:t>
      </w:r>
      <w:r>
        <w:rPr>
          <w:rFonts w:ascii="Times New Roman" w:cs="Times New Roman" w:eastAsia="Times New Roman" w:hAnsi="Times New Roman"/>
          <w:sz w:val="21"/>
          <w:szCs w:val="21"/>
          <w:color w:val="auto"/>
        </w:rPr>
        <w:t>") the number of Phantom Units (the "</w:t>
      </w:r>
      <w:r>
        <w:rPr>
          <w:rFonts w:ascii="Times New Roman" w:cs="Times New Roman" w:eastAsia="Times New Roman" w:hAnsi="Times New Roman"/>
          <w:sz w:val="21"/>
          <w:szCs w:val="21"/>
          <w:b w:val="1"/>
          <w:bCs w:val="1"/>
          <w:i w:val="1"/>
          <w:iCs w:val="1"/>
          <w:color w:val="auto"/>
        </w:rPr>
        <w:t>Units</w:t>
      </w:r>
      <w:r>
        <w:rPr>
          <w:rFonts w:ascii="Times New Roman" w:cs="Times New Roman" w:eastAsia="Times New Roman" w:hAnsi="Times New Roman"/>
          <w:sz w:val="21"/>
          <w:szCs w:val="21"/>
          <w:color w:val="auto"/>
        </w:rPr>
        <w:t>") in the Company set forth in the Notice. Unless otherwise specifically indicated, all terms used in this Award Agreement shall have the meaning set forth in the Notice, and if not defined therein, then as so defined in the Tredegar Corporation 2018 Equity Incentive Plan, as amended and restated effective May 6, 2021 (the "</w:t>
      </w:r>
      <w:r>
        <w:rPr>
          <w:rFonts w:ascii="Times New Roman" w:cs="Times New Roman" w:eastAsia="Times New Roman" w:hAnsi="Times New Roman"/>
          <w:sz w:val="21"/>
          <w:szCs w:val="21"/>
          <w:b w:val="1"/>
          <w:bCs w:val="1"/>
          <w:i w:val="1"/>
          <w:iCs w:val="1"/>
          <w:color w:val="auto"/>
        </w:rPr>
        <w:t>Equity Plan</w:t>
      </w:r>
      <w:r>
        <w:rPr>
          <w:rFonts w:ascii="Times New Roman" w:cs="Times New Roman" w:eastAsia="Times New Roman" w:hAnsi="Times New Roman"/>
          <w:sz w:val="21"/>
          <w:szCs w:val="21"/>
          <w:color w:val="auto"/>
        </w:rPr>
        <w:t>").</w:t>
      </w:r>
    </w:p>
    <w:p>
      <w:pPr>
        <w:spacing w:after="0" w:line="277" w:lineRule="exact"/>
        <w:rPr>
          <w:sz w:val="20"/>
          <w:szCs w:val="20"/>
          <w:color w:val="auto"/>
        </w:rPr>
      </w:pPr>
    </w:p>
    <w:p>
      <w:pPr>
        <w:ind w:left="640" w:hanging="312"/>
        <w:spacing w:after="0" w:line="299" w:lineRule="auto"/>
        <w:tabs>
          <w:tab w:leader="none" w:pos="64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Units</w:t>
      </w:r>
      <w:r>
        <w:rPr>
          <w:rFonts w:ascii="Times New Roman" w:cs="Times New Roman" w:eastAsia="Times New Roman" w:hAnsi="Times New Roman"/>
          <w:sz w:val="21"/>
          <w:szCs w:val="21"/>
          <w:color w:val="auto"/>
        </w:rPr>
        <w:t>. The principal features of the Units, including the number of Units subject to this Award Agreement, are set forth in the Notice.</w:t>
      </w:r>
    </w:p>
    <w:p>
      <w:pPr>
        <w:ind w:left="640" w:hanging="312"/>
        <w:spacing w:after="0"/>
        <w:tabs>
          <w:tab w:leader="none" w:pos="64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Schedule and Risk of Forfeiture</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jc w:val="both"/>
        <w:ind w:left="1300" w:firstLine="312"/>
        <w:spacing w:after="0" w:line="277" w:lineRule="auto"/>
        <w:tabs>
          <w:tab w:leader="none" w:pos="1930"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Schedule</w:t>
      </w:r>
      <w:r>
        <w:rPr>
          <w:rFonts w:ascii="Times New Roman" w:cs="Times New Roman" w:eastAsia="Times New Roman" w:hAnsi="Times New Roman"/>
          <w:sz w:val="21"/>
          <w:szCs w:val="21"/>
          <w:color w:val="auto"/>
        </w:rPr>
        <w:t>. Subject to the Participant's Continuous Service and any other limitations set forth in the Notice and this Award Agreement, the Units will vest in accordance with the Vesting Schedule provided in the Notice.</w:t>
      </w:r>
    </w:p>
    <w:p>
      <w:pPr>
        <w:spacing w:after="0" w:line="19" w:lineRule="exact"/>
        <w:rPr>
          <w:rFonts w:ascii="Times New Roman" w:cs="Times New Roman" w:eastAsia="Times New Roman" w:hAnsi="Times New Roman"/>
          <w:sz w:val="21"/>
          <w:szCs w:val="21"/>
          <w:color w:val="auto"/>
        </w:rPr>
      </w:pPr>
    </w:p>
    <w:p>
      <w:pPr>
        <w:jc w:val="both"/>
        <w:ind w:left="1300" w:firstLine="312"/>
        <w:spacing w:after="0" w:line="269" w:lineRule="auto"/>
        <w:tabs>
          <w:tab w:leader="none" w:pos="1942"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Risk of Forfeiture</w:t>
      </w:r>
      <w:r>
        <w:rPr>
          <w:rFonts w:ascii="Times New Roman" w:cs="Times New Roman" w:eastAsia="Times New Roman" w:hAnsi="Times New Roman"/>
          <w:sz w:val="21"/>
          <w:szCs w:val="21"/>
          <w:color w:val="auto"/>
        </w:rPr>
        <w:t>. The Units are subject to a risk of forfeiture until such time the risk of forfeiture lapses in accordance with the Vesting Schedule. All or any portion of the unvested Units subject to the foregoing risk of forfeiture will immediately and automatically be forfeited and terminated upon the first day the Participant fails to provide Continuous Service to the Company.</w:t>
      </w:r>
    </w:p>
    <w:p>
      <w:pPr>
        <w:spacing w:after="0" w:line="40" w:lineRule="exact"/>
        <w:rPr>
          <w:rFonts w:ascii="Times New Roman" w:cs="Times New Roman" w:eastAsia="Times New Roman" w:hAnsi="Times New Roman"/>
          <w:sz w:val="21"/>
          <w:szCs w:val="21"/>
          <w:color w:val="auto"/>
        </w:rPr>
      </w:pPr>
    </w:p>
    <w:p>
      <w:pPr>
        <w:ind w:left="640" w:hanging="312"/>
        <w:spacing w:after="0" w:line="258" w:lineRule="auto"/>
        <w:tabs>
          <w:tab w:leader="none" w:pos="533"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and Conversion of Units into Cash</w:t>
      </w:r>
      <w:r>
        <w:rPr>
          <w:rFonts w:ascii="Times New Roman" w:cs="Times New Roman" w:eastAsia="Times New Roman" w:hAnsi="Times New Roman"/>
          <w:sz w:val="21"/>
          <w:szCs w:val="21"/>
          <w:color w:val="auto"/>
        </w:rPr>
        <w:t xml:space="preserve">. Subject to the terms of the Notice and this Award Agreement, each Unit that becomes vested in accordance with the Vesting Schedule (to the extent not previously forfeited) shall automatically and immediately be converted into the right to receive a cash payment equal to the Fair Market Value of one share of the Company’s Common Stock as of the date each Unit becomes vested. The Units as so converted shall be paid to the Participant no later than thirty (30) days immediately following the date each Unit becomes vested in accordance with the Vesting Schedule; provided, however, that the timing of such payment shall be automatically deferred, with or without notice to the Participant, if the Company lacks sufficient liquidity (as determined in the reasonable discretion of the Board) to effectuate the cash payment as originally set forth above, and in such case the payment shall be made within thirty (30) days from the Board later determining (if at all, and in its reasonable discretion) that the Company then has sufficient cash liquidity to effectuate payment. For avoidance of doubt and purposes of clarity, the Company shall make no payment to the Participant, cash or otherwise, for a Unit (or portion thereof) that is forfeited in accordance with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above.</w:t>
      </w:r>
    </w:p>
    <w:p>
      <w:pPr>
        <w:spacing w:after="0" w:line="59" w:lineRule="exact"/>
        <w:rPr>
          <w:rFonts w:ascii="Times New Roman" w:cs="Times New Roman" w:eastAsia="Times New Roman" w:hAnsi="Times New Roman"/>
          <w:sz w:val="21"/>
          <w:szCs w:val="21"/>
          <w:color w:val="auto"/>
        </w:rPr>
      </w:pPr>
    </w:p>
    <w:p>
      <w:pPr>
        <w:ind w:left="640" w:hanging="312"/>
        <w:spacing w:after="0" w:line="262" w:lineRule="auto"/>
        <w:tabs>
          <w:tab w:leader="none" w:pos="533"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 Rights</w:t>
      </w:r>
      <w:r>
        <w:rPr>
          <w:rFonts w:ascii="Times New Roman" w:cs="Times New Roman" w:eastAsia="Times New Roman" w:hAnsi="Times New Roman"/>
          <w:sz w:val="21"/>
          <w:szCs w:val="21"/>
          <w:color w:val="auto"/>
        </w:rPr>
        <w:t>. Subject to the terms and conditions of this Award Agreement and the Notice, the Participant is hereby granted a Dividend Equivalent Right (the "</w:t>
      </w:r>
      <w:r>
        <w:rPr>
          <w:rFonts w:ascii="Times New Roman" w:cs="Times New Roman" w:eastAsia="Times New Roman" w:hAnsi="Times New Roman"/>
          <w:sz w:val="21"/>
          <w:szCs w:val="21"/>
          <w:b w:val="1"/>
          <w:bCs w:val="1"/>
          <w:i w:val="1"/>
          <w:iCs w:val="1"/>
          <w:color w:val="auto"/>
        </w:rPr>
        <w:t>DER</w:t>
      </w:r>
      <w:r>
        <w:rPr>
          <w:rFonts w:ascii="Times New Roman" w:cs="Times New Roman" w:eastAsia="Times New Roman" w:hAnsi="Times New Roman"/>
          <w:sz w:val="21"/>
          <w:szCs w:val="21"/>
          <w:color w:val="auto"/>
        </w:rPr>
        <w:t>") to accompany each Unit. Accordingly, upon payment of a dividend to holders of the shares of the Company’s Common Stock, the Participant will be entitled to a cash payment equal to the amount of such per share dividend payment, multiplied by the number of unvested Units and vested but unpaid Units granted to Participant pursuant to the Notice and this Award Agreement, and further subject to the Participant’s Continuous Service through the date that such dividend was declared. Payment under</w:t>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each DER shall occur concurrent with the payment of a dividend to holders of shares of the Company’s Common Stock.</w:t>
      </w:r>
    </w:p>
    <w:p>
      <w:pPr>
        <w:spacing w:after="0" w:line="106" w:lineRule="exact"/>
        <w:rPr>
          <w:sz w:val="20"/>
          <w:szCs w:val="20"/>
          <w:color w:val="auto"/>
        </w:rPr>
      </w:pPr>
    </w:p>
    <w:p>
      <w:pPr>
        <w:ind w:left="320" w:right="20" w:hanging="312"/>
        <w:spacing w:after="0" w:line="289" w:lineRule="auto"/>
        <w:tabs>
          <w:tab w:leader="none" w:pos="21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Participant hereby acknowledges and understands that he/she may suffer adverse tax consequences as a result of the Participant's receipt of, vesting in, or disposition of, the Units.</w:t>
      </w:r>
    </w:p>
    <w:p>
      <w:pPr>
        <w:spacing w:after="0" w:line="20" w:lineRule="exact"/>
        <w:rPr>
          <w:rFonts w:ascii="Times New Roman" w:cs="Times New Roman" w:eastAsia="Times New Roman" w:hAnsi="Times New Roman"/>
          <w:sz w:val="21"/>
          <w:szCs w:val="21"/>
          <w:color w:val="auto"/>
        </w:rPr>
      </w:pPr>
    </w:p>
    <w:p>
      <w:pPr>
        <w:jc w:val="both"/>
        <w:ind w:left="980" w:hanging="651"/>
        <w:spacing w:after="0" w:line="257" w:lineRule="auto"/>
        <w:tabs>
          <w:tab w:leader="none" w:pos="968"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w:t>
      </w:r>
      <w:r>
        <w:rPr>
          <w:rFonts w:ascii="Times New Roman" w:cs="Times New Roman" w:eastAsia="Times New Roman" w:hAnsi="Times New Roman"/>
          <w:sz w:val="21"/>
          <w:szCs w:val="21"/>
          <w:color w:val="auto"/>
        </w:rPr>
        <w:t>. The Participant has reviewed with the Participant's tax advisors the tax consequences of the Notice and this Award Agreement and the Units granted hereunder, including any U.S. federal, state and local tax laws, and any other applicable taxing jurisdiction. The Participant is relying solely on such advisors and not on any statements or representations of the Company or any of its agents. The Participant hereby acknowledges and understand that the Participant (and not the Company) is ultimately liable and responsible for all taxes owed by the Participant in connection with his/her receipt of, vesting in, or disposition of the Units and payments made under the Notice and this Award Agreement, regardless of any action the Company takes with respect to any tax withholding obligations arising hereunder. The Company makes no representation or undertaking regarding the treatment of any tax withholding in connection with the grant of the Units or payments made pursuant to the Notice and this Award Agreement. The Company does not commit and is under no obligation to structure the Units to reduce or eliminate the Participant's tax liability.</w:t>
      </w:r>
    </w:p>
    <w:p>
      <w:pPr>
        <w:spacing w:after="0" w:line="57" w:lineRule="exact"/>
        <w:rPr>
          <w:rFonts w:ascii="Times New Roman" w:cs="Times New Roman" w:eastAsia="Times New Roman" w:hAnsi="Times New Roman"/>
          <w:sz w:val="21"/>
          <w:szCs w:val="21"/>
          <w:color w:val="auto"/>
        </w:rPr>
      </w:pPr>
    </w:p>
    <w:p>
      <w:pPr>
        <w:jc w:val="both"/>
        <w:ind w:left="980" w:hanging="651"/>
        <w:spacing w:after="0" w:line="261" w:lineRule="auto"/>
        <w:tabs>
          <w:tab w:leader="none" w:pos="98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Withholding Taxes</w:t>
      </w:r>
      <w:r>
        <w:rPr>
          <w:rFonts w:ascii="Times New Roman" w:cs="Times New Roman" w:eastAsia="Times New Roman" w:hAnsi="Times New Roman"/>
          <w:sz w:val="21"/>
          <w:szCs w:val="21"/>
          <w:color w:val="auto"/>
        </w:rPr>
        <w:t xml:space="preserve">. The Participant will make appropriate arrangements with the Company for the satisfaction of all U.S. federal, state, local and non-U.S. income and employment tax withholding requirements applicable to any Units that settle in accordance with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The Participant hereby acknowledges the Company's obligations under this Award Agreement are fully contingent on the Participant first satisfying this </w:t>
      </w:r>
      <w:r>
        <w:rPr>
          <w:rFonts w:ascii="Times New Roman" w:cs="Times New Roman" w:eastAsia="Times New Roman" w:hAnsi="Times New Roman"/>
          <w:sz w:val="21"/>
          <w:szCs w:val="21"/>
          <w:u w:val="single" w:color="auto"/>
          <w:color w:val="auto"/>
        </w:rPr>
        <w:t>Section 5(b)</w:t>
      </w:r>
      <w:r>
        <w:rPr>
          <w:rFonts w:ascii="Times New Roman" w:cs="Times New Roman" w:eastAsia="Times New Roman" w:hAnsi="Times New Roman"/>
          <w:sz w:val="21"/>
          <w:szCs w:val="21"/>
          <w:color w:val="auto"/>
        </w:rPr>
        <w:t xml:space="preserve">. Therefore, a failure of the Participant to reasonably satisfy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in accordance with the Company's sole and absolute discretion will result in the automatic termination and expiration of this Award Agreement and the Company's obligations hereunder. The Participant hereby agrees that a breach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5(b)</w:t>
      </w:r>
      <w:r>
        <w:rPr>
          <w:rFonts w:ascii="Times New Roman" w:cs="Times New Roman" w:eastAsia="Times New Roman" w:hAnsi="Times New Roman"/>
          <w:sz w:val="21"/>
          <w:szCs w:val="21"/>
          <w:color w:val="auto"/>
        </w:rPr>
        <w:t xml:space="preserve"> will be deemed to be a material breach of this Award Agreement.</w:t>
      </w:r>
    </w:p>
    <w:p>
      <w:pPr>
        <w:spacing w:after="0" w:line="38" w:lineRule="exact"/>
        <w:rPr>
          <w:rFonts w:ascii="Times New Roman" w:cs="Times New Roman" w:eastAsia="Times New Roman" w:hAnsi="Times New Roman"/>
          <w:sz w:val="21"/>
          <w:szCs w:val="21"/>
          <w:color w:val="auto"/>
        </w:rPr>
      </w:pPr>
    </w:p>
    <w:p>
      <w:pPr>
        <w:jc w:val="both"/>
        <w:ind w:left="980" w:hanging="651"/>
        <w:spacing w:after="0" w:line="258" w:lineRule="auto"/>
        <w:tabs>
          <w:tab w:leader="none" w:pos="968"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The Notice and this Award Agreement are intended to either avoid the application of, or comply with, Section 409A of the Code. To that end, the Notice and this Award Agreement must at all times be interpreted in a manner that is consistent with Section 409A of the Code. Notwithstanding any other provision in the Notice or this Award Agreement to the contrary, the Board has the right, in its sole discretion, to adopt such amendments to the Notice and this Award Agreement or take such other actions (including amendments and actions with retroactive effect) as it determines is necessary or appropriate for the Notice and this Award Agreement to comply with Section 409A of the Code. Any payment following a separation from service that would be subject to Section 409A(a)(2)(A)(i) of the Code as a distribution following a separation from service of a "specified employee" (as defined under Section 409A(a)(2)(B)(i) of the Code) will be made on the first to occur of (i) ten (10) days after the expiration of the six month period following such separation from service, (ii) death, or (iii) such earlier date that complies with Section 409A of the Code. Each payment that the Participant may receive under the Notice and this Award Agreement will be treated as a "separate payment" for purposes of Section 409A of the Code.</w:t>
      </w:r>
    </w:p>
    <w:p>
      <w:pPr>
        <w:spacing w:after="0" w:line="54" w:lineRule="exact"/>
        <w:rPr>
          <w:rFonts w:ascii="Times New Roman" w:cs="Times New Roman" w:eastAsia="Times New Roman" w:hAnsi="Times New Roman"/>
          <w:sz w:val="21"/>
          <w:szCs w:val="21"/>
          <w:color w:val="auto"/>
        </w:rPr>
      </w:pPr>
    </w:p>
    <w:p>
      <w:pPr>
        <w:ind w:left="320" w:hanging="312"/>
        <w:spacing w:after="0" w:line="302" w:lineRule="auto"/>
        <w:tabs>
          <w:tab w:leader="none" w:pos="22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Non-Transferability of Units; Death of Participant</w:t>
      </w:r>
      <w:r>
        <w:rPr>
          <w:rFonts w:ascii="Times New Roman" w:cs="Times New Roman" w:eastAsia="Times New Roman" w:hAnsi="Times New Roman"/>
          <w:sz w:val="21"/>
          <w:szCs w:val="21"/>
          <w:color w:val="auto"/>
        </w:rPr>
        <w:t>. The Units are not transferable by Participant other than to a designated beneficiary upon the Participant's death or by will or the laws of descent</w:t>
      </w:r>
    </w:p>
    <w:p>
      <w:pPr>
        <w:sectPr>
          <w:pgSz w:w="11900" w:h="16838" w:orient="portrait"/>
          <w:cols w:equalWidth="0" w:num="1">
            <w:col w:w="10920"/>
          </w:cols>
          <w:pgMar w:left="64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20" w:right="20"/>
        <w:spacing w:after="0" w:line="289" w:lineRule="auto"/>
        <w:rPr>
          <w:sz w:val="20"/>
          <w:szCs w:val="20"/>
          <w:color w:val="auto"/>
        </w:rPr>
      </w:pPr>
      <w:r>
        <w:rPr>
          <w:rFonts w:ascii="Times New Roman" w:cs="Times New Roman" w:eastAsia="Times New Roman" w:hAnsi="Times New Roman"/>
          <w:sz w:val="21"/>
          <w:szCs w:val="21"/>
          <w:color w:val="auto"/>
        </w:rPr>
        <w:t>and distribution. The terms of the Notice and this Award Agreement are binding upon the executors, administrators, heirs, and other legal representatives of Participant.</w:t>
      </w:r>
    </w:p>
    <w:p>
      <w:pPr>
        <w:spacing w:after="0" w:line="20" w:lineRule="exact"/>
        <w:rPr>
          <w:sz w:val="20"/>
          <w:szCs w:val="20"/>
          <w:color w:val="auto"/>
        </w:rPr>
      </w:pPr>
    </w:p>
    <w:p>
      <w:pPr>
        <w:ind w:left="320" w:hanging="312"/>
        <w:spacing w:after="0" w:line="271" w:lineRule="auto"/>
        <w:tabs>
          <w:tab w:leader="none" w:pos="226"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as a Stockholder of the Company</w:t>
      </w:r>
      <w:r>
        <w:rPr>
          <w:rFonts w:ascii="Times New Roman" w:cs="Times New Roman" w:eastAsia="Times New Roman" w:hAnsi="Times New Roman"/>
          <w:sz w:val="21"/>
          <w:szCs w:val="21"/>
          <w:color w:val="auto"/>
        </w:rPr>
        <w:t xml:space="preserve">. The Participant's receipt of the grant of the Units pursuant to the Notice and this Award Agreement, and any resulting conversion of the Units to cash in accordance with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provide and confer no rights to, or status as, a stockholder or equity holder of the Company.</w:t>
      </w:r>
    </w:p>
    <w:p>
      <w:pPr>
        <w:spacing w:after="0" w:line="37" w:lineRule="exact"/>
        <w:rPr>
          <w:rFonts w:ascii="Times New Roman" w:cs="Times New Roman" w:eastAsia="Times New Roman" w:hAnsi="Times New Roman"/>
          <w:sz w:val="21"/>
          <w:szCs w:val="21"/>
          <w:color w:val="auto"/>
        </w:rPr>
      </w:pPr>
    </w:p>
    <w:p>
      <w:pPr>
        <w:ind w:left="320" w:hanging="312"/>
        <w:spacing w:after="0" w:line="264" w:lineRule="auto"/>
        <w:tabs>
          <w:tab w:leader="none" w:pos="21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Failure to insist upon strict compliance with any of the terms, covenants, or conditions hereof will not be deemed a waiver of such term, covenant, or condition, nor will any waiver or relinquishment of, or failure to insist upon strict compliance with, any right or power hereunder at any one or more times be deemed a waiver or relinquishment of such right or power at any other time or times.</w:t>
      </w:r>
    </w:p>
    <w:p>
      <w:pPr>
        <w:spacing w:after="0" w:line="47" w:lineRule="exact"/>
        <w:rPr>
          <w:rFonts w:ascii="Times New Roman" w:cs="Times New Roman" w:eastAsia="Times New Roman" w:hAnsi="Times New Roman"/>
          <w:sz w:val="21"/>
          <w:szCs w:val="21"/>
          <w:color w:val="auto"/>
        </w:rPr>
      </w:pPr>
    </w:p>
    <w:p>
      <w:pPr>
        <w:ind w:left="220" w:hanging="212"/>
        <w:spacing w:after="0"/>
        <w:tabs>
          <w:tab w:leader="none" w:pos="2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herein, the following definitions shall apply:</w:t>
      </w:r>
    </w:p>
    <w:p>
      <w:pPr>
        <w:spacing w:after="0" w:line="100" w:lineRule="exact"/>
        <w:rPr>
          <w:rFonts w:ascii="Times New Roman" w:cs="Times New Roman" w:eastAsia="Times New Roman" w:hAnsi="Times New Roman"/>
          <w:sz w:val="21"/>
          <w:szCs w:val="21"/>
          <w:color w:val="auto"/>
        </w:rPr>
      </w:pPr>
    </w:p>
    <w:p>
      <w:pPr>
        <w:ind w:left="1600" w:hanging="308"/>
        <w:spacing w:after="0"/>
        <w:tabs>
          <w:tab w:leader="none" w:pos="160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means the Board of Directors of the Company.</w:t>
      </w:r>
    </w:p>
    <w:p>
      <w:pPr>
        <w:spacing w:after="0" w:line="106" w:lineRule="exact"/>
        <w:rPr>
          <w:rFonts w:ascii="Times New Roman" w:cs="Times New Roman" w:eastAsia="Times New Roman" w:hAnsi="Times New Roman"/>
          <w:sz w:val="21"/>
          <w:szCs w:val="21"/>
          <w:color w:val="auto"/>
        </w:rPr>
      </w:pPr>
    </w:p>
    <w:p>
      <w:pPr>
        <w:ind w:left="1620" w:hanging="328"/>
        <w:spacing w:after="0"/>
        <w:tabs>
          <w:tab w:leader="none" w:pos="162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Change in Control</w:t>
      </w:r>
      <w:r>
        <w:rPr>
          <w:rFonts w:ascii="Times New Roman" w:cs="Times New Roman" w:eastAsia="Times New Roman" w:hAnsi="Times New Roman"/>
          <w:sz w:val="21"/>
          <w:szCs w:val="21"/>
          <w:color w:val="auto"/>
        </w:rPr>
        <w:t>" means as defined in the Equity Plan.</w:t>
      </w:r>
    </w:p>
    <w:p>
      <w:pPr>
        <w:spacing w:after="0" w:line="106" w:lineRule="exact"/>
        <w:rPr>
          <w:rFonts w:ascii="Times New Roman" w:cs="Times New Roman" w:eastAsia="Times New Roman" w:hAnsi="Times New Roman"/>
          <w:sz w:val="21"/>
          <w:szCs w:val="21"/>
          <w:color w:val="auto"/>
        </w:rPr>
      </w:pPr>
    </w:p>
    <w:p>
      <w:pPr>
        <w:ind w:left="1600" w:hanging="308"/>
        <w:spacing w:after="0"/>
        <w:tabs>
          <w:tab w:leader="none" w:pos="160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means the Internal Revenue Code of 1986, as amended, and the Treasury regulations thereunder.</w:t>
      </w:r>
    </w:p>
    <w:p>
      <w:pPr>
        <w:spacing w:after="0" w:line="106" w:lineRule="exact"/>
        <w:rPr>
          <w:rFonts w:ascii="Times New Roman" w:cs="Times New Roman" w:eastAsia="Times New Roman" w:hAnsi="Times New Roman"/>
          <w:sz w:val="21"/>
          <w:szCs w:val="21"/>
          <w:color w:val="auto"/>
        </w:rPr>
      </w:pPr>
    </w:p>
    <w:p>
      <w:pPr>
        <w:ind w:left="1620" w:hanging="328"/>
        <w:spacing w:after="0"/>
        <w:tabs>
          <w:tab w:leader="none" w:pos="162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Common Stock</w:t>
      </w:r>
      <w:r>
        <w:rPr>
          <w:rFonts w:ascii="Times New Roman" w:cs="Times New Roman" w:eastAsia="Times New Roman" w:hAnsi="Times New Roman"/>
          <w:sz w:val="21"/>
          <w:szCs w:val="21"/>
          <w:color w:val="auto"/>
        </w:rPr>
        <w:t>" means the common stock of the Company.</w:t>
      </w:r>
    </w:p>
    <w:p>
      <w:pPr>
        <w:spacing w:after="0" w:line="106" w:lineRule="exact"/>
        <w:rPr>
          <w:rFonts w:ascii="Times New Roman" w:cs="Times New Roman" w:eastAsia="Times New Roman" w:hAnsi="Times New Roman"/>
          <w:sz w:val="21"/>
          <w:szCs w:val="21"/>
          <w:color w:val="auto"/>
        </w:rPr>
      </w:pPr>
    </w:p>
    <w:p>
      <w:pPr>
        <w:ind w:left="1600" w:hanging="308"/>
        <w:spacing w:after="0"/>
        <w:tabs>
          <w:tab w:leader="none" w:pos="160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means Tredegar Corporation, a Virginia corporation.</w:t>
      </w:r>
    </w:p>
    <w:p>
      <w:pPr>
        <w:spacing w:after="0" w:line="92" w:lineRule="exact"/>
        <w:rPr>
          <w:rFonts w:ascii="Times New Roman" w:cs="Times New Roman" w:eastAsia="Times New Roman" w:hAnsi="Times New Roman"/>
          <w:sz w:val="21"/>
          <w:szCs w:val="21"/>
          <w:color w:val="auto"/>
        </w:rPr>
      </w:pPr>
    </w:p>
    <w:p>
      <w:pPr>
        <w:jc w:val="both"/>
        <w:ind w:left="320" w:firstLine="972"/>
        <w:spacing w:after="0" w:line="259" w:lineRule="auto"/>
        <w:tabs>
          <w:tab w:leader="none" w:pos="1595"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Continuous Service</w:t>
      </w:r>
      <w:r>
        <w:rPr>
          <w:rFonts w:ascii="Times New Roman" w:cs="Times New Roman" w:eastAsia="Times New Roman" w:hAnsi="Times New Roman"/>
          <w:sz w:val="21"/>
          <w:szCs w:val="21"/>
          <w:color w:val="auto"/>
        </w:rPr>
        <w:t>" means the Participant's provision of services to the Company or its successors as a consultant, member of the Board or Employee is continuous and uninterrupted. For this purpose Continuous Service shall be deemed interrupted upon the actual cessation of providing services to the Company or its successors, notwithstanding any required notice period that must be fulfilled before a termination as a consultant, member of the Board or Employee can be effective under applicable laws. Continuous Service shall not be considered interrupted in the case of (x) any approved leave of absence (including sick leave, military leave, or any other authorized personal leave); (y) transfers among the Company, or any successor; or (z) any change in status as long as Participant remains in the service of the Company or its successors as a consultant, member of the Board or Employee. Notwithstanding anything in the foregoing or this Award Agreement to the contrary, the Participant's change in status from one category of consultant, member of the Board or Employee to another of such category shall not be considered a termination of such Participant's Continuous Service.</w:t>
      </w:r>
    </w:p>
    <w:p>
      <w:pPr>
        <w:spacing w:after="0" w:line="309" w:lineRule="exact"/>
        <w:rPr>
          <w:rFonts w:ascii="Times New Roman" w:cs="Times New Roman" w:eastAsia="Times New Roman" w:hAnsi="Times New Roman"/>
          <w:sz w:val="21"/>
          <w:szCs w:val="21"/>
          <w:color w:val="auto"/>
        </w:rPr>
      </w:pPr>
    </w:p>
    <w:p>
      <w:pPr>
        <w:jc w:val="both"/>
        <w:ind w:left="320" w:firstLine="972"/>
        <w:spacing w:after="0" w:line="273" w:lineRule="auto"/>
        <w:tabs>
          <w:tab w:leader="none" w:pos="1604"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Employee</w:t>
      </w:r>
      <w:r>
        <w:rPr>
          <w:rFonts w:ascii="Times New Roman" w:cs="Times New Roman" w:eastAsia="Times New Roman" w:hAnsi="Times New Roman"/>
          <w:sz w:val="21"/>
          <w:szCs w:val="21"/>
          <w:color w:val="auto"/>
        </w:rPr>
        <w:t>" means any person, including an officer, who is in the employ of the Company, and is subject to the control and direction of the Company as to both the work to be performed and the manner and method of such performance.</w:t>
      </w:r>
    </w:p>
    <w:p>
      <w:pPr>
        <w:spacing w:after="0" w:line="31" w:lineRule="exact"/>
        <w:rPr>
          <w:rFonts w:ascii="Times New Roman" w:cs="Times New Roman" w:eastAsia="Times New Roman" w:hAnsi="Times New Roman"/>
          <w:sz w:val="21"/>
          <w:szCs w:val="21"/>
          <w:color w:val="auto"/>
        </w:rPr>
      </w:pPr>
    </w:p>
    <w:p>
      <w:pPr>
        <w:ind w:left="1620" w:hanging="328"/>
        <w:spacing w:after="0"/>
        <w:tabs>
          <w:tab w:leader="none" w:pos="162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Fair Market Value</w:t>
      </w:r>
      <w:r>
        <w:rPr>
          <w:rFonts w:ascii="Times New Roman" w:cs="Times New Roman" w:eastAsia="Times New Roman" w:hAnsi="Times New Roman"/>
          <w:sz w:val="21"/>
          <w:szCs w:val="21"/>
          <w:color w:val="auto"/>
        </w:rPr>
        <w:t>" means as defined in the Equity Plan</w:t>
      </w:r>
      <w:r>
        <w:rPr>
          <w:rFonts w:ascii="Times New Roman" w:cs="Times New Roman" w:eastAsia="Times New Roman" w:hAnsi="Times New Roman"/>
          <w:sz w:val="21"/>
          <w:szCs w:val="21"/>
          <w:color w:val="2C2C2C"/>
        </w:rPr>
        <w:t>.</w:t>
      </w:r>
    </w:p>
    <w:p>
      <w:pPr>
        <w:spacing w:after="0" w:line="112" w:lineRule="exact"/>
        <w:rPr>
          <w:rFonts w:ascii="Times New Roman" w:cs="Times New Roman" w:eastAsia="Times New Roman" w:hAnsi="Times New Roman"/>
          <w:sz w:val="21"/>
          <w:szCs w:val="21"/>
          <w:color w:val="auto"/>
        </w:rPr>
      </w:pPr>
    </w:p>
    <w:p>
      <w:pPr>
        <w:jc w:val="both"/>
        <w:ind w:left="320" w:hanging="312"/>
        <w:spacing w:after="0" w:line="262" w:lineRule="auto"/>
        <w:tabs>
          <w:tab w:leader="none" w:pos="32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 of Shares</w:t>
      </w:r>
      <w:r>
        <w:rPr>
          <w:rFonts w:ascii="Times New Roman" w:cs="Times New Roman" w:eastAsia="Times New Roman" w:hAnsi="Times New Roman"/>
          <w:sz w:val="21"/>
          <w:szCs w:val="21"/>
          <w:color w:val="auto"/>
        </w:rPr>
        <w:t>. In the event of any change in the outstanding shares of Common Stock by reason of any stock split, stock dividend or other non-recurring dividends or distributions, recapitalization, merger, consolidation, spin-off, combination, repurchase or exchange of stock, reorganization, liquidation, dissolution or other similar corporate transaction that affects the Common Stock, an adjustment will be made, as the Board deems necessary or appropriate, in order to prevent dilution or enlargement of the benefits or potential benefits intended to be made available under the Notice and this Award Agreement. Such adjustment may include an adjustment to the number and value of the Units.</w:t>
      </w:r>
    </w:p>
    <w:p>
      <w:pPr>
        <w:sectPr>
          <w:pgSz w:w="11900" w:h="16838" w:orient="portrait"/>
          <w:cols w:equalWidth="0" w:num="1">
            <w:col w:w="10920"/>
          </w:cols>
          <w:pgMar w:left="64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Provisions</w:t>
      </w:r>
      <w:r>
        <w:rPr>
          <w:rFonts w:ascii="Times New Roman" w:cs="Times New Roman" w:eastAsia="Times New Roman" w:hAnsi="Times New Roman"/>
          <w:sz w:val="21"/>
          <w:szCs w:val="21"/>
          <w:color w:val="auto"/>
        </w:rPr>
        <w:t>.</w:t>
      </w:r>
    </w:p>
    <w:p>
      <w:pPr>
        <w:spacing w:after="0" w:line="106" w:lineRule="exact"/>
        <w:rPr>
          <w:rFonts w:ascii="Times New Roman" w:cs="Times New Roman" w:eastAsia="Times New Roman" w:hAnsi="Times New Roman"/>
          <w:sz w:val="21"/>
          <w:szCs w:val="21"/>
          <w:color w:val="auto"/>
        </w:rPr>
      </w:pPr>
    </w:p>
    <w:p>
      <w:pPr>
        <w:jc w:val="right"/>
        <w:ind w:left="1620" w:hanging="321"/>
        <w:spacing w:after="0" w:line="26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Any notice required by the terms of this Award Agreement shall be given in writing and shall be deemed effective upon personal delivery or five (5) days after deposit with a national postal system or, if sent via overnight delivery, one (1) day after deposit with an established overnight delivery system such as</w:t>
      </w:r>
    </w:p>
    <w:p>
      <w:pPr>
        <w:spacing w:after="0" w:line="1" w:lineRule="exact"/>
        <w:rPr>
          <w:sz w:val="20"/>
          <w:szCs w:val="20"/>
          <w:color w:val="auto"/>
        </w:rPr>
      </w:pPr>
    </w:p>
    <w:p>
      <w:pPr>
        <w:ind w:left="1620"/>
        <w:spacing w:after="0"/>
        <w:tabs>
          <w:tab w:leader="none" w:pos="2560" w:val="left"/>
          <w:tab w:leader="none" w:pos="3600" w:val="left"/>
          <w:tab w:leader="none" w:pos="4500" w:val="left"/>
          <w:tab w:leader="none" w:pos="5240" w:val="left"/>
          <w:tab w:leader="none" w:pos="5760" w:val="left"/>
          <w:tab w:leader="none" w:pos="6940" w:val="left"/>
          <w:tab w:leader="none" w:pos="7420" w:val="left"/>
          <w:tab w:leader="none" w:pos="8720" w:val="left"/>
          <w:tab w:leader="none" w:pos="9420" w:val="left"/>
          <w:tab w:leader="none" w:pos="10000" w:val="left"/>
        </w:tabs>
        <w:rPr>
          <w:sz w:val="20"/>
          <w:szCs w:val="20"/>
          <w:color w:val="auto"/>
        </w:rPr>
      </w:pPr>
      <w:r>
        <w:rPr>
          <w:rFonts w:ascii="Times New Roman" w:cs="Times New Roman" w:eastAsia="Times New Roman" w:hAnsi="Times New Roman"/>
          <w:sz w:val="21"/>
          <w:szCs w:val="21"/>
          <w:color w:val="auto"/>
        </w:rPr>
        <w:t>Federal</w:t>
        <w:tab/>
        <w:t>Express.</w:t>
        <w:tab/>
        <w:t>Notice</w:t>
        <w:tab/>
        <w:t>shall</w:t>
      </w:r>
      <w:r>
        <w:rPr>
          <w:sz w:val="20"/>
          <w:szCs w:val="20"/>
          <w:color w:val="auto"/>
        </w:rPr>
        <w:tab/>
      </w:r>
      <w:r>
        <w:rPr>
          <w:rFonts w:ascii="Times New Roman" w:cs="Times New Roman" w:eastAsia="Times New Roman" w:hAnsi="Times New Roman"/>
          <w:sz w:val="21"/>
          <w:szCs w:val="21"/>
          <w:color w:val="auto"/>
        </w:rPr>
        <w:t>be</w:t>
        <w:tab/>
        <w:t>addressed</w:t>
      </w:r>
      <w:r>
        <w:rPr>
          <w:sz w:val="20"/>
          <w:szCs w:val="20"/>
          <w:color w:val="auto"/>
        </w:rPr>
        <w:tab/>
      </w:r>
      <w:r>
        <w:rPr>
          <w:rFonts w:ascii="Times New Roman" w:cs="Times New Roman" w:eastAsia="Times New Roman" w:hAnsi="Times New Roman"/>
          <w:sz w:val="21"/>
          <w:szCs w:val="21"/>
          <w:color w:val="auto"/>
        </w:rPr>
        <w:t>in</w:t>
        <w:tab/>
        <w:t>accordance</w:t>
      </w:r>
      <w:r>
        <w:rPr>
          <w:sz w:val="20"/>
          <w:szCs w:val="20"/>
          <w:color w:val="auto"/>
        </w:rPr>
        <w:tab/>
      </w:r>
      <w:r>
        <w:rPr>
          <w:rFonts w:ascii="Times New Roman" w:cs="Times New Roman" w:eastAsia="Times New Roman" w:hAnsi="Times New Roman"/>
          <w:sz w:val="21"/>
          <w:szCs w:val="21"/>
          <w:color w:val="auto"/>
        </w:rPr>
        <w:t>with</w:t>
        <w:tab/>
        <w:t>the</w:t>
        <w:tab/>
        <w:t>following:</w:t>
      </w:r>
    </w:p>
    <w:p>
      <w:pPr>
        <w:spacing w:after="0" w:line="29" w:lineRule="exact"/>
        <w:rPr>
          <w:sz w:val="20"/>
          <w:szCs w:val="20"/>
          <w:color w:val="auto"/>
        </w:rPr>
      </w:pPr>
    </w:p>
    <w:p>
      <w:pPr>
        <w:ind w:left="3080"/>
        <w:spacing w:after="0"/>
        <w:tabs>
          <w:tab w:leader="none" w:pos="5280" w:val="left"/>
        </w:tabs>
        <w:rPr>
          <w:sz w:val="20"/>
          <w:szCs w:val="20"/>
          <w:color w:val="auto"/>
        </w:rPr>
      </w:pPr>
      <w:r>
        <w:rPr>
          <w:rFonts w:ascii="Times New Roman" w:cs="Times New Roman" w:eastAsia="Times New Roman" w:hAnsi="Times New Roman"/>
          <w:sz w:val="21"/>
          <w:szCs w:val="21"/>
          <w:u w:val="single" w:color="auto"/>
          <w:color w:val="auto"/>
        </w:rPr>
        <w:t>If to Participant</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1"/>
          <w:szCs w:val="21"/>
          <w:u w:val="single" w:color="auto"/>
          <w:color w:val="auto"/>
        </w:rPr>
        <w:t>If to the Company</w:t>
      </w:r>
      <w:r>
        <w:rPr>
          <w:rFonts w:ascii="Times New Roman" w:cs="Times New Roman" w:eastAsia="Times New Roman" w:hAnsi="Times New Roman"/>
          <w:sz w:val="21"/>
          <w:szCs w:val="21"/>
          <w:color w:val="auto"/>
        </w:rPr>
        <w:t>:</w:t>
      </w:r>
    </w:p>
    <w:p>
      <w:pPr>
        <w:spacing w:after="0" w:line="3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Tredegar Corporation</w:t>
      </w:r>
    </w:p>
    <w:p>
      <w:pPr>
        <w:spacing w:after="0" w:line="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1"/>
          <w:szCs w:val="21"/>
          <w:color w:val="auto"/>
        </w:rPr>
        <w:t>1100 Boulders Parkway</w:t>
      </w:r>
    </w:p>
    <w:p>
      <w:pPr>
        <w:spacing w:after="0" w:line="5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1"/>
          <w:szCs w:val="21"/>
          <w:color w:val="auto"/>
        </w:rPr>
        <w:t>North Chesterfield, Virginia 23225</w:t>
      </w:r>
    </w:p>
    <w:p>
      <w:pPr>
        <w:spacing w:after="0" w:line="5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1"/>
          <w:szCs w:val="21"/>
          <w:color w:val="auto"/>
        </w:rPr>
        <w:t>Attention: Board of Directors</w:t>
      </w:r>
    </w:p>
    <w:p>
      <w:pPr>
        <w:spacing w:after="0" w:line="31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1"/>
          <w:szCs w:val="21"/>
          <w:i w:val="1"/>
          <w:iCs w:val="1"/>
          <w:color w:val="auto"/>
        </w:rPr>
        <w:t>With a copy to</w:t>
      </w:r>
      <w:r>
        <w:rPr>
          <w:rFonts w:ascii="Times New Roman" w:cs="Times New Roman" w:eastAsia="Times New Roman" w:hAnsi="Times New Roman"/>
          <w:sz w:val="21"/>
          <w:szCs w:val="21"/>
          <w:color w:val="auto"/>
        </w:rPr>
        <w:t>:</w:t>
      </w:r>
    </w:p>
    <w:p>
      <w:pPr>
        <w:spacing w:after="0" w:line="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1"/>
          <w:szCs w:val="21"/>
          <w:color w:val="auto"/>
        </w:rPr>
        <w:t>Hunton Andrews Kurth LLP</w:t>
      </w:r>
    </w:p>
    <w:p>
      <w:pPr>
        <w:spacing w:after="0" w:line="5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1"/>
          <w:szCs w:val="21"/>
          <w:color w:val="auto"/>
        </w:rPr>
        <w:t>951 East Byrd Steet</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1"/>
          <w:szCs w:val="21"/>
          <w:color w:val="auto"/>
        </w:rPr>
        <w:t>Richmond, Virginia 23219</w:t>
      </w:r>
    </w:p>
    <w:p>
      <w:pPr>
        <w:spacing w:after="0" w:line="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1"/>
          <w:szCs w:val="21"/>
          <w:color w:val="auto"/>
        </w:rPr>
        <w:t>Attn: Steven Haas &amp; Anthony Eppert</w:t>
      </w:r>
    </w:p>
    <w:p>
      <w:pPr>
        <w:spacing w:after="0" w:line="200" w:lineRule="exact"/>
        <w:rPr>
          <w:sz w:val="20"/>
          <w:szCs w:val="20"/>
          <w:color w:val="auto"/>
        </w:rPr>
      </w:pPr>
    </w:p>
    <w:p>
      <w:pPr>
        <w:spacing w:after="0" w:line="294" w:lineRule="exact"/>
        <w:rPr>
          <w:sz w:val="20"/>
          <w:szCs w:val="20"/>
          <w:color w:val="auto"/>
        </w:rPr>
      </w:pPr>
    </w:p>
    <w:p>
      <w:pPr>
        <w:jc w:val="both"/>
        <w:ind w:left="1620" w:hanging="328"/>
        <w:spacing w:after="0" w:line="271" w:lineRule="auto"/>
        <w:tabs>
          <w:tab w:leader="none" w:pos="162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Except as provided herein to the contrary, the Notice and this Award Agreement shall be binding upon and inure to the benefit of the parties hereto, and their respective permitted successors and assigns.</w:t>
      </w:r>
    </w:p>
    <w:p>
      <w:pPr>
        <w:spacing w:after="0" w:line="37" w:lineRule="exact"/>
        <w:rPr>
          <w:rFonts w:ascii="Times New Roman" w:cs="Times New Roman" w:eastAsia="Times New Roman" w:hAnsi="Times New Roman"/>
          <w:sz w:val="21"/>
          <w:szCs w:val="21"/>
          <w:color w:val="auto"/>
        </w:rPr>
      </w:pPr>
    </w:p>
    <w:p>
      <w:pPr>
        <w:jc w:val="both"/>
        <w:ind w:left="1620" w:hanging="328"/>
        <w:spacing w:after="0" w:line="271" w:lineRule="auto"/>
        <w:tabs>
          <w:tab w:leader="none" w:pos="1608"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Assignment</w:t>
      </w:r>
      <w:r>
        <w:rPr>
          <w:rFonts w:ascii="Times New Roman" w:cs="Times New Roman" w:eastAsia="Times New Roman" w:hAnsi="Times New Roman"/>
          <w:sz w:val="21"/>
          <w:szCs w:val="21"/>
          <w:color w:val="auto"/>
        </w:rPr>
        <w:t>. Except as otherwise provided in this Award Agreement, Participant shall not assign any of his/her rights under the Notice and this Award Agreement. The Board shall be permitted to assign its rights or obligations under the Notice and this Award Agreement.</w:t>
      </w:r>
    </w:p>
    <w:p>
      <w:pPr>
        <w:spacing w:after="0" w:line="37" w:lineRule="exact"/>
        <w:rPr>
          <w:rFonts w:ascii="Times New Roman" w:cs="Times New Roman" w:eastAsia="Times New Roman" w:hAnsi="Times New Roman"/>
          <w:sz w:val="21"/>
          <w:szCs w:val="21"/>
          <w:color w:val="auto"/>
        </w:rPr>
      </w:pPr>
    </w:p>
    <w:p>
      <w:pPr>
        <w:jc w:val="both"/>
        <w:ind w:left="1620" w:hanging="328"/>
        <w:spacing w:after="0" w:line="269" w:lineRule="auto"/>
        <w:tabs>
          <w:tab w:leader="none" w:pos="162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The Notice may be executed simultaneously in two or more counterparts, each of which shall be deemed an original, but all of which together shall constitute one and the same instrument. Any counterpart or other signature delivered by facsimile shall be deemed for all purposes as being a good and valid execution and delivery of the Notice by that party.</w:t>
      </w:r>
    </w:p>
    <w:p>
      <w:pPr>
        <w:spacing w:after="0" w:line="27" w:lineRule="exact"/>
        <w:rPr>
          <w:rFonts w:ascii="Times New Roman" w:cs="Times New Roman" w:eastAsia="Times New Roman" w:hAnsi="Times New Roman"/>
          <w:sz w:val="21"/>
          <w:szCs w:val="21"/>
          <w:color w:val="auto"/>
        </w:rPr>
      </w:pPr>
    </w:p>
    <w:p>
      <w:pPr>
        <w:jc w:val="both"/>
        <w:ind w:left="1620" w:hanging="328"/>
        <w:spacing w:after="0" w:line="277" w:lineRule="auto"/>
        <w:tabs>
          <w:tab w:leader="none" w:pos="1608"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validity, legality or enforceability of the remainder of this Award Agreement shall not be affected even if one or more of the provisions of this Award Agreement shall be held to be invalid, illegal or unenforceable in any respect.</w:t>
      </w:r>
    </w:p>
    <w:p>
      <w:pPr>
        <w:spacing w:after="0" w:line="33" w:lineRule="exact"/>
        <w:rPr>
          <w:rFonts w:ascii="Times New Roman" w:cs="Times New Roman" w:eastAsia="Times New Roman" w:hAnsi="Times New Roman"/>
          <w:sz w:val="21"/>
          <w:szCs w:val="21"/>
          <w:color w:val="auto"/>
        </w:rPr>
      </w:pPr>
    </w:p>
    <w:p>
      <w:pPr>
        <w:jc w:val="both"/>
        <w:ind w:left="1620" w:hanging="328"/>
        <w:spacing w:after="0" w:line="260" w:lineRule="auto"/>
        <w:tabs>
          <w:tab w:leader="none" w:pos="1611"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Termination</w:t>
      </w:r>
      <w:r>
        <w:rPr>
          <w:rFonts w:ascii="Times New Roman" w:cs="Times New Roman" w:eastAsia="Times New Roman" w:hAnsi="Times New Roman"/>
          <w:sz w:val="21"/>
          <w:szCs w:val="21"/>
          <w:color w:val="auto"/>
        </w:rPr>
        <w:t>. This Award may not be terminated by the Board at any time without the written consent of the Participant. The Notice and this Award Agreement may be amended in writing by the Company and the Participant; provided, however, that the Company may unilaterally amend the Notice and this Award Agreement (i) if the amendment does not adversely affect the Participant's rights hereunder in any material respect; or (ii) if the Company determines that an amendment is necessary to meet the requirements of the Code or to prevent adverse tax consequences to the Participant, but then only to the extent minimally necessary.</w:t>
      </w:r>
    </w:p>
    <w:p>
      <w:pPr>
        <w:spacing w:after="0" w:line="54" w:lineRule="exact"/>
        <w:rPr>
          <w:rFonts w:ascii="Times New Roman" w:cs="Times New Roman" w:eastAsia="Times New Roman" w:hAnsi="Times New Roman"/>
          <w:sz w:val="21"/>
          <w:szCs w:val="21"/>
          <w:color w:val="auto"/>
        </w:rPr>
      </w:pPr>
    </w:p>
    <w:p>
      <w:pPr>
        <w:jc w:val="both"/>
        <w:ind w:left="1620" w:hanging="328"/>
        <w:spacing w:after="0" w:line="271" w:lineRule="auto"/>
        <w:tabs>
          <w:tab w:leader="none" w:pos="162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and Interpretation</w:t>
      </w:r>
      <w:r>
        <w:rPr>
          <w:rFonts w:ascii="Times New Roman" w:cs="Times New Roman" w:eastAsia="Times New Roman" w:hAnsi="Times New Roman"/>
          <w:sz w:val="21"/>
          <w:szCs w:val="21"/>
          <w:color w:val="auto"/>
        </w:rPr>
        <w:t>. Any question or dispute regarding the interpretation of the Notice or this Award Agreement or the receipt of the Units hereunder shall be submitted by the Participant to the Board. The resolution of such a dispute by the Board shall be final and binding on all parties.</w:t>
      </w:r>
    </w:p>
    <w:p>
      <w:pPr>
        <w:sectPr>
          <w:pgSz w:w="11900" w:h="16838" w:orient="portrait"/>
          <w:cols w:equalWidth="0" w:num="1">
            <w:col w:w="10920"/>
          </w:cols>
          <w:pgMar w:left="640" w:top="11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820" w:hanging="328"/>
        <w:spacing w:after="0" w:line="258" w:lineRule="auto"/>
        <w:tabs>
          <w:tab w:leader="none" w:pos="82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Consent to Electronic Delivery; Electronic Signature</w:t>
      </w:r>
      <w:r>
        <w:rPr>
          <w:rFonts w:ascii="Times New Roman" w:cs="Times New Roman" w:eastAsia="Times New Roman" w:hAnsi="Times New Roman"/>
          <w:sz w:val="21"/>
          <w:szCs w:val="21"/>
          <w:color w:val="auto"/>
        </w:rPr>
        <w:t>. In lieu of receiving documents in paper format, the Participant agrees, to the fullest extent permitted by law, to accept electronic delivery of any documents that the Company may be required to deliver (including, but not limited to,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Participant has access. The Participant hereby consents to any and all procedures the Company has established or may establish for an electronic signature system for delivery and acceptance of any such documents that the Company may be required to deliver, and agrees that his/her electronic signature is the same as, and shall have the same force and effect as, his/her manual signature.</w:t>
      </w:r>
    </w:p>
    <w:p>
      <w:pPr>
        <w:spacing w:after="0" w:line="52" w:lineRule="exact"/>
        <w:rPr>
          <w:rFonts w:ascii="Times New Roman" w:cs="Times New Roman" w:eastAsia="Times New Roman" w:hAnsi="Times New Roman"/>
          <w:sz w:val="21"/>
          <w:szCs w:val="21"/>
          <w:color w:val="auto"/>
        </w:rPr>
      </w:pPr>
    </w:p>
    <w:p>
      <w:pPr>
        <w:jc w:val="both"/>
        <w:ind w:left="820" w:hanging="328"/>
        <w:spacing w:after="0" w:line="260" w:lineRule="auto"/>
        <w:tabs>
          <w:tab w:leader="none" w:pos="81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Unsecured Status of Claim</w:t>
      </w:r>
      <w:r>
        <w:rPr>
          <w:rFonts w:ascii="Times New Roman" w:cs="Times New Roman" w:eastAsia="Times New Roman" w:hAnsi="Times New Roman"/>
          <w:sz w:val="21"/>
          <w:szCs w:val="21"/>
          <w:color w:val="auto"/>
        </w:rPr>
        <w:t>. The Units shall be used solely as a device for the measurement and determination of the amount to be paid to the Participant pursuant to the Notice and this Award Agreement. The Units shall not constitute or be treated as property of any kind. Any amount that may be due and payable under the Notice and this Award Agreement shall be paid solely from the general assets of the Company. With respect to any payment to which the Participant may be entitled, nothing in the Notice or this Award Agreement shall be construed to create a trust or to establish or evidence any Participant's claim of any right other than as a general creditor.</w:t>
      </w:r>
    </w:p>
    <w:p>
      <w:pPr>
        <w:spacing w:after="0" w:line="54" w:lineRule="exact"/>
        <w:rPr>
          <w:rFonts w:ascii="Times New Roman" w:cs="Times New Roman" w:eastAsia="Times New Roman" w:hAnsi="Times New Roman"/>
          <w:sz w:val="21"/>
          <w:szCs w:val="21"/>
          <w:color w:val="auto"/>
        </w:rPr>
      </w:pPr>
    </w:p>
    <w:p>
      <w:pPr>
        <w:jc w:val="both"/>
        <w:ind w:left="820" w:hanging="328"/>
        <w:spacing w:after="0" w:line="269" w:lineRule="auto"/>
        <w:tabs>
          <w:tab w:leader="none" w:pos="81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Captions and titles contained herein are for convenience only and shall not affect the meaning or interpretation of any provision of the Notice or this Award Agreement. Except when otherwise indicated by the context, the singular shall include the plural and the plural shall include the singular. Use of the term "or" is not intended to be exclusive, unless the context clearly requires otherwise.</w:t>
      </w:r>
    </w:p>
    <w:p>
      <w:pPr>
        <w:spacing w:after="0" w:line="40" w:lineRule="exact"/>
        <w:rPr>
          <w:rFonts w:ascii="Times New Roman" w:cs="Times New Roman" w:eastAsia="Times New Roman" w:hAnsi="Times New Roman"/>
          <w:sz w:val="21"/>
          <w:szCs w:val="21"/>
          <w:color w:val="auto"/>
        </w:rPr>
      </w:pPr>
    </w:p>
    <w:p>
      <w:pPr>
        <w:jc w:val="both"/>
        <w:ind w:left="820" w:hanging="328"/>
        <w:spacing w:after="0" w:line="260" w:lineRule="auto"/>
        <w:tabs>
          <w:tab w:leader="none" w:pos="82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Governing Law</w:t>
      </w:r>
      <w:r>
        <w:rPr>
          <w:rFonts w:ascii="Times New Roman" w:cs="Times New Roman" w:eastAsia="Times New Roman" w:hAnsi="Times New Roman"/>
          <w:sz w:val="21"/>
          <w:szCs w:val="21"/>
          <w:color w:val="auto"/>
        </w:rPr>
        <w:t>. The Notice and this Award Agreement constitute the entire agreement of the parties with respect to the subject matter hereof and supersedes in its entirety all prior undertakings, representation and agreements between the Company, on one hand, and the Participant on the other hand (whether oral or written, and whether express or implied) with respect to the subject matter hereof. The Notice and this Award Agreement are to be construed in accordance with and governed by the laws of the Commonwealth of Virginia without giving effect to any choice of law rule that would cause the application of the laws of any other jurisdiction.</w:t>
      </w:r>
    </w:p>
    <w:p>
      <w:pPr>
        <w:spacing w:after="0" w:line="54" w:lineRule="exact"/>
        <w:rPr>
          <w:rFonts w:ascii="Times New Roman" w:cs="Times New Roman" w:eastAsia="Times New Roman" w:hAnsi="Times New Roman"/>
          <w:sz w:val="21"/>
          <w:szCs w:val="21"/>
          <w:color w:val="auto"/>
        </w:rPr>
      </w:pPr>
    </w:p>
    <w:p>
      <w:pPr>
        <w:jc w:val="both"/>
        <w:ind w:left="820" w:hanging="328"/>
        <w:spacing w:after="0" w:line="259" w:lineRule="auto"/>
        <w:tabs>
          <w:tab w:leader="none" w:pos="81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Venue</w:t>
      </w:r>
      <w:r>
        <w:rPr>
          <w:rFonts w:ascii="Times New Roman" w:cs="Times New Roman" w:eastAsia="Times New Roman" w:hAnsi="Times New Roman"/>
          <w:sz w:val="21"/>
          <w:szCs w:val="21"/>
          <w:color w:val="auto"/>
        </w:rPr>
        <w:t xml:space="preserve">. The Company and Participant agree that any suit, action or proceeding arising out of or related to the Notice and this Award Agreement shall be brought in the United States District Court for the Eastern District of Virginia, Richmond Division (or should such court lack jurisdiction to hear such action, suit or proceeding, in any state court in Chesterfield County, Virginia), and that all parties shall submit to the jurisdiction of such court. The parties irrevocably waive, to the fullest extent permitted by law, any objection the party may have to the laying of venue for any such suit, action or proceeding brought in such court. If any one or more provisions of this </w:t>
      </w:r>
      <w:r>
        <w:rPr>
          <w:rFonts w:ascii="Times New Roman" w:cs="Times New Roman" w:eastAsia="Times New Roman" w:hAnsi="Times New Roman"/>
          <w:sz w:val="21"/>
          <w:szCs w:val="21"/>
          <w:u w:val="single" w:color="auto"/>
          <w:color w:val="auto"/>
        </w:rPr>
        <w:t>Section 11(l)</w:t>
      </w:r>
      <w:r>
        <w:rPr>
          <w:rFonts w:ascii="Times New Roman" w:cs="Times New Roman" w:eastAsia="Times New Roman" w:hAnsi="Times New Roman"/>
          <w:sz w:val="21"/>
          <w:szCs w:val="21"/>
          <w:color w:val="auto"/>
        </w:rPr>
        <w:t xml:space="preserve"> shall for any reason be held invalid or unenforceable, it is the specific intent of the parties that such provisions shall be</w:t>
      </w:r>
    </w:p>
    <w:p>
      <w:pPr>
        <w:sectPr>
          <w:pgSz w:w="11900" w:h="16838" w:orient="portrait"/>
          <w:cols w:equalWidth="0" w:num="1">
            <w:col w:w="10120"/>
          </w:cols>
          <w:pgMar w:left="144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modified to the minimum extent necessary to make it or its application valid and enforceable.</w:t>
      </w:r>
    </w:p>
    <w:p>
      <w:pPr>
        <w:spacing w:after="0" w:line="106" w:lineRule="exact"/>
        <w:rPr>
          <w:sz w:val="20"/>
          <w:szCs w:val="20"/>
          <w:color w:val="auto"/>
        </w:rPr>
      </w:pPr>
    </w:p>
    <w:p>
      <w:pPr>
        <w:jc w:val="both"/>
        <w:ind w:left="820" w:hanging="320"/>
        <w:spacing w:after="0" w:line="258" w:lineRule="auto"/>
        <w:rPr>
          <w:sz w:val="20"/>
          <w:szCs w:val="20"/>
          <w:color w:val="auto"/>
        </w:rPr>
      </w:pPr>
      <w:r>
        <w:rPr>
          <w:rFonts w:ascii="Times New Roman" w:cs="Times New Roman" w:eastAsia="Times New Roman" w:hAnsi="Times New Roman"/>
          <w:sz w:val="21"/>
          <w:szCs w:val="21"/>
          <w:color w:val="auto"/>
        </w:rPr>
        <w:t xml:space="preserve">m. </w:t>
      </w:r>
      <w:r>
        <w:rPr>
          <w:rFonts w:ascii="Times New Roman" w:cs="Times New Roman" w:eastAsia="Times New Roman" w:hAnsi="Times New Roman"/>
          <w:sz w:val="21"/>
          <w:szCs w:val="21"/>
          <w:u w:val="single" w:color="auto"/>
          <w:color w:val="auto"/>
        </w:rPr>
        <w:t>Not a Contract of Employment or Other Engagement</w:t>
      </w:r>
      <w:r>
        <w:rPr>
          <w:rFonts w:ascii="Times New Roman" w:cs="Times New Roman" w:eastAsia="Times New Roman" w:hAnsi="Times New Roman"/>
          <w:sz w:val="21"/>
          <w:szCs w:val="21"/>
          <w:color w:val="auto"/>
        </w:rPr>
        <w:t>. The terms and conditions of the Notice and this Award Agreement and the grant of the Units hereunder shall not be deemed to constitute a contract of employment or of any consulting or agency relationship between the Company, on one hand, and the Participant on the other hand, except to the extent specifically intended. Any such employment is hereby acknowledged to be, to the extent applicable, an "at will" employment relationship that can be terminated at any time for any reason, or for no reason, with or without cause, and with or without notice, unless expressly provided in a written employment agreement. Nothing in the Notice or this Award Agreement shall be deemed to give Participant the right to be retained in the service of the Company or to interfere with the right of the Company to discipline or discharge Participant at any time.</w:t>
      </w:r>
    </w:p>
    <w:p>
      <w:pPr>
        <w:spacing w:after="0" w:line="5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b w:val="1"/>
          <w:bCs w:val="1"/>
          <w:color w:val="auto"/>
        </w:rPr>
        <w:t>* * * * *</w:t>
      </w:r>
    </w:p>
    <w:p>
      <w:pPr>
        <w:sectPr>
          <w:pgSz w:w="11900" w:h="16838" w:orient="portrait"/>
          <w:cols w:equalWidth="0" w:num="1">
            <w:col w:w="10120"/>
          </w:cols>
          <w:pgMar w:left="144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M. Steitz, certify that:</w:t>
      </w:r>
    </w:p>
    <w:p>
      <w:pPr>
        <w:spacing w:after="0" w:line="114" w:lineRule="exact"/>
        <w:rPr>
          <w:sz w:val="20"/>
          <w:szCs w:val="20"/>
          <w:color w:val="auto"/>
        </w:rPr>
      </w:pPr>
    </w:p>
    <w:p>
      <w:pPr>
        <w:ind w:left="640" w:hanging="63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Tredegar Corporation;</w:t>
      </w:r>
    </w:p>
    <w:p>
      <w:pPr>
        <w:spacing w:after="0" w:line="113" w:lineRule="exact"/>
        <w:rPr>
          <w:rFonts w:ascii="Times New Roman" w:cs="Times New Roman" w:eastAsia="Times New Roman" w:hAnsi="Times New Roman"/>
          <w:sz w:val="18"/>
          <w:szCs w:val="18"/>
          <w:color w:val="auto"/>
        </w:rPr>
      </w:pPr>
    </w:p>
    <w:p>
      <w:pPr>
        <w:jc w:val="both"/>
        <w:ind w:left="640" w:right="220" w:hanging="633"/>
        <w:spacing w:after="0" w:line="263" w:lineRule="auto"/>
        <w:tabs>
          <w:tab w:leader="none" w:pos="6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40" w:right="200" w:hanging="633"/>
        <w:spacing w:after="0" w:line="278" w:lineRule="auto"/>
        <w:tabs>
          <w:tab w:leader="none" w:pos="6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ind w:left="640" w:right="220" w:hanging="633"/>
        <w:spacing w:after="0" w:line="263" w:lineRule="auto"/>
        <w:tabs>
          <w:tab w:leader="none" w:pos="6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20" w:hanging="651"/>
        <w:spacing w:after="0" w:line="263" w:lineRule="auto"/>
        <w:tabs>
          <w:tab w:leader="none" w:pos="12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140" w:hanging="651"/>
        <w:spacing w:after="0" w:line="263" w:lineRule="auto"/>
        <w:tabs>
          <w:tab w:leader="none" w:pos="12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40" w:hanging="651"/>
        <w:spacing w:after="0" w:line="308" w:lineRule="auto"/>
        <w:tabs>
          <w:tab w:leader="none" w:pos="129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1300" w:right="20" w:hanging="651"/>
        <w:spacing w:after="0" w:line="263" w:lineRule="auto"/>
        <w:tabs>
          <w:tab w:leader="none" w:pos="12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40" w:right="120" w:hanging="633"/>
        <w:spacing w:after="0" w:line="278" w:lineRule="auto"/>
        <w:tabs>
          <w:tab w:leader="none" w:pos="6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1300" w:right="560" w:hanging="651"/>
        <w:spacing w:after="0" w:line="308" w:lineRule="auto"/>
        <w:tabs>
          <w:tab w:leader="none" w:pos="129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Times New Roman" w:cs="Times New Roman" w:eastAsia="Times New Roman" w:hAnsi="Times New Roman"/>
          <w:sz w:val="17"/>
          <w:szCs w:val="17"/>
          <w:color w:val="auto"/>
        </w:rPr>
      </w:pPr>
    </w:p>
    <w:p>
      <w:pPr>
        <w:ind w:left="1300" w:right="260" w:hanging="651"/>
        <w:spacing w:after="0" w:line="278" w:lineRule="auto"/>
        <w:tabs>
          <w:tab w:leader="none" w:pos="12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4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15875</wp:posOffset>
            </wp:positionV>
            <wp:extent cx="25565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556510" cy="8255"/>
                    </a:xfrm>
                    <a:prstGeom prst="rect">
                      <a:avLst/>
                    </a:prstGeom>
                    <a:noFill/>
                  </pic:spPr>
                </pic:pic>
              </a:graphicData>
            </a:graphic>
          </wp:anchor>
        </w:drawing>
      </w:r>
    </w:p>
    <w:p>
      <w:pPr>
        <w:spacing w:after="0" w:line="1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John M. Steitz</w:t>
      </w:r>
    </w:p>
    <w:p>
      <w:pPr>
        <w:spacing w:after="0" w:line="2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Andrew Edwards, certify that:</w:t>
      </w:r>
    </w:p>
    <w:p>
      <w:pPr>
        <w:spacing w:after="0" w:line="114" w:lineRule="exact"/>
        <w:rPr>
          <w:sz w:val="20"/>
          <w:szCs w:val="20"/>
          <w:color w:val="auto"/>
        </w:rPr>
      </w:pPr>
    </w:p>
    <w:p>
      <w:pPr>
        <w:ind w:left="640" w:hanging="63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Tredegar Corporation;</w:t>
      </w:r>
    </w:p>
    <w:p>
      <w:pPr>
        <w:spacing w:after="0" w:line="113" w:lineRule="exact"/>
        <w:rPr>
          <w:rFonts w:ascii="Times New Roman" w:cs="Times New Roman" w:eastAsia="Times New Roman" w:hAnsi="Times New Roman"/>
          <w:sz w:val="18"/>
          <w:szCs w:val="18"/>
          <w:color w:val="auto"/>
        </w:rPr>
      </w:pPr>
    </w:p>
    <w:p>
      <w:pPr>
        <w:jc w:val="both"/>
        <w:ind w:left="640" w:right="220" w:hanging="633"/>
        <w:spacing w:after="0" w:line="263" w:lineRule="auto"/>
        <w:tabs>
          <w:tab w:leader="none" w:pos="6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40" w:right="200" w:hanging="633"/>
        <w:spacing w:after="0" w:line="278" w:lineRule="auto"/>
        <w:tabs>
          <w:tab w:leader="none" w:pos="6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ind w:left="640" w:right="220" w:hanging="633"/>
        <w:spacing w:after="0" w:line="263" w:lineRule="auto"/>
        <w:tabs>
          <w:tab w:leader="none" w:pos="6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20" w:hanging="651"/>
        <w:spacing w:after="0" w:line="263"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140" w:hanging="651"/>
        <w:spacing w:after="0" w:line="263"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40" w:hanging="651"/>
        <w:spacing w:after="0" w:line="308" w:lineRule="auto"/>
        <w:tabs>
          <w:tab w:leader="none" w:pos="129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1300" w:right="20" w:hanging="651"/>
        <w:spacing w:after="0" w:line="263"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40" w:right="120" w:hanging="633"/>
        <w:spacing w:after="0" w:line="278" w:lineRule="auto"/>
        <w:tabs>
          <w:tab w:leader="none" w:pos="6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1300" w:right="560" w:hanging="651"/>
        <w:spacing w:after="0" w:line="308" w:lineRule="auto"/>
        <w:tabs>
          <w:tab w:leader="none" w:pos="129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Times New Roman" w:cs="Times New Roman" w:eastAsia="Times New Roman" w:hAnsi="Times New Roman"/>
          <w:sz w:val="17"/>
          <w:szCs w:val="17"/>
          <w:color w:val="auto"/>
        </w:rPr>
      </w:pPr>
    </w:p>
    <w:p>
      <w:pPr>
        <w:ind w:left="1300" w:right="260" w:hanging="651"/>
        <w:spacing w:after="0" w:line="278"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4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15875</wp:posOffset>
            </wp:positionV>
            <wp:extent cx="25565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556510" cy="8255"/>
                    </a:xfrm>
                    <a:prstGeom prst="rect">
                      <a:avLst/>
                    </a:prstGeom>
                    <a:noFill/>
                  </pic:spPr>
                </pic:pic>
              </a:graphicData>
            </a:graphic>
          </wp:anchor>
        </w:drawing>
      </w:r>
    </w:p>
    <w:p>
      <w:pPr>
        <w:spacing w:after="0" w:line="1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D. Andrew Edwards</w:t>
      </w:r>
    </w:p>
    <w:p>
      <w:pPr>
        <w:spacing w:after="0" w:line="2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79"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9" w:lineRule="exact"/>
        <w:rPr>
          <w:sz w:val="20"/>
          <w:szCs w:val="20"/>
          <w:color w:val="auto"/>
        </w:rPr>
      </w:pPr>
    </w:p>
    <w:p>
      <w:pPr>
        <w:ind w:right="200" w:firstLine="642"/>
        <w:spacing w:after="0" w:line="263" w:lineRule="auto"/>
        <w:rPr>
          <w:sz w:val="20"/>
          <w:szCs w:val="20"/>
          <w:color w:val="auto"/>
        </w:rPr>
      </w:pPr>
      <w:r>
        <w:rPr>
          <w:rFonts w:ascii="Times New Roman" w:cs="Times New Roman" w:eastAsia="Times New Roman" w:hAnsi="Times New Roman"/>
          <w:sz w:val="18"/>
          <w:szCs w:val="18"/>
          <w:color w:val="auto"/>
        </w:rPr>
        <w:t>In connection with the Quarterly Report on Form 10-Q of Tredegar Corporation (the “Company”) for the quarter ended March 31, 2024 as filed with the Securities and Exchange Commission on the date hereof (the “Report”), I, John M. Steitz, President and Chief Executive Officer of the Company, certify, pursuant to 18 U.S.C. § 1350, as adopted pursuant to § 906 of the Sarbanes-Oxley Act of 2002, that:</w:t>
      </w:r>
    </w:p>
    <w:p>
      <w:pPr>
        <w:spacing w:after="0" w:line="55" w:lineRule="exact"/>
        <w:rPr>
          <w:sz w:val="20"/>
          <w:szCs w:val="20"/>
          <w:color w:val="auto"/>
        </w:rPr>
      </w:pPr>
    </w:p>
    <w:p>
      <w:pPr>
        <w:ind w:left="900" w:hanging="251"/>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7" w:lineRule="exact"/>
        <w:rPr>
          <w:rFonts w:ascii="Times New Roman" w:cs="Times New Roman" w:eastAsia="Times New Roman" w:hAnsi="Times New Roman"/>
          <w:sz w:val="18"/>
          <w:szCs w:val="18"/>
          <w:color w:val="auto"/>
        </w:rPr>
      </w:pPr>
    </w:p>
    <w:p>
      <w:pPr>
        <w:ind w:left="900" w:hanging="251"/>
        <w:spacing w:after="0"/>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58" w:lineRule="exact"/>
        <w:rPr>
          <w:rFonts w:ascii="Times New Roman" w:cs="Times New Roman" w:eastAsia="Times New Roman" w:hAnsi="Times New Roman"/>
          <w:sz w:val="17"/>
          <w:szCs w:val="17"/>
          <w:color w:val="auto"/>
        </w:rPr>
      </w:pPr>
    </w:p>
    <w:p>
      <w:pPr>
        <w:ind w:left="20" w:right="996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 John M. Steitz John M. Steitz</w:t>
      </w:r>
    </w:p>
    <w:p>
      <w:pPr>
        <w:spacing w:after="0" w:line="1" w:lineRule="exact"/>
        <w:rPr>
          <w:rFonts w:ascii="Times New Roman" w:cs="Times New Roman" w:eastAsia="Times New Roman" w:hAnsi="Times New Roman"/>
          <w:sz w:val="17"/>
          <w:szCs w:val="17"/>
          <w:color w:val="auto"/>
        </w:rPr>
      </w:pPr>
    </w:p>
    <w:p>
      <w:pPr>
        <w:ind w:left="20" w:right="850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President and Chief Executive Officer (Principal Executive Officer)</w:t>
      </w:r>
    </w:p>
    <w:p>
      <w:pPr>
        <w:spacing w:after="0" w:line="1" w:lineRule="exact"/>
        <w:rPr>
          <w:rFonts w:ascii="Times New Roman" w:cs="Times New Roman" w:eastAsia="Times New Roman" w:hAnsi="Times New Roman"/>
          <w:sz w:val="17"/>
          <w:szCs w:val="17"/>
          <w:color w:val="auto"/>
        </w:rPr>
      </w:pPr>
    </w:p>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-572770</wp:posOffset>
            </wp:positionV>
            <wp:extent cx="27514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9" w:lineRule="exact"/>
        <w:rPr>
          <w:sz w:val="20"/>
          <w:szCs w:val="20"/>
          <w:color w:val="auto"/>
        </w:rPr>
      </w:pPr>
    </w:p>
    <w:p>
      <w:pPr>
        <w:ind w:right="340" w:firstLine="642"/>
        <w:spacing w:after="0" w:line="263" w:lineRule="auto"/>
        <w:rPr>
          <w:sz w:val="20"/>
          <w:szCs w:val="20"/>
          <w:color w:val="auto"/>
        </w:rPr>
      </w:pPr>
      <w:r>
        <w:rPr>
          <w:rFonts w:ascii="Times New Roman" w:cs="Times New Roman" w:eastAsia="Times New Roman" w:hAnsi="Times New Roman"/>
          <w:sz w:val="18"/>
          <w:szCs w:val="18"/>
          <w:color w:val="auto"/>
        </w:rPr>
        <w:t>In connection with the Quarterly Report on Form 10-Q of Tredegar Corporation (the “Company”) for the quarter ended March 31, 2024 as filed with the Securities and Exchange Commission on the date hereof (the “Report”), I, D. Andrew Edwards, Executive Vice President and Chief Financial Officer of the Company, certify, pursuant to 18 U.S.C. § 1350, as adopted pursuant to § 906 of the Sarbanes-Oxley Act of 2002, that:</w:t>
      </w:r>
    </w:p>
    <w:p>
      <w:pPr>
        <w:spacing w:after="0" w:line="55" w:lineRule="exact"/>
        <w:rPr>
          <w:sz w:val="20"/>
          <w:szCs w:val="20"/>
          <w:color w:val="auto"/>
        </w:rPr>
      </w:pPr>
    </w:p>
    <w:p>
      <w:pPr>
        <w:ind w:left="900" w:hanging="251"/>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7" w:lineRule="exact"/>
        <w:rPr>
          <w:rFonts w:ascii="Times New Roman" w:cs="Times New Roman" w:eastAsia="Times New Roman" w:hAnsi="Times New Roman"/>
          <w:sz w:val="18"/>
          <w:szCs w:val="18"/>
          <w:color w:val="auto"/>
        </w:rPr>
      </w:pPr>
    </w:p>
    <w:p>
      <w:pPr>
        <w:ind w:left="900" w:hanging="251"/>
        <w:spacing w:after="0"/>
        <w:tabs>
          <w:tab w:leader="none" w:pos="90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58" w:lineRule="exact"/>
        <w:rPr>
          <w:rFonts w:ascii="Times New Roman" w:cs="Times New Roman" w:eastAsia="Times New Roman" w:hAnsi="Times New Roman"/>
          <w:sz w:val="17"/>
          <w:szCs w:val="17"/>
          <w:color w:val="auto"/>
        </w:rPr>
      </w:pPr>
    </w:p>
    <w:p>
      <w:pPr>
        <w:ind w:left="20" w:right="954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 D. Andrew Edwards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27514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9, 2024</w:t>
      </w:r>
    </w:p>
    <w:sectPr>
      <w:pgSz w:w="11900" w:h="16838" w:orient="portrait"/>
      <w:cols w:equalWidth="0" w:num="1">
        <w:col w:w="11240"/>
      </w:cols>
      <w:pgMar w:left="320" w:top="8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0"/>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lvl w:ilvl="1">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lvl w:ilvl="1">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lvl w:ilvl="1">
      <w:lvlJc w:val="left"/>
      <w:lvlText w:val="%2."/>
      <w:numFmt w:val="lowerLetter"/>
      <w:start w:val="1"/>
    </w:lvl>
  </w:abstractNum>
  <w:abstractNum w:abstractNumId="19">
    <w:nsid w:val="75A2A8D4"/>
    <w:multiLevelType w:val="hybridMultilevel"/>
    <w:lvl w:ilvl="0">
      <w:lvlJc w:val="left"/>
      <w:lvlText w:val="%1."/>
      <w:numFmt w:val="decimal"/>
      <w:start w:val="5"/>
    </w:lvl>
    <w:lvl w:ilvl="1">
      <w:lvlJc w:val="left"/>
      <w:lvlText w:val="%2."/>
      <w:numFmt w:val="lowerLetter"/>
      <w:start w:val="1"/>
    </w:lvl>
  </w:abstractNum>
  <w:abstractNum w:abstractNumId="20">
    <w:nsid w:val="8EDBDAB"/>
    <w:multiLevelType w:val="hybridMultilevel"/>
    <w:lvl w:ilvl="0">
      <w:lvlJc w:val="left"/>
      <w:lvlText w:val="%1."/>
      <w:numFmt w:val="decimal"/>
      <w:start w:val="7"/>
    </w:lvl>
    <w:lvl w:ilvl="1">
      <w:lvlJc w:val="left"/>
      <w:lvlText w:val="%2."/>
      <w:numFmt w:val="lowerLetter"/>
      <w:start w:val="1"/>
    </w:lvl>
  </w:abstractNum>
  <w:abstractNum w:abstractNumId="21">
    <w:nsid w:val="79838CB2"/>
    <w:multiLevelType w:val="hybridMultilevel"/>
    <w:lvl w:ilvl="0">
      <w:lvlJc w:val="left"/>
      <w:lvlText w:val="%1."/>
      <w:numFmt w:val="decimal"/>
      <w:start w:val="11"/>
    </w:lvl>
    <w:lvl w:ilvl="1">
      <w:lvlJc w:val="left"/>
      <w:lvlText w:val="%2"/>
      <w:numFmt w:val="lowerLetter"/>
      <w:start w:val="1"/>
    </w:lvl>
  </w:abstractNum>
  <w:abstractNum w:abstractNumId="22">
    <w:nsid w:val="4353D0CD"/>
    <w:multiLevelType w:val="hybridMultilevel"/>
    <w:lvl w:ilvl="0">
      <w:lvlJc w:val="left"/>
      <w:lvlText w:val="%1."/>
      <w:numFmt w:val="lowerLetter"/>
      <w:start w:val="2"/>
    </w:lvl>
  </w:abstractNum>
  <w:abstractNum w:abstractNumId="23">
    <w:nsid w:val="B03E0C6"/>
    <w:multiLevelType w:val="hybridMultilevel"/>
    <w:lvl w:ilvl="0">
      <w:lvlJc w:val="left"/>
      <w:lvlText w:val="%1."/>
      <w:numFmt w:val="lowerLetter"/>
      <w:start w:val="8"/>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upp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64" Type="http://schemas.openxmlformats.org/officeDocument/2006/relationships/hyperlink" Target="https://www.sec.gov/ix?doc=/Archives/edgar/data/0000850429/000085042924000008/tg-202404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2024-05-09T07:26:45Z</dcterms:created>
  <dcterms:modified xsi:type="dcterms:W3CDTF">2024-05-09T07:26:45Z</dcterms:modified>
</cp:coreProperties>
</file>