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GOTTWALD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SOUTH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5"/>
        <w:gridCol w:w="904"/>
        <w:gridCol w:w="774"/>
        <w:gridCol w:w="600"/>
        <w:gridCol w:w="343"/>
        <w:gridCol w:w="827"/>
        <w:gridCol w:w="439"/>
        <w:gridCol w:w="792"/>
        <w:gridCol w:w="1260"/>
        <w:gridCol w:w="979"/>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1,917,639</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12,953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(1)</w:t>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847,470</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p>
        </w:tc>
      </w:tr>
      <w:tr>
        <w:trPr/>
        <w:tc>
          <w:tcPr>
            <w:tcW w:w="22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4,318</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8.118</w:t>
            </w:r>
            <w:r>
              <w:rPr>
                <w:rFonts w:ascii="Times;serif" w:hAnsi="Times;serif"/>
                <w:color w:val="008000"/>
                <w:position w:val="7"/>
                <w:sz w:val="16"/>
                <w:sz w:val="20"/>
                <w:shd w:fill="FFFFFF" w:val="clear"/>
              </w:rPr>
              <w:t>(5)</w:t>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361,921</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Owned by wife.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by the reporting person and James T Gottwald as trustees of the John D. Gottwald Family Trust FBO reporting person's children.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as co-trustee FBO (among others) reporting person's family u/w Floyd D. Gottwald.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as co-trustee of the Residual 10- Year CLAT UA FDGJR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sales price. The shares sold at prices ranging from $8.01 to $8.20.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 Gottwald, Attorney-in-fact for John D. Gottwald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451"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3847</Characters>
  <CharactersWithSpaces>4465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