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55880</wp:posOffset>
            </wp:positionV>
            <wp:extent cx="2386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85090</wp:posOffset>
            </wp:positionV>
            <wp:extent cx="2386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8" w:lineRule="exact"/>
        <w:rPr>
          <w:sz w:val="24"/>
          <w:szCs w:val="24"/>
          <w:color w:val="auto"/>
        </w:rPr>
      </w:pPr>
    </w:p>
    <w:p>
      <w:pPr>
        <w:ind w:left="680" w:right="100" w:hanging="459"/>
        <w:spacing w:after="0" w:line="253" w:lineRule="auto"/>
        <w:tabs>
          <w:tab w:leader="none" w:pos="68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8" w:lineRule="exact"/>
        <w:rPr>
          <w:sz w:val="24"/>
          <w:szCs w:val="24"/>
          <w:color w:val="auto"/>
        </w:rPr>
      </w:pPr>
    </w:p>
    <w:p>
      <w:pPr>
        <w:ind w:left="680" w:right="100" w:hanging="439"/>
        <w:spacing w:after="0" w:line="25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4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r>
      <w:tr>
        <w:trPr>
          <w:trHeight w:val="301"/>
        </w:trPr>
        <w:tc>
          <w:tcPr>
            <w:tcW w:w="320" w:type="dxa"/>
            <w:vAlign w:val="bottom"/>
          </w:tcPr>
          <w:p>
            <w:pPr>
              <w:spacing w:after="0"/>
              <w:rPr>
                <w:sz w:val="24"/>
                <w:szCs w:val="24"/>
                <w:color w:val="auto"/>
              </w:rPr>
            </w:pPr>
          </w:p>
        </w:tc>
        <w:tc>
          <w:tcPr>
            <w:tcW w:w="374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00" w:type="dxa"/>
            <w:vAlign w:val="bottom"/>
          </w:tcPr>
          <w:p>
            <w:pPr>
              <w:spacing w:after="0"/>
              <w:rPr>
                <w:sz w:val="24"/>
                <w:szCs w:val="24"/>
                <w:color w:val="auto"/>
              </w:rPr>
            </w:pPr>
          </w:p>
        </w:tc>
      </w:tr>
      <w:tr>
        <w:trPr>
          <w:trHeight w:val="100"/>
        </w:trPr>
        <w:tc>
          <w:tcPr>
            <w:tcW w:w="3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bl>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54610</wp:posOffset>
            </wp:positionV>
            <wp:extent cx="2386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4" w:lineRule="exact"/>
        <w:rPr>
          <w:sz w:val="24"/>
          <w:szCs w:val="24"/>
          <w:color w:val="auto"/>
        </w:rPr>
      </w:pPr>
    </w:p>
    <w:p>
      <w:pPr>
        <w:sectPr>
          <w:pgSz w:w="11900" w:h="16838" w:orient="portrait"/>
          <w:cols w:equalWidth="0" w:num="2">
            <w:col w:w="7360" w:space="720"/>
            <w:col w:w="3100"/>
          </w:cols>
          <w:pgMar w:left="320" w:top="761" w:right="39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1" w:lineRule="exact"/>
        <w:rPr>
          <w:sz w:val="24"/>
          <w:szCs w:val="24"/>
          <w:color w:val="auto"/>
        </w:rPr>
      </w:pPr>
    </w:p>
    <w:p>
      <w:pPr>
        <w:sectPr>
          <w:pgSz w:w="11900" w:h="16838" w:orient="portrait"/>
          <w:cols w:equalWidth="0" w:num="2">
            <w:col w:w="7220" w:space="720"/>
            <w:col w:w="3240"/>
          </w:cols>
          <w:pgMar w:left="320" w:top="761"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29" w:lineRule="exact"/>
        <w:rPr>
          <w:sz w:val="24"/>
          <w:szCs w:val="24"/>
          <w:color w:val="auto"/>
        </w:rPr>
      </w:pPr>
    </w:p>
    <w:p>
      <w:pPr>
        <w:sectPr>
          <w:pgSz w:w="11900" w:h="16838" w:orient="portrait"/>
          <w:cols w:equalWidth="0" w:num="2">
            <w:col w:w="8220" w:space="720"/>
            <w:col w:w="2240"/>
          </w:cols>
          <w:pgMar w:left="320" w:top="761" w:right="39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1" w:right="3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3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Trading</w:t>
            </w:r>
          </w:p>
        </w:tc>
        <w:tc>
          <w:tcPr>
            <w:tcW w:w="3360" w:type="dxa"/>
            <w:vAlign w:val="bottom"/>
          </w:tcPr>
          <w:p>
            <w:pPr>
              <w:spacing w:after="0"/>
              <w:rPr>
                <w:sz w:val="18"/>
                <w:szCs w:val="18"/>
                <w:color w:val="auto"/>
              </w:rPr>
            </w:pPr>
          </w:p>
        </w:tc>
      </w:tr>
      <w:tr>
        <w:trPr>
          <w:trHeight w:val="241"/>
        </w:trPr>
        <w:tc>
          <w:tcPr>
            <w:tcW w:w="30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6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8"/>
              </w:rPr>
              <w:t>Symbol(s)</w:t>
            </w:r>
          </w:p>
        </w:tc>
        <w:tc>
          <w:tcPr>
            <w:tcW w:w="33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1"/>
        </w:trPr>
        <w:tc>
          <w:tcPr>
            <w:tcW w:w="308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36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color w:val="auto"/>
                <w:w w:val="99"/>
              </w:rPr>
              <w:t>TG</w:t>
            </w:r>
          </w:p>
        </w:tc>
        <w:tc>
          <w:tcPr>
            <w:tcW w:w="33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387" w:lineRule="exact"/>
        <w:rPr>
          <w:sz w:val="24"/>
          <w:szCs w:val="24"/>
          <w:color w:val="auto"/>
        </w:rPr>
      </w:pPr>
    </w:p>
    <w:p>
      <w:pPr>
        <w:ind w:right="320" w:firstLine="40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firstLine="441"/>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right="340" w:firstLine="441"/>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1" w:right="39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42" w:lineRule="exact"/>
        <w:rPr>
          <w:sz w:val="24"/>
          <w:szCs w:val="24"/>
          <w:color w:val="auto"/>
        </w:rPr>
      </w:pPr>
    </w:p>
    <w:p>
      <w:pPr>
        <w:sectPr>
          <w:pgSz w:w="11900" w:h="16838" w:orient="portrait"/>
          <w:cols w:equalWidth="0" w:num="6">
            <w:col w:w="1560" w:space="720"/>
            <w:col w:w="2200" w:space="720"/>
            <w:col w:w="1400" w:space="720"/>
            <w:col w:w="180" w:space="120"/>
            <w:col w:w="2100" w:space="720"/>
            <w:col w:w="740"/>
          </w:cols>
          <w:pgMar w:left="320" w:top="761" w:right="39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560" w:space="720"/>
            <w:col w:w="4620" w:space="720"/>
            <w:col w:w="2020" w:space="720"/>
            <w:col w:w="820"/>
          </w:cols>
          <w:pgMar w:left="320" w:top="761" w:right="399" w:bottom="1440" w:gutter="0" w:footer="0" w:header="0"/>
          <w:type w:val="continuous"/>
        </w:sectPr>
      </w:pPr>
    </w:p>
    <w:p>
      <w:pPr>
        <w:ind w:right="220" w:firstLine="40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left="440" w:right="2220"/>
        <w:spacing w:after="0" w:line="2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August 2, 2024: 34,510,556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433070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Tredegar Corporation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5"/>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460" w:type="dxa"/>
            <w:vAlign w:val="bottom"/>
            <w:gridSpan w:val="3"/>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Income (Loss) (unaudited)</w:t>
            </w:r>
          </w:p>
        </w:tc>
        <w:tc>
          <w:tcPr>
            <w:tcW w:w="458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Income (Loss) (unaudited)</w:t>
            </w:r>
          </w:p>
        </w:tc>
        <w:tc>
          <w:tcPr>
            <w:tcW w:w="34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478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the Condensed Consolidated Financial Statements (unaudited)</w:t>
            </w:r>
          </w:p>
        </w:tc>
        <w:tc>
          <w:tcPr>
            <w:tcW w:w="100" w:type="dxa"/>
            <w:vAlign w:val="bottom"/>
            <w:tcBorders>
              <w:top w:val="single" w:sz="8" w:color="0000FF"/>
            </w:tcBorders>
          </w:tcPr>
          <w:p>
            <w:pPr>
              <w:spacing w:after="0"/>
              <w:rPr>
                <w:sz w:val="18"/>
                <w:szCs w:val="18"/>
                <w:color w:val="auto"/>
              </w:rPr>
            </w:pPr>
          </w:p>
        </w:tc>
        <w:tc>
          <w:tcPr>
            <w:tcW w:w="414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r>
              <w:rPr>
                <w:rFonts w:ascii="Times New Roman" w:cs="Times New Roman" w:eastAsia="Times New Roman" w:hAnsi="Times New Roman"/>
                <w:sz w:val="18"/>
                <w:szCs w:val="18"/>
                <w:color w:val="000000"/>
              </w:rPr>
              <w:t>.</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20" w:type="dxa"/>
            <w:vAlign w:val="bottom"/>
            <w:gridSpan w:val="14"/>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r>
      <w:tr>
        <w:trPr>
          <w:trHeight w:val="99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83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7"/>
              </w:rPr>
              <w:t>December 31,</w:t>
            </w:r>
          </w:p>
        </w:tc>
      </w:tr>
      <w:tr>
        <w:trPr>
          <w:trHeight w:val="232"/>
        </w:trPr>
        <w:tc>
          <w:tcPr>
            <w:tcW w:w="8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27"/>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83,895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67,938</w:t>
            </w:r>
          </w:p>
        </w:tc>
      </w:tr>
      <w:tr>
        <w:trPr>
          <w:trHeight w:val="227"/>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89,242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82,037</w:t>
            </w:r>
          </w:p>
        </w:tc>
      </w:tr>
      <w:tr>
        <w:trPr>
          <w:trHeight w:val="227"/>
        </w:trPr>
        <w:tc>
          <w:tcPr>
            <w:tcW w:w="83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8,170</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1"/>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190,765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176,677</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538,181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541,046</w:t>
            </w:r>
          </w:p>
        </w:tc>
      </w:tr>
      <w:tr>
        <w:trPr>
          <w:trHeight w:val="227"/>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(366,336)</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(357,591)</w:t>
            </w:r>
          </w:p>
        </w:tc>
      </w:tr>
      <w:tr>
        <w:trPr>
          <w:trHeight w:val="221"/>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171,845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183,455</w:t>
            </w: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16,209</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8,811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35,717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r>
      <w:tr>
        <w:trPr>
          <w:trHeight w:val="227"/>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27"/>
        </w:trPr>
        <w:tc>
          <w:tcPr>
            <w:tcW w:w="8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450,412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446,461</w:t>
            </w: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95,023</w:t>
            </w:r>
          </w:p>
        </w:tc>
      </w:tr>
      <w:tr>
        <w:trPr>
          <w:trHeight w:val="227"/>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27,015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27"/>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ABL revolving facility (matures June 30, 2026)</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122,000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126,322</w:t>
            </w:r>
          </w:p>
        </w:tc>
      </w:tr>
      <w:tr>
        <w:trPr>
          <w:trHeight w:val="227"/>
        </w:trPr>
        <w:tc>
          <w:tcPr>
            <w:tcW w:w="83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1"/>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245,155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249,104</w:t>
            </w: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14,610</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6,524</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r>
      <w:tr>
        <w:trPr>
          <w:trHeight w:val="227"/>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4,159</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1"/>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290,448</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290,808</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4"/>
        </w:trPr>
        <w:tc>
          <w:tcPr>
            <w:tcW w:w="83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stock, no par value (authorized shares 150,000,000, issued and outstanding 34,484,893 shares at June 30,</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34,408,638 shares at December 31, 2023)</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62,493</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61,606</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held in trust for savings restoration plan (118,543 shares at June 30, 2024 and December 31, 2023)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7"/>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(83,037)</w:t>
            </w:r>
          </w:p>
        </w:tc>
      </w:tr>
      <w:tr>
        <w:trPr>
          <w:trHeight w:val="227"/>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7"/>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3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7"/>
        </w:trPr>
        <w:tc>
          <w:tcPr>
            <w:tcW w:w="83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190,057</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w:t>
            </w:r>
          </w:p>
        </w:tc>
      </w:tr>
      <w:tr>
        <w:trPr>
          <w:trHeight w:val="221"/>
        </w:trPr>
        <w:tc>
          <w:tcPr>
            <w:tcW w:w="8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159,964</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155,653</w:t>
            </w:r>
          </w:p>
        </w:tc>
      </w:tr>
      <w:tr>
        <w:trPr>
          <w:trHeight w:val="227"/>
        </w:trPr>
        <w:tc>
          <w:tcPr>
            <w:tcW w:w="83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450,412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446,461</w:t>
            </w: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400" w:top="599" w:right="4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5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5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190,235</w:t>
            </w:r>
          </w:p>
        </w:tc>
        <w:tc>
          <w:tcPr>
            <w:tcW w:w="4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178,167</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365,971</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369,289</w:t>
            </w:r>
          </w:p>
        </w:tc>
      </w:tr>
      <w:tr>
        <w:trPr>
          <w:trHeight w:val="227"/>
        </w:trPr>
        <w:tc>
          <w:tcPr>
            <w:tcW w:w="5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1"/>
        </w:trPr>
        <w:tc>
          <w:tcPr>
            <w:tcW w:w="5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178,147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366,302</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369,549</w:t>
            </w:r>
          </w:p>
        </w:tc>
      </w:tr>
      <w:tr>
        <w:trPr>
          <w:trHeight w:val="22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148,666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153,267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290,708</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312,792</w:t>
            </w:r>
          </w:p>
        </w:tc>
      </w:tr>
      <w:tr>
        <w:trPr>
          <w:trHeight w:val="22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Freight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4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7,199</w:t>
            </w: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13,748</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16,889</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38,144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35,894</w:t>
            </w:r>
          </w:p>
        </w:tc>
      </w:tr>
      <w:tr>
        <w:trPr>
          <w:trHeight w:val="22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1,376</w:t>
            </w: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3,418</w:t>
            </w: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r>
      <w:tr>
        <w:trPr>
          <w:trHeight w:val="182"/>
        </w:trPr>
        <w:tc>
          <w:tcPr>
            <w:tcW w:w="556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auto"/>
                <w:w w:val="99"/>
              </w:rPr>
              <w:t>Asset impairments and costs associated with exit and disposal activities,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2"/>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adjustments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7"/>
        </w:trPr>
        <w:tc>
          <w:tcPr>
            <w:tcW w:w="5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15,413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r>
      <w:tr>
        <w:trPr>
          <w:trHeight w:val="221"/>
        </w:trPr>
        <w:tc>
          <w:tcPr>
            <w:tcW w:w="5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179,798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200,400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351,597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392,483</w:t>
            </w:r>
          </w:p>
        </w:tc>
      </w:tr>
      <w:tr>
        <w:trPr>
          <w:trHeight w:val="22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14,705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4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12,080</w:t>
            </w:r>
          </w:p>
        </w:tc>
        <w:tc>
          <w:tcPr>
            <w:tcW w:w="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254"/>
        </w:trPr>
        <w:tc>
          <w:tcPr>
            <w:tcW w:w="5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54"/>
        </w:trPr>
        <w:tc>
          <w:tcPr>
            <w:tcW w:w="5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4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34,079</w:t>
            </w: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34,350</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r>
      <w:tr>
        <w:trPr>
          <w:trHeight w:val="22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34,079</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34,350</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98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32"/>
        </w:trPr>
        <w:tc>
          <w:tcPr>
            <w:tcW w:w="8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8,792</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r>
      <w:tr>
        <w:trPr>
          <w:trHeight w:val="227"/>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4"/>
        </w:trPr>
        <w:tc>
          <w:tcPr>
            <w:tcW w:w="8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benefit of $691 in 2024 and net of tax expense of $179 in</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$253 in 2024 and net of tax expense of $500 in 2023)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174"/>
        </w:trPr>
        <w:tc>
          <w:tcPr>
            <w:tcW w:w="8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benefit of $8 in 2024 and net of tax expense of $637 in</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21"/>
        </w:trPr>
        <w:tc>
          <w:tcPr>
            <w:tcW w:w="8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r>
      <w:tr>
        <w:trPr>
          <w:trHeight w:val="227"/>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2,615</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368"/>
        </w:trPr>
        <w:tc>
          <w:tcPr>
            <w:tcW w:w="8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r>
      <w:tr>
        <w:trPr>
          <w:trHeight w:val="222"/>
        </w:trPr>
        <w:tc>
          <w:tcPr>
            <w:tcW w:w="8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w w:val="98"/>
              </w:rPr>
              <w:t>Six Months Ended June 30,</w:t>
            </w:r>
          </w:p>
        </w:tc>
      </w:tr>
      <w:tr>
        <w:trPr>
          <w:trHeight w:val="232"/>
        </w:trPr>
        <w:tc>
          <w:tcPr>
            <w:tcW w:w="8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12,080</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227"/>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4"/>
        </w:trPr>
        <w:tc>
          <w:tcPr>
            <w:tcW w:w="8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benefit of $470 in 2024 and net of tax expense of $615 in</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$393 in 2024 and net of tax expense of $1,336 in 2023)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174"/>
        </w:trPr>
        <w:tc>
          <w:tcPr>
            <w:tcW w:w="8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benefit of $16 in 2024 and net of tax expense of $1,274</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2023)</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21"/>
        </w:trPr>
        <w:tc>
          <w:tcPr>
            <w:tcW w:w="8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27"/>
        </w:trPr>
        <w:tc>
          <w:tcPr>
            <w:tcW w:w="8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3,424</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0827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2790" cy="17145"/>
                    </a:xfrm>
                    <a:prstGeom prst="rect">
                      <a:avLst/>
                    </a:prstGeom>
                    <a:noFill/>
                  </pic:spPr>
                </pic:pic>
              </a:graphicData>
            </a:graphic>
          </wp:anchor>
        </w:drawing>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Six Months Ended June</w:t>
      </w:r>
    </w:p>
    <w:p>
      <w:pPr>
        <w:jc w:val="center"/>
        <w:ind w:left="9240"/>
        <w:spacing w:after="0"/>
        <w:rPr>
          <w:sz w:val="20"/>
          <w:szCs w:val="20"/>
          <w:color w:val="auto"/>
        </w:rPr>
      </w:pPr>
      <w:r>
        <w:rPr>
          <w:rFonts w:ascii="Times New Roman" w:cs="Times New Roman" w:eastAsia="Times New Roman" w:hAnsi="Times New Roman"/>
          <w:sz w:val="18"/>
          <w:szCs w:val="18"/>
          <w:color w:val="auto"/>
        </w:rPr>
        <w:t>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12,357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43,013</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liability</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7"/>
        </w:trPr>
        <w:tc>
          <w:tcPr>
            <w:tcW w:w="7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1"/>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w:t>
            </w: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340,818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principal payments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(345,140)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27"/>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financing costs</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7"/>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1"/>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27"/>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13,455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2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21,193</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60" w:top="879"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June 30,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w w:val="99"/>
              </w:rPr>
              <w:t>Comprehensive</w:t>
            </w:r>
          </w:p>
        </w:tc>
        <w:tc>
          <w:tcPr>
            <w:tcW w:w="220" w:type="dxa"/>
            <w:vAlign w:val="bottom"/>
          </w:tcPr>
          <w:p>
            <w:pPr>
              <w:spacing w:after="0"/>
              <w:rPr>
                <w:sz w:val="16"/>
                <w:szCs w:val="16"/>
                <w:color w:val="auto"/>
              </w:rPr>
            </w:pPr>
          </w:p>
        </w:tc>
        <w:tc>
          <w:tcPr>
            <w:tcW w:w="122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1, 2024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156,815</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62,493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six month period ended June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880" w:type="dxa"/>
            <w:vAlign w:val="bottom"/>
          </w:tcPr>
          <w:p>
            <w:pPr>
              <w:jc w:val="right"/>
              <w:ind w:right="111"/>
              <w:spacing w:after="0" w:line="188"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12,080</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3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62,493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190,057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June 30,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1"/>
              <w:spacing w:after="0" w:line="188"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6"/>
                <w:szCs w:val="16"/>
                <w:color w:val="auto"/>
              </w:rPr>
            </w:pPr>
          </w:p>
        </w:tc>
        <w:tc>
          <w:tcPr>
            <w:tcW w:w="10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59,423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287,308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201,609</w:t>
            </w:r>
          </w:p>
        </w:tc>
        <w:tc>
          <w:tcPr>
            <w:tcW w:w="0" w:type="dxa"/>
            <w:vAlign w:val="bottom"/>
          </w:tcPr>
          <w:p>
            <w:pPr>
              <w:spacing w:after="0"/>
              <w:rPr>
                <w:sz w:val="1"/>
                <w:szCs w:val="1"/>
                <w:color w:val="auto"/>
              </w:rPr>
            </w:pPr>
          </w:p>
        </w:tc>
      </w:tr>
      <w:tr>
        <w:trPr>
          <w:trHeight w:val="221"/>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74"/>
        </w:trPr>
        <w:tc>
          <w:tcPr>
            <w:tcW w:w="47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Tredegar common stock purchased by trust for savings restoration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263,933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183,149</w:t>
            </w:r>
          </w:p>
        </w:tc>
        <w:tc>
          <w:tcPr>
            <w:tcW w:w="0" w:type="dxa"/>
            <w:vAlign w:val="bottom"/>
          </w:tcPr>
          <w:p>
            <w:pPr>
              <w:spacing w:after="0"/>
              <w:rPr>
                <w:sz w:val="1"/>
                <w:szCs w:val="1"/>
                <w:color w:val="auto"/>
              </w:rPr>
            </w:pPr>
          </w:p>
        </w:tc>
      </w:tr>
      <w:tr>
        <w:trPr>
          <w:trHeight w:val="856"/>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six month period ended June 30,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1"/>
              <w:spacing w:after="0" w:line="179"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1"/>
              <w:spacing w:after="0" w:line="174"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1"/>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4,573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82"/>
        </w:trPr>
        <w:tc>
          <w:tcPr>
            <w:tcW w:w="4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Tredegar common stock purchased by trust for savings restoration</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60,078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263,933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183,149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05"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June 30, 2024, the condensed consolidated results of operations for the three and six months ended June 30, 2024 and 2023, the condensed consolidated cash flows for the six months ended June 30, 2024 and 2023, and the condensed consolidated changes in shareholders’ equity for the six months ended June 30, 2024 and 2023, in accordance with U.S. generally accepted accounting principles (“GAAP”). All such adjustments, unless otherwise detailed in the notes to the condensed consolidated financial statements, are deemed to be of a normal, recurring nature.</w:t>
      </w:r>
    </w:p>
    <w:p>
      <w:pPr>
        <w:spacing w:after="0" w:line="50"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second quarter for 2024 and 2023 for this segment references 13-week periods ended June 30, 2024 and June 25, 2023,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w:t>
      </w:r>
    </w:p>
    <w:p>
      <w:pPr>
        <w:spacing w:after="0" w:line="64" w:lineRule="exact"/>
        <w:rPr>
          <w:sz w:val="20"/>
          <w:szCs w:val="20"/>
          <w:color w:val="auto"/>
        </w:rPr>
      </w:pPr>
    </w:p>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2023 that is included herein was derived from the audited consolidated financial statements provided in the Company’s Annual Report on Form 10-K for the year ended December 31, 2023 (“2023 Form 10-K”) but does not include all disclosures required by GAAP. These financial statements should be read in conjunction with the audited consolidated financial statements and related notes included in the 2023 Form 10-K.</w:t>
      </w:r>
    </w:p>
    <w:p>
      <w:pPr>
        <w:spacing w:after="0" w:line="46" w:lineRule="exact"/>
        <w:rPr>
          <w:sz w:val="20"/>
          <w:szCs w:val="20"/>
          <w:color w:val="auto"/>
        </w:rPr>
      </w:pPr>
    </w:p>
    <w:p>
      <w:pPr>
        <w:ind w:right="60" w:firstLine="401"/>
        <w:spacing w:after="0" w:line="356" w:lineRule="auto"/>
        <w:rPr>
          <w:sz w:val="20"/>
          <w:szCs w:val="20"/>
          <w:color w:val="auto"/>
        </w:rPr>
      </w:pPr>
      <w:r>
        <w:rPr>
          <w:rFonts w:ascii="Times New Roman" w:cs="Times New Roman" w:eastAsia="Times New Roman" w:hAnsi="Times New Roman"/>
          <w:sz w:val="18"/>
          <w:szCs w:val="18"/>
          <w:color w:val="auto"/>
        </w:rPr>
        <w:t xml:space="preserve">The results of operations for the three and six months ended June 30, 2024, are not necessarily indicative of the results to be expected for the full year. </w:t>
      </w:r>
      <w:r>
        <w:rPr>
          <w:rFonts w:ascii="Times New Roman" w:cs="Times New Roman" w:eastAsia="Times New Roman" w:hAnsi="Times New Roman"/>
          <w:sz w:val="18"/>
          <w:szCs w:val="18"/>
          <w:b w:val="1"/>
          <w:bCs w:val="1"/>
          <w:i w:val="1"/>
          <w:iCs w:val="1"/>
          <w:color w:val="auto"/>
        </w:rPr>
        <w:t>Sale of Flexible Packaging Films</w:t>
      </w:r>
    </w:p>
    <w:p>
      <w:pPr>
        <w:spacing w:after="0" w:line="1" w:lineRule="exact"/>
        <w:rPr>
          <w:sz w:val="20"/>
          <w:szCs w:val="20"/>
          <w:color w:val="auto"/>
        </w:rPr>
      </w:pPr>
    </w:p>
    <w:p>
      <w:pPr>
        <w:ind w:right="40" w:firstLine="401"/>
        <w:spacing w:after="0" w:line="258"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its Flexible Packaging Films business (also referred to as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w:t>
      </w:r>
    </w:p>
    <w:p>
      <w:pPr>
        <w:spacing w:after="0" w:line="46" w:lineRule="exact"/>
        <w:rPr>
          <w:sz w:val="20"/>
          <w:szCs w:val="20"/>
          <w:color w:val="auto"/>
        </w:rPr>
      </w:pPr>
    </w:p>
    <w:p>
      <w:pPr>
        <w:ind w:right="120" w:firstLine="401"/>
        <w:spacing w:after="0" w:line="253" w:lineRule="auto"/>
        <w:rPr>
          <w:sz w:val="20"/>
          <w:szCs w:val="20"/>
          <w:color w:val="auto"/>
        </w:rPr>
      </w:pPr>
      <w:r>
        <w:rPr>
          <w:rFonts w:ascii="Times New Roman" w:cs="Times New Roman" w:eastAsia="Times New Roman" w:hAnsi="Times New Roman"/>
          <w:sz w:val="18"/>
          <w:szCs w:val="18"/>
          <w:color w:val="auto"/>
        </w:rPr>
        <w:t>As part of the Brazilian merger review process regarding the sale of Terphane to Oben Group, on May 13, 2024, the General Superintendence of the Administrative Council for Economic Defense ("SG-CADE") issued a non-binding opinion ("SG Opinion") recommending the rejection of the transaction. Following this first stage of the two-stage Brazilian merger review process for complex transactions, the case has been submitted to the CADE Tribunal, in accordance with the customary Brazilian merger review process. The parties are given a full opportunity to present evidence in favor of clearing the transaction. The final decision regarding the transaction will eventually be rendered by the Tribunal, which has begun its independent analysis. CADE's maximum deadline for completing its review is no later than November 18, 2024. The Colombian authority cleared the merger review regarding the transaction in early February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PE Films Technical Center</w:t>
      </w:r>
    </w:p>
    <w:p>
      <w:pPr>
        <w:spacing w:after="0" w:line="105" w:lineRule="exact"/>
        <w:rPr>
          <w:sz w:val="20"/>
          <w:szCs w:val="20"/>
          <w:color w:val="auto"/>
        </w:rPr>
      </w:pPr>
    </w:p>
    <w:p>
      <w:pPr>
        <w:ind w:right="20" w:firstLine="401"/>
        <w:spacing w:after="0" w:line="254"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Future research &amp; development activities for PE Films will be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 The Company recognized expense incurred through June 30, 2024 associated with the exit activities of $0.2 million for building closure costs. In addition, the Company recognized a non-cash loss on the lease abandonment ($0.3 million).</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Financing</w:t>
      </w:r>
    </w:p>
    <w:p>
      <w:pPr>
        <w:spacing w:after="0" w:line="91" w:lineRule="exact"/>
        <w:rPr>
          <w:sz w:val="20"/>
          <w:szCs w:val="20"/>
          <w:color w:val="auto"/>
        </w:rPr>
      </w:pPr>
    </w:p>
    <w:p>
      <w:pPr>
        <w:ind w:right="540" w:firstLine="401"/>
        <w:spacing w:after="0" w:line="278" w:lineRule="auto"/>
        <w:rPr>
          <w:sz w:val="20"/>
          <w:szCs w:val="20"/>
          <w:color w:val="auto"/>
        </w:rPr>
      </w:pPr>
      <w:r>
        <w:rPr>
          <w:rFonts w:ascii="Times New Roman" w:cs="Times New Roman" w:eastAsia="Times New Roman" w:hAnsi="Times New Roman"/>
          <w:sz w:val="18"/>
          <w:szCs w:val="18"/>
          <w:color w:val="auto"/>
        </w:rPr>
        <w:t>As of June 30, 2024 and December 31, 2023, $6.8 million and $15.8 million, respectively, of the Company’s accounts payable were financed by participating suppliers through third-party financial institutions.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05" w:lineRule="exact"/>
        <w:rPr>
          <w:sz w:val="20"/>
          <w:szCs w:val="20"/>
          <w:color w:val="auto"/>
        </w:rPr>
      </w:pPr>
    </w:p>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As of June 30, 2023, the Company’s reporting units with goodwill were Surface Protection in PE Films ("Surface Protection") and Futura in Aluminum Extrusions (“Futura”). No events or circumstances were identified during the second quarter of 2023 that indicated that Futura’s fair value was more likely than not less than its carrying amount.</w:t>
      </w:r>
    </w:p>
    <w:p>
      <w:pPr>
        <w:spacing w:after="0" w:line="46" w:lineRule="exact"/>
        <w:rPr>
          <w:sz w:val="20"/>
          <w:szCs w:val="20"/>
          <w:color w:val="auto"/>
        </w:rPr>
      </w:pPr>
    </w:p>
    <w:p>
      <w:pPr>
        <w:ind w:right="80" w:firstLine="401"/>
        <w:spacing w:after="0" w:line="255" w:lineRule="auto"/>
        <w:rPr>
          <w:sz w:val="20"/>
          <w:szCs w:val="20"/>
          <w:color w:val="auto"/>
        </w:rPr>
      </w:pPr>
      <w:r>
        <w:rPr>
          <w:rFonts w:ascii="Times New Roman" w:cs="Times New Roman" w:eastAsia="Times New Roman" w:hAnsi="Times New Roman"/>
          <w:sz w:val="18"/>
          <w:szCs w:val="18"/>
          <w:color w:val="auto"/>
        </w:rPr>
        <w:t>However, manufacturers in the supply chain for consumer electronics continue to experience reduced capacity utilization and inventory corrections. In light of the continued uncertainty about the timing of a recovery for this market and the expected adverse future impact to the Surface Protection business, the Company performed a Step 1 goodwill impairment analysis of the Surface Protection component of PE Films using projections that contemplate the expected market recovery and business conditions, as these events indicated Surface Protection’s fair value was more likely than not less than its carrying amount.</w:t>
      </w:r>
    </w:p>
    <w:p>
      <w:pPr>
        <w:spacing w:after="0" w:line="64" w:lineRule="exact"/>
        <w:rPr>
          <w:sz w:val="20"/>
          <w:szCs w:val="20"/>
          <w:color w:val="auto"/>
        </w:rPr>
      </w:pPr>
    </w:p>
    <w:p>
      <w:pPr>
        <w:ind w:right="120" w:firstLine="401"/>
        <w:spacing w:after="0" w:line="255" w:lineRule="auto"/>
        <w:rPr>
          <w:sz w:val="20"/>
          <w:szCs w:val="20"/>
          <w:color w:val="auto"/>
        </w:rPr>
      </w:pPr>
      <w:r>
        <w:rPr>
          <w:rFonts w:ascii="Times New Roman" w:cs="Times New Roman" w:eastAsia="Times New Roman" w:hAnsi="Times New Roman"/>
          <w:sz w:val="18"/>
          <w:szCs w:val="18"/>
          <w:color w:val="auto"/>
        </w:rPr>
        <w:t>The Company estimated the fair value of Surface Protection at June 30, 2023 by: (i) computing an estimated enterprise value (“EV”) utilizing the discounted cash flow method (the “DCF Method”), (ii) applying adjustments for any surplus or deficient working capital, (iii) adding cash and cash equivalents, and (iv) subtracting interest-bearing debt. The DCF Method was used since Surface Protection’s projections reflect the expected recovery from the weak market demand, competitive pricing and cash flows associated with new surface protection products, applications, customers, production efficiencies, and cost savings.</w:t>
      </w:r>
    </w:p>
    <w:p>
      <w:pPr>
        <w:spacing w:after="0" w:line="64" w:lineRule="exact"/>
        <w:rPr>
          <w:sz w:val="20"/>
          <w:szCs w:val="20"/>
          <w:color w:val="auto"/>
        </w:rPr>
      </w:pPr>
    </w:p>
    <w:p>
      <w:pPr>
        <w:jc w:val="both"/>
        <w:ind w:right="580" w:firstLine="401"/>
        <w:spacing w:after="0" w:line="285" w:lineRule="auto"/>
        <w:rPr>
          <w:sz w:val="20"/>
          <w:szCs w:val="20"/>
          <w:color w:val="auto"/>
        </w:rPr>
      </w:pPr>
      <w:r>
        <w:rPr>
          <w:rFonts w:ascii="Times New Roman" w:cs="Times New Roman" w:eastAsia="Times New Roman" w:hAnsi="Times New Roman"/>
          <w:sz w:val="17"/>
          <w:szCs w:val="17"/>
          <w:color w:val="auto"/>
        </w:rPr>
        <w:t>The analysis concluded that the fair value of Surface Protection was less than its carrying value, thus a non-cash partial goodwill impairment of $15.4 million ($11.9 million after deferred income tax benefits) was recognized during the second quarter of 2023. No events or circumstances were identified during the second quarter of 2024 that indicate that Surface Protection's fair value is more likely than not less than its carrying amount.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05"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4"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 and requirements, primarily through the enhanced disclosures about significant segment expenses. ASU 2023-07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ASU is effective for fiscal years beginning after December 15, 2023 and interim period beginning after December 15, 2024, with early adoption permitted. The amendments in this ASU are to be applied retrospectively to all prior periods presented in the financial statements. The Company has three reportable segments and continues to evaluate additional disclosures that may be required in its Form 10-K for the year ended December 31, 2024.</w:t>
      </w:r>
    </w:p>
    <w:p>
      <w:pPr>
        <w:spacing w:after="0" w:line="51" w:lineRule="exact"/>
        <w:rPr>
          <w:sz w:val="20"/>
          <w:szCs w:val="20"/>
          <w:color w:val="auto"/>
        </w:rPr>
      </w:pPr>
    </w:p>
    <w:p>
      <w:pPr>
        <w:ind w:right="120" w:firstLine="401"/>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 adoption is permitted. The Company is currently evaluating the impact of this standard on our consolidated financial statements and related disclosures.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2024 and December 31, 2023, accounts and other receivables, net include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82,854</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67,183</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21"/>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8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85,255</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70,239</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1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7"/>
        </w:trPr>
        <w:tc>
          <w:tcPr>
            <w:tcW w:w="5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8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83,895</w:t>
            </w:r>
          </w:p>
        </w:tc>
        <w:tc>
          <w:tcPr>
            <w:tcW w:w="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67,938</w:t>
            </w:r>
          </w:p>
        </w:tc>
      </w:tr>
      <w:tr>
        <w:trPr>
          <w:trHeight w:val="402"/>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4"/>
        </w:trPr>
        <w:tc>
          <w:tcPr>
            <w:tcW w:w="5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2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r>
      <w:tr>
        <w:trPr>
          <w:trHeight w:val="227"/>
        </w:trPr>
        <w:tc>
          <w:tcPr>
            <w:tcW w:w="5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89,242</w:t>
            </w:r>
          </w:p>
        </w:tc>
        <w:tc>
          <w:tcPr>
            <w:tcW w:w="3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82,037</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91" w:lineRule="exact"/>
        <w:rPr>
          <w:sz w:val="20"/>
          <w:szCs w:val="20"/>
          <w:color w:val="auto"/>
        </w:rPr>
      </w:pPr>
    </w:p>
    <w:p>
      <w:pPr>
        <w:ind w:right="120" w:firstLine="401"/>
        <w:spacing w:after="0" w:line="254"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pre-tax pension settlement loss of $92.3 million.</w:t>
      </w:r>
    </w:p>
    <w:p>
      <w:pPr>
        <w:spacing w:after="0" w:line="50" w:lineRule="exact"/>
        <w:rPr>
          <w:sz w:val="20"/>
          <w:szCs w:val="20"/>
          <w:color w:val="auto"/>
        </w:rPr>
      </w:pPr>
    </w:p>
    <w:p>
      <w:pPr>
        <w:ind w:right="160" w:firstLine="401"/>
        <w:spacing w:after="0" w:line="247"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six months ended June 30, 2024 and 2023. This information has been included in the pension benefit table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 w:name="page12"/>
    <w:bookmarkEnd w:id="11"/>
    <w:p>
      <w:pPr>
        <w:ind w:right="680" w:firstLine="401"/>
        <w:spacing w:after="0" w:line="274"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and six months ended June 30, 2024 and 2023, are shown below:</w:t>
      </w:r>
    </w:p>
    <w:tbl>
      <w:tblPr>
        <w:tblLayout w:type="fixed"/>
        <w:tblInd w:w="0" w:type="dxa"/>
        <w:tblCellMar>
          <w:top w:w="0" w:type="dxa"/>
          <w:left w:w="0" w:type="dxa"/>
          <w:bottom w:w="0" w:type="dxa"/>
          <w:right w:w="0" w:type="dxa"/>
        </w:tblCellMar>
      </w:tblPr>
      <w:tr>
        <w:trPr>
          <w:trHeight w:val="181"/>
        </w:trPr>
        <w:tc>
          <w:tcPr>
            <w:tcW w:w="6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tcPr>
          <w:p>
            <w:pPr>
              <w:jc w:val="center"/>
              <w:ind w:right="31"/>
              <w:spacing w:after="0" w:line="181"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1"/>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120" w:type="dxa"/>
            <w:vAlign w:val="bottom"/>
          </w:tcPr>
          <w:p>
            <w:pPr>
              <w:spacing w:after="0"/>
              <w:rPr>
                <w:sz w:val="20"/>
                <w:szCs w:val="20"/>
                <w:color w:val="auto"/>
              </w:rPr>
            </w:pPr>
          </w:p>
        </w:tc>
        <w:tc>
          <w:tcPr>
            <w:tcW w:w="1340" w:type="dxa"/>
            <w:vAlign w:val="bottom"/>
            <w:gridSpan w:val="2"/>
          </w:tcPr>
          <w:p>
            <w:pPr>
              <w:jc w:val="center"/>
              <w:ind w:left="551"/>
              <w:spacing w:after="0"/>
              <w:rPr>
                <w:sz w:val="20"/>
                <w:szCs w:val="20"/>
                <w:color w:val="auto"/>
              </w:rPr>
            </w:pPr>
            <w:r>
              <w:rPr>
                <w:rFonts w:ascii="Times New Roman" w:cs="Times New Roman" w:eastAsia="Times New Roman" w:hAnsi="Times New Roman"/>
                <w:sz w:val="18"/>
                <w:szCs w:val="18"/>
                <w:color w:val="auto"/>
                <w:w w:val="96"/>
              </w:rPr>
              <w:t>Benefits</w:t>
            </w:r>
          </w:p>
        </w:tc>
        <w:tc>
          <w:tcPr>
            <w:tcW w:w="760" w:type="dxa"/>
            <w:vAlign w:val="bottom"/>
          </w:tcPr>
          <w:p>
            <w:pPr>
              <w:spacing w:after="0"/>
              <w:rPr>
                <w:sz w:val="20"/>
                <w:szCs w:val="20"/>
                <w:color w:val="auto"/>
              </w:rPr>
            </w:pPr>
          </w:p>
        </w:tc>
      </w:tr>
      <w:tr>
        <w:trPr>
          <w:trHeight w:val="221"/>
        </w:trPr>
        <w:tc>
          <w:tcPr>
            <w:tcW w:w="6700" w:type="dxa"/>
            <w:vAlign w:val="bottom"/>
          </w:tcPr>
          <w:p>
            <w:pPr>
              <w:spacing w:after="0"/>
              <w:rPr>
                <w:sz w:val="19"/>
                <w:szCs w:val="19"/>
                <w:color w:val="auto"/>
              </w:rPr>
            </w:pPr>
          </w:p>
        </w:tc>
        <w:tc>
          <w:tcPr>
            <w:tcW w:w="222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21"/>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7"/>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27"/>
        </w:trPr>
        <w:tc>
          <w:tcPr>
            <w:tcW w:w="6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74"/>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1"/>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120" w:type="dxa"/>
            <w:vAlign w:val="bottom"/>
          </w:tcPr>
          <w:p>
            <w:pPr>
              <w:spacing w:after="0"/>
              <w:rPr>
                <w:sz w:val="20"/>
                <w:szCs w:val="20"/>
                <w:color w:val="auto"/>
              </w:rPr>
            </w:pPr>
          </w:p>
        </w:tc>
        <w:tc>
          <w:tcPr>
            <w:tcW w:w="1340" w:type="dxa"/>
            <w:vAlign w:val="bottom"/>
            <w:gridSpan w:val="2"/>
          </w:tcPr>
          <w:p>
            <w:pPr>
              <w:jc w:val="center"/>
              <w:ind w:left="551"/>
              <w:spacing w:after="0"/>
              <w:rPr>
                <w:sz w:val="20"/>
                <w:szCs w:val="20"/>
                <w:color w:val="auto"/>
              </w:rPr>
            </w:pPr>
            <w:r>
              <w:rPr>
                <w:rFonts w:ascii="Times New Roman" w:cs="Times New Roman" w:eastAsia="Times New Roman" w:hAnsi="Times New Roman"/>
                <w:sz w:val="18"/>
                <w:szCs w:val="18"/>
                <w:color w:val="auto"/>
                <w:w w:val="96"/>
              </w:rPr>
              <w:t>Benefits</w:t>
            </w:r>
          </w:p>
        </w:tc>
        <w:tc>
          <w:tcPr>
            <w:tcW w:w="760" w:type="dxa"/>
            <w:vAlign w:val="bottom"/>
          </w:tcPr>
          <w:p>
            <w:pPr>
              <w:spacing w:after="0"/>
              <w:rPr>
                <w:sz w:val="20"/>
                <w:szCs w:val="20"/>
                <w:color w:val="auto"/>
              </w:rPr>
            </w:pPr>
          </w:p>
        </w:tc>
      </w:tr>
      <w:tr>
        <w:trPr>
          <w:trHeight w:val="221"/>
        </w:trPr>
        <w:tc>
          <w:tcPr>
            <w:tcW w:w="6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center"/>
              <w:ind w:right="51"/>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1"/>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56" w:lineRule="exact"/>
        <w:rPr>
          <w:sz w:val="20"/>
          <w:szCs w:val="20"/>
          <w:color w:val="auto"/>
        </w:rPr>
      </w:pPr>
    </w:p>
    <w:p>
      <w:pPr>
        <w:ind w:right="360" w:firstLine="401"/>
        <w:spacing w:after="0" w:line="263" w:lineRule="auto"/>
        <w:rPr>
          <w:sz w:val="20"/>
          <w:szCs w:val="20"/>
          <w:color w:val="auto"/>
        </w:rPr>
      </w:pPr>
      <w:r>
        <w:rPr>
          <w:rFonts w:ascii="Times New Roman" w:cs="Times New Roman" w:eastAsia="Times New Roman" w:hAnsi="Times New Roman"/>
          <w:sz w:val="18"/>
          <w:szCs w:val="18"/>
          <w:color w:val="auto"/>
        </w:rPr>
        <w:t>Pension and other postretirement liabilities were $7.2 million and $7.3 million at June 30, 2024 and December 31, 2023, respectively ($0.7 million included in “Accrued expenses” at June 30, 2024 and December 31, 2023 with the remainder included in “Pension and other postretirement benefit obligations, net” in the condensed consolidated balance sheets).</w:t>
      </w:r>
    </w:p>
    <w:p>
      <w:pPr>
        <w:spacing w:after="0" w:line="55" w:lineRule="exact"/>
        <w:rPr>
          <w:sz w:val="20"/>
          <w:szCs w:val="20"/>
          <w:color w:val="auto"/>
        </w:rPr>
      </w:pPr>
    </w:p>
    <w:p>
      <w:pPr>
        <w:ind w:right="40" w:firstLine="401"/>
        <w:spacing w:after="0" w:line="278"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2024, the Company anticipates the amount will be consistent with amounts paid for the year ended December 31, 2023, or approximately $0.4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05" w:lineRule="exact"/>
        <w:rPr>
          <w:sz w:val="20"/>
          <w:szCs w:val="20"/>
          <w:color w:val="auto"/>
        </w:rPr>
      </w:pPr>
    </w:p>
    <w:p>
      <w:pPr>
        <w:ind w:right="220" w:firstLine="401"/>
        <w:spacing w:after="0" w:line="263"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80" w:type="dxa"/>
            <w:vAlign w:val="bottom"/>
            <w:tcBorders>
              <w:top w:val="single" w:sz="8" w:color="auto"/>
              <w:bottom w:val="single" w:sz="8" w:color="auto"/>
            </w:tcBorders>
          </w:tcPr>
          <w:p>
            <w:pPr>
              <w:spacing w:after="0"/>
              <w:rPr>
                <w:sz w:val="22"/>
                <w:szCs w:val="22"/>
                <w:color w:val="auto"/>
              </w:rPr>
            </w:pPr>
          </w:p>
        </w:tc>
        <w:tc>
          <w:tcPr>
            <w:tcW w:w="3040" w:type="dxa"/>
            <w:vAlign w:val="bottom"/>
            <w:tcBorders>
              <w:top w:val="single" w:sz="8" w:color="auto"/>
              <w:bottom w:val="single" w:sz="8" w:color="auto"/>
            </w:tcBorders>
            <w:gridSpan w:val="2"/>
          </w:tcPr>
          <w:p>
            <w:pPr>
              <w:jc w:val="right"/>
              <w:ind w:right="55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720" w:type="dxa"/>
            <w:vAlign w:val="bottom"/>
            <w:tcBorders>
              <w:top w:val="single" w:sz="8" w:color="auto"/>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1"/>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r>
      <w:tr>
        <w:trPr>
          <w:trHeight w:val="167"/>
        </w:trPr>
        <w:tc>
          <w:tcPr>
            <w:tcW w:w="54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Weighted average shares outstanding used to compute basic earnings per</w:t>
            </w:r>
          </w:p>
        </w:tc>
        <w:tc>
          <w:tcPr>
            <w:tcW w:w="15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5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34,378</w:t>
            </w:r>
          </w:p>
        </w:tc>
        <w:tc>
          <w:tcPr>
            <w:tcW w:w="1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34,079</w:t>
            </w: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34,350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r>
      <w:tr>
        <w:trPr>
          <w:trHeight w:val="174"/>
        </w:trPr>
        <w:tc>
          <w:tcPr>
            <w:tcW w:w="54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Incremental dilutive shares attributable to stock options and restricted</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1"/>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5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34,378</w:t>
            </w:r>
          </w:p>
        </w:tc>
        <w:tc>
          <w:tcPr>
            <w:tcW w:w="14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34,079</w:t>
            </w:r>
          </w:p>
        </w:tc>
        <w:tc>
          <w:tcPr>
            <w:tcW w:w="15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34,350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r>
    </w:tbl>
    <w:p>
      <w:pPr>
        <w:spacing w:after="0" w:line="156" w:lineRule="exact"/>
        <w:rPr>
          <w:sz w:val="20"/>
          <w:szCs w:val="20"/>
          <w:color w:val="auto"/>
        </w:rPr>
      </w:pPr>
    </w:p>
    <w:p>
      <w:pPr>
        <w:ind w:right="20" w:firstLine="401"/>
        <w:spacing w:after="0" w:line="255"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Average out-of-the-money options to purchase shares that were excluded from the calculation of incremental shares attributable to stock options and restricted stock were 2,427,051 and 2,648,861 for the three and six months ended June 30, 2024, respectively. If the Company had reported net income for the three and six months ended June 30, 2023, the average out-of-the-money options to purchase shares that would be excluded from the calculation of incremental shares attributable to stock options and restricted stock would have been 3,019,333 and 2,830,849,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June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1"/>
              <w:spacing w:after="0" w:line="201" w:lineRule="exact"/>
              <w:rPr>
                <w:sz w:val="20"/>
                <w:szCs w:val="20"/>
                <w:color w:val="auto"/>
              </w:rPr>
            </w:pPr>
            <w:r>
              <w:rPr>
                <w:rFonts w:ascii="Times New Roman" w:cs="Times New Roman" w:eastAsia="Times New Roman" w:hAnsi="Times New Roman"/>
                <w:sz w:val="18"/>
                <w:szCs w:val="18"/>
                <w:color w:val="auto"/>
                <w:w w:val="99"/>
              </w:rPr>
              <w:t>Gain (Loss) on</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51"/>
              <w:spacing w:after="0" w:line="174"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180" w:type="dxa"/>
            <w:vAlign w:val="bottom"/>
          </w:tcPr>
          <w:p>
            <w:pPr>
              <w:spacing w:after="0"/>
              <w:rPr>
                <w:sz w:val="15"/>
                <w:szCs w:val="15"/>
                <w:color w:val="auto"/>
              </w:rPr>
            </w:pPr>
          </w:p>
        </w:tc>
        <w:tc>
          <w:tcPr>
            <w:tcW w:w="1420" w:type="dxa"/>
            <w:vAlign w:val="bottom"/>
          </w:tcPr>
          <w:p>
            <w:pPr>
              <w:jc w:val="right"/>
              <w:ind w:right="191"/>
              <w:spacing w:after="0" w:line="174"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6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Pr>
          <w:p>
            <w:pPr>
              <w:spacing w:after="0"/>
              <w:rPr>
                <w:sz w:val="20"/>
                <w:szCs w:val="20"/>
                <w:color w:val="auto"/>
              </w:rPr>
            </w:pPr>
          </w:p>
        </w:tc>
        <w:tc>
          <w:tcPr>
            <w:tcW w:w="17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Instruments</w:t>
            </w:r>
          </w:p>
        </w:tc>
        <w:tc>
          <w:tcPr>
            <w:tcW w:w="180" w:type="dxa"/>
            <w:vAlign w:val="bottom"/>
          </w:tcPr>
          <w:p>
            <w:pPr>
              <w:spacing w:after="0"/>
              <w:rPr>
                <w:sz w:val="20"/>
                <w:szCs w:val="20"/>
                <w:color w:val="auto"/>
              </w:rPr>
            </w:pP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line="167" w:lineRule="exact"/>
              <w:rPr>
                <w:sz w:val="20"/>
                <w:szCs w:val="20"/>
                <w:color w:val="auto"/>
              </w:rPr>
            </w:pPr>
            <w:r>
              <w:rPr>
                <w:rFonts w:ascii="Times New Roman" w:cs="Times New Roman" w:eastAsia="Times New Roman" w:hAnsi="Times New Roman"/>
                <w:sz w:val="18"/>
                <w:szCs w:val="18"/>
                <w:color w:val="auto"/>
                <w:w w:val="99"/>
              </w:rPr>
              <w:t>Other comprehensive income (loss), net of</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8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40"/>
              <w:spacing w:after="0" w:line="167"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six months ended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200" w:type="dxa"/>
            <w:vAlign w:val="bottom"/>
          </w:tcPr>
          <w:p>
            <w:pPr>
              <w:spacing w:after="0"/>
              <w:rPr>
                <w:sz w:val="15"/>
                <w:szCs w:val="15"/>
                <w:color w:val="auto"/>
              </w:rPr>
            </w:pPr>
          </w:p>
        </w:tc>
        <w:tc>
          <w:tcPr>
            <w:tcW w:w="1420" w:type="dxa"/>
            <w:vAlign w:val="bottom"/>
          </w:tcPr>
          <w:p>
            <w:pPr>
              <w:jc w:val="right"/>
              <w:ind w:right="191"/>
              <w:spacing w:after="0" w:line="179"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1"/>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6"/>
        </w:trPr>
        <w:tc>
          <w:tcPr>
            <w:tcW w:w="3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(7,236)</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(90,273)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June 30,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200" w:type="dxa"/>
            <w:vAlign w:val="bottom"/>
          </w:tcPr>
          <w:p>
            <w:pPr>
              <w:spacing w:after="0"/>
              <w:rPr>
                <w:sz w:val="15"/>
                <w:szCs w:val="15"/>
                <w:color w:val="auto"/>
              </w:rPr>
            </w:pPr>
          </w:p>
        </w:tc>
        <w:tc>
          <w:tcPr>
            <w:tcW w:w="1420" w:type="dxa"/>
            <w:vAlign w:val="bottom"/>
          </w:tcPr>
          <w:p>
            <w:pPr>
              <w:jc w:val="right"/>
              <w:ind w:right="191"/>
              <w:spacing w:after="0" w:line="179"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2,488</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1"/>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2,923</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76"/>
        </w:trPr>
        <w:tc>
          <w:tcPr>
            <w:tcW w:w="3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(138,644)</w:t>
            </w:r>
          </w:p>
        </w:tc>
        <w:tc>
          <w:tcPr>
            <w:tcW w:w="0" w:type="dxa"/>
            <w:vAlign w:val="bottom"/>
          </w:tcPr>
          <w:p>
            <w:pPr>
              <w:spacing w:after="0"/>
              <w:rPr>
                <w:sz w:val="1"/>
                <w:szCs w:val="1"/>
                <w:color w:val="auto"/>
              </w:rPr>
            </w:pPr>
          </w:p>
        </w:tc>
      </w:tr>
      <w:tr>
        <w:trPr>
          <w:trHeight w:val="856"/>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145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six months ended June 30,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200" w:type="dxa"/>
            <w:vAlign w:val="bottom"/>
          </w:tcPr>
          <w:p>
            <w:pPr>
              <w:spacing w:after="0"/>
              <w:rPr>
                <w:sz w:val="15"/>
                <w:szCs w:val="15"/>
                <w:color w:val="auto"/>
              </w:rPr>
            </w:pPr>
          </w:p>
        </w:tc>
        <w:tc>
          <w:tcPr>
            <w:tcW w:w="1420" w:type="dxa"/>
            <w:vAlign w:val="bottom"/>
          </w:tcPr>
          <w:p>
            <w:pPr>
              <w:jc w:val="right"/>
              <w:ind w:right="191"/>
              <w:spacing w:after="0" w:line="179"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5,565</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1"/>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3,534</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5,847</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4,573</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176"/>
        </w:trPr>
        <w:tc>
          <w:tcPr>
            <w:tcW w:w="3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4,573</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20" w:firstLine="401"/>
        <w:spacing w:after="0" w:line="278"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05" w:lineRule="exact"/>
        <w:rPr>
          <w:sz w:val="20"/>
          <w:szCs w:val="20"/>
          <w:color w:val="auto"/>
        </w:rPr>
      </w:pPr>
    </w:p>
    <w:p>
      <w:pPr>
        <w:ind w:right="180" w:firstLine="401"/>
        <w:spacing w:after="0" w:line="255"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4" w:lineRule="exact"/>
        <w:rPr>
          <w:sz w:val="20"/>
          <w:szCs w:val="20"/>
          <w:color w:val="auto"/>
        </w:rPr>
      </w:pPr>
    </w:p>
    <w:p>
      <w:pPr>
        <w:ind w:right="60" w:firstLine="401"/>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$4.9 million (3.6 million pounds of aluminum) at June 30, 2024 and $7.7 million (5.6 million pounds of aluminum) at December 31, 2023.</w:t>
      </w:r>
    </w:p>
    <w:p>
      <w:pPr>
        <w:spacing w:after="0" w:line="51" w:lineRule="exact"/>
        <w:rPr>
          <w:sz w:val="20"/>
          <w:szCs w:val="20"/>
          <w:color w:val="auto"/>
        </w:rPr>
      </w:pPr>
    </w:p>
    <w:p>
      <w:pPr>
        <w:ind w:right="140" w:firstLine="401"/>
        <w:spacing w:after="0" w:line="274"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June 30, 2024 and December 31, 2023:</w:t>
      </w:r>
    </w:p>
    <w:tbl>
      <w:tblPr>
        <w:tblLayout w:type="fixed"/>
        <w:tblInd w:w="0" w:type="dxa"/>
        <w:tblCellMar>
          <w:top w:w="0" w:type="dxa"/>
          <w:left w:w="0" w:type="dxa"/>
          <w:bottom w:w="0" w:type="dxa"/>
          <w:right w:w="0" w:type="dxa"/>
        </w:tblCellMar>
      </w:tblPr>
      <w:tr>
        <w:trPr>
          <w:trHeight w:val="235"/>
        </w:trPr>
        <w:tc>
          <w:tcPr>
            <w:tcW w:w="516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7"/>
              </w:rPr>
              <w:t>June 30, 2024</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40" w:type="dxa"/>
            <w:vAlign w:val="bottom"/>
            <w:tcBorders>
              <w:top w:val="single" w:sz="8" w:color="auto"/>
              <w:bottom w:val="single" w:sz="8" w:color="auto"/>
            </w:tcBorders>
          </w:tcPr>
          <w:p>
            <w:pPr>
              <w:spacing w:after="0"/>
              <w:rPr>
                <w:sz w:val="20"/>
                <w:szCs w:val="20"/>
                <w:color w:val="auto"/>
              </w:rPr>
            </w:pPr>
          </w:p>
        </w:tc>
      </w:tr>
      <w:tr>
        <w:trPr>
          <w:trHeight w:val="176"/>
        </w:trPr>
        <w:tc>
          <w:tcPr>
            <w:tcW w:w="5160" w:type="dxa"/>
            <w:vAlign w:val="bottom"/>
          </w:tcPr>
          <w:p>
            <w:pPr>
              <w:spacing w:after="0"/>
              <w:rPr>
                <w:sz w:val="15"/>
                <w:szCs w:val="15"/>
                <w:color w:val="auto"/>
              </w:rPr>
            </w:pPr>
          </w:p>
        </w:tc>
        <w:tc>
          <w:tcPr>
            <w:tcW w:w="2000" w:type="dxa"/>
            <w:vAlign w:val="bottom"/>
          </w:tcPr>
          <w:p>
            <w:pPr>
              <w:jc w:val="center"/>
              <w:ind w:right="11"/>
              <w:spacing w:after="0" w:line="176" w:lineRule="exact"/>
              <w:rPr>
                <w:sz w:val="20"/>
                <w:szCs w:val="20"/>
                <w:color w:val="auto"/>
              </w:rPr>
            </w:pPr>
            <w:r>
              <w:rPr>
                <w:rFonts w:ascii="Times New Roman" w:cs="Times New Roman" w:eastAsia="Times New Roman" w:hAnsi="Times New Roman"/>
                <w:sz w:val="18"/>
                <w:szCs w:val="18"/>
                <w:color w:val="auto"/>
                <w:w w:val="99"/>
              </w:rPr>
              <w:t>Balance Sheet</w:t>
            </w:r>
          </w:p>
        </w:tc>
        <w:tc>
          <w:tcPr>
            <w:tcW w:w="200" w:type="dxa"/>
            <w:vAlign w:val="bottom"/>
          </w:tcPr>
          <w:p>
            <w:pPr>
              <w:spacing w:after="0"/>
              <w:rPr>
                <w:sz w:val="15"/>
                <w:szCs w:val="15"/>
                <w:color w:val="auto"/>
              </w:rPr>
            </w:pPr>
          </w:p>
        </w:tc>
        <w:tc>
          <w:tcPr>
            <w:tcW w:w="800" w:type="dxa"/>
            <w:vAlign w:val="bottom"/>
          </w:tcPr>
          <w:p>
            <w:pPr>
              <w:jc w:val="center"/>
              <w:ind w:right="111"/>
              <w:spacing w:after="0" w:line="176"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Balance Sheet</w:t>
            </w:r>
          </w:p>
        </w:tc>
        <w:tc>
          <w:tcPr>
            <w:tcW w:w="380" w:type="dxa"/>
            <w:vAlign w:val="bottom"/>
          </w:tcPr>
          <w:p>
            <w:pPr>
              <w:spacing w:after="0"/>
              <w:rPr>
                <w:sz w:val="15"/>
                <w:szCs w:val="15"/>
                <w:color w:val="auto"/>
              </w:rPr>
            </w:pPr>
          </w:p>
        </w:tc>
        <w:tc>
          <w:tcPr>
            <w:tcW w:w="740" w:type="dxa"/>
            <w:vAlign w:val="bottom"/>
          </w:tcPr>
          <w:p>
            <w:pPr>
              <w:jc w:val="right"/>
              <w:ind w:right="271"/>
              <w:spacing w:after="0" w:line="176" w:lineRule="exact"/>
              <w:rPr>
                <w:sz w:val="20"/>
                <w:szCs w:val="20"/>
                <w:color w:val="auto"/>
              </w:rPr>
            </w:pPr>
            <w:r>
              <w:rPr>
                <w:rFonts w:ascii="Times New Roman" w:cs="Times New Roman" w:eastAsia="Times New Roman" w:hAnsi="Times New Roman"/>
                <w:sz w:val="18"/>
                <w:szCs w:val="18"/>
                <w:color w:val="auto"/>
              </w:rPr>
              <w:t>Fair</w:t>
            </w:r>
          </w:p>
        </w:tc>
      </w:tr>
      <w:tr>
        <w:trPr>
          <w:trHeight w:val="232"/>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2"/>
        </w:trPr>
        <w:tc>
          <w:tcPr>
            <w:tcW w:w="5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 derivatives:</w:t>
            </w:r>
          </w:p>
        </w:tc>
        <w:tc>
          <w:tcPr>
            <w:tcW w:w="2000" w:type="dxa"/>
            <w:vAlign w:val="bottom"/>
          </w:tcPr>
          <w:p>
            <w:pPr>
              <w:jc w:val="center"/>
              <w:ind w:right="11"/>
              <w:spacing w:after="0" w:line="182"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Prepaid expenses and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2"/>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51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Liability derivatives:</w:t>
            </w:r>
          </w:p>
        </w:tc>
        <w:tc>
          <w:tcPr>
            <w:tcW w:w="2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2"/>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182"/>
        </w:trPr>
        <w:tc>
          <w:tcPr>
            <w:tcW w:w="5160" w:type="dxa"/>
            <w:vAlign w:val="bottom"/>
          </w:tcPr>
          <w:p>
            <w:pPr>
              <w:spacing w:after="0"/>
              <w:rPr>
                <w:sz w:val="15"/>
                <w:szCs w:val="15"/>
                <w:color w:val="auto"/>
              </w:rPr>
            </w:pPr>
          </w:p>
        </w:tc>
        <w:tc>
          <w:tcPr>
            <w:tcW w:w="20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Other non-current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Other non-current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2"/>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0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liabilities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bl>
    <w:p>
      <w:pPr>
        <w:spacing w:after="0" w:line="169" w:lineRule="exact"/>
        <w:rPr>
          <w:sz w:val="20"/>
          <w:szCs w:val="20"/>
          <w:color w:val="auto"/>
        </w:rPr>
      </w:pPr>
    </w:p>
    <w:p>
      <w:pPr>
        <w:ind w:right="20" w:firstLine="401"/>
        <w:spacing w:after="0" w:line="263"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5" w:name="page16"/>
    <w:bookmarkEnd w:id="15"/>
    <w:p>
      <w:pPr>
        <w:ind w:right="60" w:firstLine="401"/>
        <w:spacing w:after="0" w:line="255"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result in an annual net cost of R$139 million for the full year of 2024.</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Terphane Ltda. had the following outstanding foreign exchange average forward rate contracts to purchase Brazilian Real and sell U.S. Dollars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Average Forward Rate</w:t>
            </w:r>
          </w:p>
        </w:tc>
        <w:tc>
          <w:tcPr>
            <w:tcW w:w="2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8"/>
              </w:rPr>
              <w:t>Estimated % of Terphane</w:t>
            </w:r>
          </w:p>
        </w:tc>
        <w:tc>
          <w:tcPr>
            <w:tcW w:w="0" w:type="dxa"/>
            <w:vAlign w:val="bottom"/>
          </w:tcPr>
          <w:p>
            <w:pPr>
              <w:spacing w:after="0"/>
              <w:rPr>
                <w:sz w:val="1"/>
                <w:szCs w:val="1"/>
                <w:color w:val="auto"/>
              </w:rPr>
            </w:pPr>
          </w:p>
        </w:tc>
      </w:tr>
      <w:tr>
        <w:trPr>
          <w:trHeight w:val="179"/>
        </w:trPr>
        <w:tc>
          <w:tcPr>
            <w:tcW w:w="2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60" w:type="dxa"/>
            <w:vAlign w:val="bottom"/>
            <w:vMerge w:val="continue"/>
          </w:tcPr>
          <w:p>
            <w:pPr>
              <w:spacing w:after="0"/>
              <w:rPr>
                <w:sz w:val="15"/>
                <w:szCs w:val="15"/>
                <w:color w:val="auto"/>
              </w:rPr>
            </w:pPr>
          </w:p>
        </w:tc>
        <w:tc>
          <w:tcPr>
            <w:tcW w:w="254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color w:val="auto"/>
                <w:w w:val="98"/>
              </w:rPr>
              <w:t>R$ Equivalent Amount (000s)</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360" w:type="dxa"/>
            <w:vAlign w:val="bottom"/>
          </w:tcPr>
          <w:p>
            <w:pPr>
              <w:jc w:val="center"/>
              <w:ind w:left="31"/>
              <w:spacing w:after="0" w:line="179" w:lineRule="exact"/>
              <w:rPr>
                <w:sz w:val="20"/>
                <w:szCs w:val="20"/>
                <w:color w:val="auto"/>
              </w:rPr>
            </w:pPr>
            <w:r>
              <w:rPr>
                <w:rFonts w:ascii="Times New Roman" w:cs="Times New Roman" w:eastAsia="Times New Roman" w:hAnsi="Times New Roman"/>
                <w:sz w:val="18"/>
                <w:szCs w:val="18"/>
                <w:color w:val="auto"/>
                <w:w w:val="99"/>
              </w:rPr>
              <w:t>Ltda. R$ Operating Cost</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5.3848</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R$9,714</w:t>
            </w:r>
          </w:p>
        </w:tc>
        <w:tc>
          <w:tcPr>
            <w:tcW w:w="1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7"/>
              </w:rPr>
              <w:t>Jul-24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$1,806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5.4014</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R$9,755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$1,857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5.4107</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R$10,048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5.4225</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R$10,037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$1,837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5.4403</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R$9,994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86%</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5.4580</w:t>
            </w:r>
          </w:p>
        </w:tc>
        <w:tc>
          <w:tcPr>
            <w:tcW w:w="25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rPr>
              <w:t>R$9,830</w:t>
            </w:r>
          </w:p>
        </w:tc>
        <w:tc>
          <w:tcPr>
            <w:tcW w:w="1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Dec-24</w:t>
            </w:r>
          </w:p>
        </w:tc>
        <w:tc>
          <w:tcPr>
            <w:tcW w:w="23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$10,956</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5.4197</w:t>
            </w:r>
          </w:p>
        </w:tc>
        <w:tc>
          <w:tcPr>
            <w:tcW w:w="2540" w:type="dxa"/>
            <w:vAlign w:val="bottom"/>
            <w:tcBorders>
              <w:bottom w:val="single" w:sz="8" w:color="auto"/>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R$59,378</w:t>
            </w:r>
          </w:p>
        </w:tc>
        <w:tc>
          <w:tcPr>
            <w:tcW w:w="19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20" w:firstLine="401"/>
        <w:spacing w:after="0" w:line="258"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46" w:lineRule="exact"/>
        <w:rPr>
          <w:sz w:val="20"/>
          <w:szCs w:val="20"/>
          <w:color w:val="auto"/>
        </w:rPr>
      </w:pPr>
    </w:p>
    <w:p>
      <w:pPr>
        <w:ind w:right="200" w:firstLine="401"/>
        <w:spacing w:after="0" w:line="274"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June 30, 2024 and December 31, 2023:</w:t>
      </w:r>
    </w:p>
    <w:tbl>
      <w:tblPr>
        <w:tblLayout w:type="fixed"/>
        <w:tblInd w:w="0" w:type="dxa"/>
        <w:tblCellMar>
          <w:top w:w="0" w:type="dxa"/>
          <w:left w:w="0" w:type="dxa"/>
          <w:bottom w:w="0" w:type="dxa"/>
          <w:right w:w="0" w:type="dxa"/>
        </w:tblCellMar>
      </w:tblPr>
      <w:tr>
        <w:trPr>
          <w:trHeight w:val="235"/>
        </w:trPr>
        <w:tc>
          <w:tcPr>
            <w:tcW w:w="516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June 30, 2024</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40" w:type="dxa"/>
            <w:vAlign w:val="bottom"/>
            <w:tcBorders>
              <w:top w:val="single" w:sz="8" w:color="auto"/>
              <w:bottom w:val="single" w:sz="8" w:color="auto"/>
            </w:tcBorders>
          </w:tcPr>
          <w:p>
            <w:pPr>
              <w:spacing w:after="0"/>
              <w:rPr>
                <w:sz w:val="20"/>
                <w:szCs w:val="20"/>
                <w:color w:val="auto"/>
              </w:rPr>
            </w:pPr>
          </w:p>
        </w:tc>
      </w:tr>
      <w:tr>
        <w:trPr>
          <w:trHeight w:val="176"/>
        </w:trPr>
        <w:tc>
          <w:tcPr>
            <w:tcW w:w="5160" w:type="dxa"/>
            <w:vAlign w:val="bottom"/>
          </w:tcPr>
          <w:p>
            <w:pPr>
              <w:spacing w:after="0"/>
              <w:rPr>
                <w:sz w:val="15"/>
                <w:szCs w:val="15"/>
                <w:color w:val="auto"/>
              </w:rPr>
            </w:pPr>
          </w:p>
        </w:tc>
        <w:tc>
          <w:tcPr>
            <w:tcW w:w="2000" w:type="dxa"/>
            <w:vAlign w:val="bottom"/>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7"/>
              </w:rPr>
              <w:t>Balance Sheet</w:t>
            </w:r>
          </w:p>
        </w:tc>
        <w:tc>
          <w:tcPr>
            <w:tcW w:w="180" w:type="dxa"/>
            <w:vAlign w:val="bottom"/>
          </w:tcPr>
          <w:p>
            <w:pPr>
              <w:spacing w:after="0"/>
              <w:rPr>
                <w:sz w:val="15"/>
                <w:szCs w:val="15"/>
                <w:color w:val="auto"/>
              </w:rPr>
            </w:pPr>
          </w:p>
        </w:tc>
        <w:tc>
          <w:tcPr>
            <w:tcW w:w="800" w:type="dxa"/>
            <w:vAlign w:val="bottom"/>
          </w:tcPr>
          <w:p>
            <w:pPr>
              <w:jc w:val="center"/>
              <w:ind w:right="111"/>
              <w:spacing w:after="0" w:line="176"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Balance Sheet</w:t>
            </w:r>
          </w:p>
        </w:tc>
        <w:tc>
          <w:tcPr>
            <w:tcW w:w="400" w:type="dxa"/>
            <w:vAlign w:val="bottom"/>
          </w:tcPr>
          <w:p>
            <w:pPr>
              <w:spacing w:after="0"/>
              <w:rPr>
                <w:sz w:val="15"/>
                <w:szCs w:val="15"/>
                <w:color w:val="auto"/>
              </w:rPr>
            </w:pPr>
          </w:p>
        </w:tc>
        <w:tc>
          <w:tcPr>
            <w:tcW w:w="740" w:type="dxa"/>
            <w:vAlign w:val="bottom"/>
          </w:tcPr>
          <w:p>
            <w:pPr>
              <w:jc w:val="right"/>
              <w:ind w:right="271"/>
              <w:spacing w:after="0" w:line="176" w:lineRule="exact"/>
              <w:rPr>
                <w:sz w:val="20"/>
                <w:szCs w:val="20"/>
                <w:color w:val="auto"/>
              </w:rPr>
            </w:pPr>
            <w:r>
              <w:rPr>
                <w:rFonts w:ascii="Times New Roman" w:cs="Times New Roman" w:eastAsia="Times New Roman" w:hAnsi="Times New Roman"/>
                <w:sz w:val="18"/>
                <w:szCs w:val="18"/>
                <w:color w:val="auto"/>
              </w:rPr>
              <w:t>Fair</w:t>
            </w:r>
          </w:p>
        </w:tc>
      </w:tr>
      <w:tr>
        <w:trPr>
          <w:trHeight w:val="232"/>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8"/>
              </w:rPr>
              <w:t>Account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2"/>
        </w:trPr>
        <w:tc>
          <w:tcPr>
            <w:tcW w:w="5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 derivatives:</w:t>
            </w:r>
          </w:p>
        </w:tc>
        <w:tc>
          <w:tcPr>
            <w:tcW w:w="2000" w:type="dxa"/>
            <w:vAlign w:val="bottom"/>
          </w:tcPr>
          <w:p>
            <w:pPr>
              <w:jc w:val="center"/>
              <w:ind w:right="31"/>
              <w:spacing w:after="0" w:line="182" w:lineRule="exact"/>
              <w:rPr>
                <w:sz w:val="20"/>
                <w:szCs w:val="20"/>
                <w:color w:val="auto"/>
              </w:rPr>
            </w:pPr>
            <w:r>
              <w:rPr>
                <w:rFonts w:ascii="Times New Roman" w:cs="Times New Roman" w:eastAsia="Times New Roman" w:hAnsi="Times New Roman"/>
                <w:sz w:val="18"/>
                <w:szCs w:val="18"/>
                <w:color w:val="auto"/>
                <w:w w:val="98"/>
              </w:rPr>
              <w:t>Prepaid expenses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2"/>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2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182"/>
        </w:trPr>
        <w:tc>
          <w:tcPr>
            <w:tcW w:w="5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Liability derivatives:</w:t>
            </w: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Other non-current</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2"/>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0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bl>
    <w:p>
      <w:pPr>
        <w:spacing w:after="0" w:line="169"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most credit-worthy customers. The counterparties to the Company’s foreign currency cash flow hedge contracts are major financial institutions.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6" w:name="page17"/>
    <w:bookmarkEnd w:id="16"/>
    <w:p>
      <w:pPr>
        <w:ind w:right="180" w:firstLine="401"/>
        <w:spacing w:after="0" w:line="274"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and six month periods ended June 30, 2024 and 2023 is summarized in the table below:</w:t>
      </w:r>
    </w:p>
    <w:tbl>
      <w:tblPr>
        <w:tblLayout w:type="fixed"/>
        <w:tblInd w:w="0" w:type="dxa"/>
        <w:tblCellMar>
          <w:top w:w="0" w:type="dxa"/>
          <w:left w:w="0" w:type="dxa"/>
          <w:bottom w:w="0" w:type="dxa"/>
          <w:right w:w="0" w:type="dxa"/>
        </w:tblCellMar>
      </w:tblPr>
      <w:tr>
        <w:trPr>
          <w:trHeight w:val="235"/>
        </w:trPr>
        <w:tc>
          <w:tcPr>
            <w:tcW w:w="53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Cash Flow Derivative Hedges</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Three Months Ended June 30,</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center"/>
              <w:ind w:right="31"/>
              <w:spacing w:after="0" w:line="167" w:lineRule="exact"/>
              <w:rPr>
                <w:sz w:val="20"/>
                <w:szCs w:val="20"/>
                <w:color w:val="auto"/>
              </w:rPr>
            </w:pPr>
            <w:r>
              <w:rPr>
                <w:rFonts w:ascii="Times New Roman" w:cs="Times New Roman" w:eastAsia="Times New Roman" w:hAnsi="Times New Roman"/>
                <w:sz w:val="18"/>
                <w:szCs w:val="18"/>
                <w:color w:val="auto"/>
                <w:w w:val="98"/>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center"/>
              <w:ind w:right="11"/>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4"/>
              </w:rPr>
              <w:t>2024</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167"/>
        </w:trPr>
        <w:tc>
          <w:tcPr>
            <w:tcW w:w="5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174"/>
        </w:trPr>
        <w:tc>
          <w:tcPr>
            <w:tcW w:w="5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color w:val="auto"/>
                <w:w w:val="98"/>
              </w:rPr>
              <w:t>Cost of</w:t>
            </w:r>
          </w:p>
        </w:tc>
        <w:tc>
          <w:tcPr>
            <w:tcW w:w="9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Cost of</w:t>
            </w: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0" w:type="dxa"/>
            <w:vAlign w:val="bottom"/>
          </w:tcPr>
          <w:p>
            <w:pPr>
              <w:spacing w:after="0"/>
              <w:rPr>
                <w:sz w:val="1"/>
                <w:szCs w:val="1"/>
                <w:color w:val="auto"/>
              </w:rPr>
            </w:pPr>
          </w:p>
        </w:tc>
      </w:tr>
      <w:tr>
        <w:trPr>
          <w:trHeight w:val="174"/>
        </w:trPr>
        <w:tc>
          <w:tcPr>
            <w:tcW w:w="5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88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color w:val="auto"/>
              </w:rPr>
              <w:t>goods sold</w:t>
            </w:r>
          </w:p>
        </w:tc>
        <w:tc>
          <w:tcPr>
            <w:tcW w:w="9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admin</w:t>
            </w:r>
          </w:p>
        </w:tc>
        <w:tc>
          <w:tcPr>
            <w:tcW w:w="1080" w:type="dxa"/>
            <w:vAlign w:val="bottom"/>
            <w:gridSpan w:val="3"/>
          </w:tcPr>
          <w:p>
            <w:pPr>
              <w:jc w:val="center"/>
              <w:ind w:right="131"/>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admin</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center"/>
              <w:ind w:right="31"/>
              <w:spacing w:after="0" w:line="167" w:lineRule="exact"/>
              <w:rPr>
                <w:sz w:val="20"/>
                <w:szCs w:val="20"/>
                <w:color w:val="auto"/>
              </w:rPr>
            </w:pPr>
            <w:r>
              <w:rPr>
                <w:rFonts w:ascii="Times New Roman" w:cs="Times New Roman" w:eastAsia="Times New Roman" w:hAnsi="Times New Roman"/>
                <w:sz w:val="18"/>
                <w:szCs w:val="18"/>
                <w:color w:val="auto"/>
                <w:w w:val="98"/>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center"/>
              <w:ind w:right="11"/>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4"/>
              </w:rPr>
              <w:t>2024</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167"/>
        </w:trPr>
        <w:tc>
          <w:tcPr>
            <w:tcW w:w="53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174"/>
        </w:trPr>
        <w:tc>
          <w:tcPr>
            <w:tcW w:w="53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color w:val="auto"/>
                <w:w w:val="98"/>
              </w:rPr>
              <w:t>Cost of</w:t>
            </w:r>
          </w:p>
        </w:tc>
        <w:tc>
          <w:tcPr>
            <w:tcW w:w="9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Cost of</w:t>
            </w: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0" w:type="dxa"/>
            <w:vAlign w:val="bottom"/>
          </w:tcPr>
          <w:p>
            <w:pPr>
              <w:spacing w:after="0"/>
              <w:rPr>
                <w:sz w:val="1"/>
                <w:szCs w:val="1"/>
                <w:color w:val="auto"/>
              </w:rPr>
            </w:pPr>
          </w:p>
        </w:tc>
      </w:tr>
      <w:tr>
        <w:trPr>
          <w:trHeight w:val="174"/>
        </w:trPr>
        <w:tc>
          <w:tcPr>
            <w:tcW w:w="534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88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color w:val="auto"/>
              </w:rPr>
              <w:t>goods sold</w:t>
            </w:r>
          </w:p>
        </w:tc>
        <w:tc>
          <w:tcPr>
            <w:tcW w:w="9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admin</w:t>
            </w:r>
          </w:p>
        </w:tc>
        <w:tc>
          <w:tcPr>
            <w:tcW w:w="1080" w:type="dxa"/>
            <w:vAlign w:val="bottom"/>
            <w:gridSpan w:val="3"/>
          </w:tcPr>
          <w:p>
            <w:pPr>
              <w:jc w:val="center"/>
              <w:ind w:right="131"/>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admin</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30 $</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30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01"/>
        <w:spacing w:after="0" w:line="258" w:lineRule="auto"/>
        <w:rPr>
          <w:sz w:val="20"/>
          <w:szCs w:val="20"/>
          <w:color w:val="auto"/>
        </w:rPr>
      </w:pPr>
      <w:r>
        <w:rPr>
          <w:rFonts w:ascii="Times New Roman" w:cs="Times New Roman" w:eastAsia="Times New Roman" w:hAnsi="Times New Roman"/>
          <w:sz w:val="18"/>
          <w:szCs w:val="18"/>
          <w:color w:val="auto"/>
        </w:rPr>
        <w:t>As of June 30, 2024, the Company expects $0.2 million of unrealized after-tax losses on aluminum and foreign currency derivative instruments reported in accumulated other comprehensive income (loss) to be reclassified to earnings within the next 12 months. For the three and six month periods ended June 30, 2024 and 2023, net gains or losses realized, from previously unrealized net gains or losses on hedges that had been discontinued, were not material.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91" w:lineRule="exact"/>
        <w:rPr>
          <w:sz w:val="20"/>
          <w:szCs w:val="20"/>
          <w:color w:val="auto"/>
        </w:rPr>
      </w:pPr>
    </w:p>
    <w:p>
      <w:pPr>
        <w:jc w:val="both"/>
        <w:ind w:right="100" w:firstLine="401"/>
        <w:spacing w:after="0" w:line="263" w:lineRule="auto"/>
        <w:rPr>
          <w:sz w:val="20"/>
          <w:szCs w:val="20"/>
          <w:color w:val="auto"/>
        </w:rPr>
      </w:pPr>
      <w:r>
        <w:rPr>
          <w:rFonts w:ascii="Times New Roman" w:cs="Times New Roman" w:eastAsia="Times New Roman" w:hAnsi="Times New Roman"/>
          <w:sz w:val="18"/>
          <w:szCs w:val="18"/>
          <w:color w:val="auto"/>
        </w:rPr>
        <w:t>Tredegar recorded tax expense (benefit) of $2.6 million on pre-tax income (loss) of $14.7 million in the first six months of 2024. The effective tax rate in the first six months of 2024 was 17.9% and 13.1% in the first six months of 2023. The change in effective tax rate was primarily due to pre-tax income in the first six months of 2024 versus a pre-tax loss in the first six months of 2023.</w:t>
      </w:r>
    </w:p>
    <w:p>
      <w:pPr>
        <w:spacing w:after="0" w:line="5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The effective tax rate for the first six months of 2024 varies from the 21% statutory rate primarily due to foreign rate differences and non-deductible expenses offset by Brazilian tax incentives and federal tax credits. Brazil income tax was deemed deductible but not creditable in the U.S. in the first six months of 2023. As a result of guidance released by the U.S. Treasury and Internal Revenue Service ("IRS") in the fourth quarter of 2023, and new Brazil tax legislation effective January 1, 2024, Brazil income tax is deemed creditable in the U.S. for 2024.</w:t>
      </w:r>
    </w:p>
    <w:p>
      <w:pPr>
        <w:spacing w:after="0" w:line="60" w:lineRule="exact"/>
        <w:rPr>
          <w:sz w:val="20"/>
          <w:szCs w:val="20"/>
          <w:color w:val="auto"/>
        </w:rPr>
      </w:pPr>
    </w:p>
    <w:p>
      <w:pPr>
        <w:ind w:right="60" w:firstLine="401"/>
        <w:spacing w:after="0" w:line="277" w:lineRule="auto"/>
        <w:rPr>
          <w:sz w:val="20"/>
          <w:szCs w:val="20"/>
          <w:color w:val="auto"/>
        </w:rPr>
      </w:pPr>
      <w:r>
        <w:rPr>
          <w:rFonts w:ascii="Times New Roman" w:cs="Times New Roman" w:eastAsia="Times New Roman" w:hAnsi="Times New Roman"/>
          <w:sz w:val="17"/>
          <w:szCs w:val="17"/>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expiring at the end of 2024. Terphane Ltda. has been granted an additional three years of tax incentives through the end of 2027.</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91" w:lineRule="exact"/>
        <w:rPr>
          <w:sz w:val="20"/>
          <w:szCs w:val="20"/>
          <w:color w:val="auto"/>
        </w:rPr>
      </w:pPr>
    </w:p>
    <w:p>
      <w:pPr>
        <w:ind w:right="240" w:firstLine="401"/>
        <w:spacing w:after="0" w:line="278"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7" w:name="page18"/>
    <w:bookmarkEnd w:id="17"/>
    <w:p>
      <w:pPr>
        <w:ind w:firstLine="401"/>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CODM assesses performance. Earnings before interest, taxes, depreciation and amortization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and six months ended June 30, 2024 and 2023:</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977" w:right="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9"/>
        </w:trPr>
        <w:tc>
          <w:tcPr>
            <w:tcW w:w="53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119,413</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121,827</w:t>
            </w:r>
          </w:p>
        </w:tc>
        <w:tc>
          <w:tcPr>
            <w:tcW w:w="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233,636</w:t>
            </w:r>
          </w:p>
        </w:tc>
        <w:tc>
          <w:tcPr>
            <w:tcW w:w="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255,197</w:t>
            </w: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29,197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15,918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53,932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r>
      <w:tr>
        <w:trPr>
          <w:trHeight w:val="22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34,543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33,223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64,655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64,750</w:t>
            </w:r>
          </w:p>
        </w:tc>
      </w:tr>
      <w:tr>
        <w:trPr>
          <w:trHeight w:val="22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183,153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170,968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352,223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356,046</w:t>
            </w:r>
          </w:p>
        </w:tc>
      </w:tr>
      <w:tr>
        <w:trPr>
          <w:trHeight w:val="22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7,082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7,199</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13,748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w:t>
            </w:r>
          </w:p>
        </w:tc>
      </w:tr>
      <w:tr>
        <w:trPr>
          <w:trHeight w:val="227"/>
        </w:trPr>
        <w:tc>
          <w:tcPr>
            <w:tcW w:w="5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Sales as shown in the condensed consolidated statements of income (loss) $</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190,235</w:t>
            </w:r>
          </w:p>
        </w:tc>
        <w:tc>
          <w:tcPr>
            <w:tcW w:w="3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178,167</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365,971</w:t>
            </w:r>
          </w:p>
        </w:tc>
        <w:tc>
          <w:tcPr>
            <w:tcW w:w="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369,289</w:t>
            </w: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12,907</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10,217</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25,447</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24,855</w:t>
            </w:r>
          </w:p>
        </w:tc>
      </w:tr>
      <w:tr>
        <w:trPr>
          <w:trHeight w:val="227"/>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r>
      <w:tr>
        <w:trPr>
          <w:trHeight w:val="221"/>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8,461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16,459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10,133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17,037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7"/>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21"/>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14,392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3,204</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5,167</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7"/>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1"/>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7"/>
        </w:trPr>
        <w:tc>
          <w:tcPr>
            <w:tcW w:w="5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18,020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31,135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3,379</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2,374</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9,509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9,768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r>
      <w:tr>
        <w:trPr>
          <w:trHeight w:val="22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10,760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14,705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8,792</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12,080</w:t>
            </w:r>
          </w:p>
        </w:tc>
        <w:tc>
          <w:tcPr>
            <w:tcW w:w="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843"/>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3"/>
        </w:trPr>
        <w:tc>
          <w:tcPr>
            <w:tcW w:w="5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June 30, 2024 and December 31,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269,068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255,756</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420" w:type="dxa"/>
            <w:vAlign w:val="bottom"/>
          </w:tcPr>
          <w:p>
            <w:pPr>
              <w:spacing w:after="0"/>
              <w:rPr>
                <w:sz w:val="19"/>
                <w:szCs w:val="19"/>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59,541</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56,536</w:t>
            </w:r>
          </w:p>
        </w:tc>
      </w:tr>
      <w:tr>
        <w:trPr>
          <w:trHeight w:val="22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80,650</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84,062</w:t>
            </w:r>
          </w:p>
        </w:tc>
      </w:tr>
      <w:tr>
        <w:trPr>
          <w:trHeight w:val="221"/>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420" w:type="dxa"/>
            <w:vAlign w:val="bottom"/>
          </w:tcPr>
          <w:p>
            <w:pPr>
              <w:spacing w:after="0"/>
              <w:rPr>
                <w:sz w:val="19"/>
                <w:szCs w:val="19"/>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409,259</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396,354</w:t>
            </w: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32,484</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w:t>
            </w:r>
          </w:p>
        </w:tc>
      </w:tr>
      <w:tr>
        <w:trPr>
          <w:trHeight w:val="22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8,669</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27"/>
        </w:trPr>
        <w:tc>
          <w:tcPr>
            <w:tcW w:w="51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450,412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446,461</w:t>
            </w:r>
          </w:p>
        </w:tc>
      </w:tr>
    </w:tbl>
    <w:p>
      <w:pPr>
        <w:spacing w:after="0" w:line="156" w:lineRule="exact"/>
        <w:rPr>
          <w:sz w:val="20"/>
          <w:szCs w:val="20"/>
          <w:color w:val="auto"/>
        </w:rPr>
      </w:pPr>
    </w:p>
    <w:p>
      <w:pPr>
        <w:jc w:val="both"/>
        <w:ind w:right="80"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141,681</w:t>
            </w:r>
          </w:p>
        </w:tc>
        <w:tc>
          <w:tcPr>
            <w:tcW w:w="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133,417</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274,308</w:t>
            </w:r>
          </w:p>
        </w:tc>
        <w:tc>
          <w:tcPr>
            <w:tcW w:w="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284,027</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13,834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r>
      <w:tr>
        <w:trPr>
          <w:trHeight w:val="227"/>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16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1,395</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1,817</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27"/>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r>
      <w:tr>
        <w:trPr>
          <w:trHeight w:val="227"/>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16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16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23,263</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24,975</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44,594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46,603</w:t>
            </w:r>
          </w:p>
        </w:tc>
      </w:tr>
      <w:tr>
        <w:trPr>
          <w:trHeight w:val="227"/>
        </w:trPr>
        <w:tc>
          <w:tcPr>
            <w:tcW w:w="40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7"/>
        </w:trPr>
        <w:tc>
          <w:tcPr>
            <w:tcW w:w="4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183,153</w:t>
            </w:r>
          </w:p>
        </w:tc>
        <w:tc>
          <w:tcPr>
            <w:tcW w:w="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170,968</w:t>
            </w: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352,223</w:t>
            </w: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356,046</w:t>
            </w:r>
          </w:p>
        </w:tc>
      </w:tr>
    </w:tbl>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PE Films. Operations in Brazil relate to Flexible Packaging Films.</w:t>
      </w:r>
    </w:p>
    <w:p>
      <w:pPr>
        <w:spacing w:after="0" w:line="204" w:lineRule="exact"/>
        <w:rPr>
          <w:sz w:val="20"/>
          <w:szCs w:val="20"/>
          <w:color w:val="auto"/>
        </w:rPr>
      </w:pPr>
    </w:p>
    <w:p>
      <w:pPr>
        <w:ind w:right="60" w:firstLine="401"/>
        <w:spacing w:after="0" w:line="255"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$6.7 million and $3.4 million in the second quarter of 2024 and 2023, respectively, and $12.8 million and $6.8 million in the first six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589915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t>Net Sales by Product Group</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67,267</w:t>
            </w:r>
          </w:p>
        </w:tc>
        <w:tc>
          <w:tcPr>
            <w:tcW w:w="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65,784</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133,615</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144,413</w:t>
            </w:r>
          </w:p>
        </w:tc>
      </w:tr>
      <w:tr>
        <w:trPr>
          <w:trHeight w:val="22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durables</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8,922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11,714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r>
      <w:tr>
        <w:trPr>
          <w:trHeight w:val="227"/>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Automotive</w:t>
            </w:r>
          </w:p>
        </w:tc>
        <w:tc>
          <w:tcPr>
            <w:tcW w:w="134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10,127</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11,769</w:t>
            </w: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20,733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23,891</w:t>
            </w:r>
          </w:p>
        </w:tc>
      </w:tr>
      <w:tr>
        <w:trPr>
          <w:trHeight w:val="22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17,785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r>
      <w:tr>
        <w:trPr>
          <w:trHeight w:val="227"/>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Electrical</w:t>
            </w:r>
          </w:p>
        </w:tc>
        <w:tc>
          <w:tcPr>
            <w:tcW w:w="134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7,221</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6,078</w:t>
            </w: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13,057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22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&amp; equipment</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11,082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w:t>
            </w:r>
          </w:p>
        </w:tc>
      </w:tr>
      <w:tr>
        <w:trPr>
          <w:trHeight w:val="227"/>
        </w:trPr>
        <w:tc>
          <w:tcPr>
            <w:tcW w:w="4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3,324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6,676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21"/>
        </w:trPr>
        <w:tc>
          <w:tcPr>
            <w:tcW w:w="4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119,413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121,827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233,636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255,197</w:t>
            </w: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Surface protection films</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21,713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38,725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w:t>
            </w:r>
          </w:p>
        </w:tc>
      </w:tr>
      <w:tr>
        <w:trPr>
          <w:trHeight w:val="227"/>
        </w:trPr>
        <w:tc>
          <w:tcPr>
            <w:tcW w:w="4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Overwrap packaging</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7,484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7,275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15,207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14,602</w:t>
            </w:r>
          </w:p>
        </w:tc>
      </w:tr>
      <w:tr>
        <w:trPr>
          <w:trHeight w:val="221"/>
        </w:trPr>
        <w:tc>
          <w:tcPr>
            <w:tcW w:w="4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15,918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53,932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r>
      <w:tr>
        <w:trPr>
          <w:trHeight w:val="22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34,543</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33,223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64,655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64,750</w:t>
            </w:r>
          </w:p>
        </w:tc>
      </w:tr>
      <w:tr>
        <w:trPr>
          <w:trHeight w:val="227"/>
        </w:trPr>
        <w:tc>
          <w:tcPr>
            <w:tcW w:w="42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183,153</w:t>
            </w:r>
          </w:p>
        </w:tc>
        <w:tc>
          <w:tcPr>
            <w:tcW w:w="4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170,968</w:t>
            </w:r>
          </w:p>
        </w:tc>
        <w:tc>
          <w:tcPr>
            <w:tcW w:w="3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352,223</w:t>
            </w:r>
          </w:p>
        </w:tc>
        <w:tc>
          <w:tcPr>
            <w:tcW w:w="3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356,046</w:t>
            </w:r>
          </w:p>
        </w:tc>
      </w:tr>
    </w:tbl>
    <w:p>
      <w:pPr>
        <w:spacing w:after="0" w:line="312" w:lineRule="exact"/>
        <w:rPr>
          <w:sz w:val="20"/>
          <w:szCs w:val="20"/>
          <w:color w:val="auto"/>
        </w:rPr>
      </w:pPr>
    </w:p>
    <w:p>
      <w:pPr>
        <w:ind w:right="10320" w:firstLine="7"/>
        <w:spacing w:after="0" w:line="371" w:lineRule="auto"/>
        <w:tabs>
          <w:tab w:leader="none" w:pos="267"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17"/>
          <w:szCs w:val="17"/>
          <w:i w:val="1"/>
          <w:iCs w:val="1"/>
          <w:u w:val="single" w:color="auto"/>
          <w:color w:val="auto"/>
        </w:rPr>
        <w:t>ABL Facility</w:t>
      </w:r>
    </w:p>
    <w:p>
      <w:pPr>
        <w:spacing w:after="0" w:line="1" w:lineRule="exact"/>
        <w:rPr>
          <w:sz w:val="20"/>
          <w:szCs w:val="20"/>
          <w:color w:val="auto"/>
        </w:rPr>
      </w:pPr>
    </w:p>
    <w:p>
      <w:pPr>
        <w:ind w:right="40" w:firstLine="401"/>
        <w:spacing w:after="0" w:line="251"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Second Amended and Restated Credit Agreement, which provides the Company with a $180 million senior secured asset-based revolving credit facility that will mature on June 30, 2026. On April 16, 2024, the Company entered into Amendment No. 4 (the "Amendment") that, among other items: (i) moves the ABL Adjustment Date (defined below) from March 31, 2025 to September 30, 2025 and (ii) requires weekly reporting of the borrowing base financial covenant.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June 30, 2024, Minimum Liquidity (as defined in the ABL Facility) of $45.1 million, after reducing the borrowing base by the aggregate outstanding borrowings of $122.0 million and standby letters of credit of $12.9 million, was in excess of the $10 million Minimum Liquidity financial covenant.</w:t>
      </w:r>
    </w:p>
    <w:p>
      <w:pPr>
        <w:spacing w:after="0" w:line="66" w:lineRule="exact"/>
        <w:rPr>
          <w:sz w:val="20"/>
          <w:szCs w:val="20"/>
          <w:color w:val="auto"/>
        </w:rPr>
      </w:pPr>
    </w:p>
    <w:p>
      <w:pPr>
        <w:ind w:right="160" w:firstLine="401"/>
        <w:spacing w:after="0" w:line="278"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29" w:lineRule="exact"/>
        <w:rPr>
          <w:sz w:val="20"/>
          <w:szCs w:val="20"/>
          <w:color w:val="auto"/>
        </w:rPr>
      </w:pPr>
    </w:p>
    <w:p>
      <w:pPr>
        <w:ind w:left="640" w:right="60" w:hanging="31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Base Rate (“ABR”) plus 2.50% before the ABL Adjustment Date and the applicable ABR Spread (as defined in the ABL Facility) after the ABL Adjustment Date are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w:t>
      </w:r>
    </w:p>
    <w:p>
      <w:pPr>
        <w:spacing w:after="0" w:line="59" w:lineRule="exact"/>
        <w:rPr>
          <w:rFonts w:ascii="Times New Roman" w:cs="Times New Roman" w:eastAsia="Times New Roman" w:hAnsi="Times New Roman"/>
          <w:sz w:val="18"/>
          <w:szCs w:val="18"/>
          <w:color w:val="auto"/>
        </w:rPr>
      </w:pPr>
    </w:p>
    <w:p>
      <w:pPr>
        <w:ind w:left="640" w:right="460" w:hanging="31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Secured Overnight Financing Rate ("SOFR") Rate plus 3.50% before the ABL Adjustment Date and the applicable Term Benchmark Spread (as defined in the ABL Facility) are determined in accordance with an excess availability-based pricing grid after the ABL Adjustment Date. Adjusted Term SOFR Rate is defined as the Term SOFR Rate plus 0.10%, subject to an initial Floor (as defined in the ABL Facility) of 0%.</w:t>
      </w:r>
    </w:p>
    <w:p>
      <w:pPr>
        <w:spacing w:after="0" w:line="60" w:lineRule="exact"/>
        <w:rPr>
          <w:sz w:val="20"/>
          <w:szCs w:val="20"/>
          <w:color w:val="auto"/>
        </w:rPr>
      </w:pPr>
    </w:p>
    <w:p>
      <w:pPr>
        <w:ind w:right="340" w:firstLine="401"/>
        <w:spacing w:after="0" w:line="278" w:lineRule="auto"/>
        <w:rPr>
          <w:sz w:val="20"/>
          <w:szCs w:val="20"/>
          <w:color w:val="auto"/>
        </w:rPr>
      </w:pPr>
      <w:r>
        <w:rPr>
          <w:rFonts w:ascii="Times New Roman" w:cs="Times New Roman" w:eastAsia="Times New Roman" w:hAnsi="Times New Roman"/>
          <w:sz w:val="18"/>
          <w:szCs w:val="18"/>
          <w:color w:val="auto"/>
        </w:rPr>
        <w:t>Interest rate indices for select non-U.S. dollar borrowings, including borrowings denominated in Euro, Pounds Sterling, Swiss Francs and Japanese Yen, remain consistent with the Second Amended and Restated Credit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21" w:name="page22"/>
    <w:bookmarkEnd w:id="21"/>
    <w:p>
      <w:pPr>
        <w:ind w:right="280" w:firstLine="401"/>
        <w:spacing w:after="0" w:line="278" w:lineRule="auto"/>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applicable after the ABL Adjustment Date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Borders>
              <w:top w:val="single" w:sz="8" w:color="auto"/>
            </w:tcBorders>
          </w:tcPr>
          <w:p>
            <w:pPr>
              <w:jc w:val="center"/>
              <w:ind w:left="571"/>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3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Term Benchmark</w:t>
            </w:r>
          </w:p>
        </w:tc>
        <w:tc>
          <w:tcPr>
            <w:tcW w:w="132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ABR</w:t>
            </w: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Commitment</w:t>
            </w:r>
          </w:p>
        </w:tc>
      </w:tr>
      <w:tr>
        <w:trPr>
          <w:trHeight w:val="233"/>
        </w:trPr>
        <w:tc>
          <w:tcPr>
            <w:tcW w:w="6280" w:type="dxa"/>
            <w:vAlign w:val="bottom"/>
          </w:tcPr>
          <w:p>
            <w:pPr>
              <w:spacing w:after="0"/>
              <w:rPr>
                <w:sz w:val="20"/>
                <w:szCs w:val="20"/>
                <w:color w:val="auto"/>
              </w:rPr>
            </w:pPr>
          </w:p>
        </w:tc>
        <w:tc>
          <w:tcPr>
            <w:tcW w:w="232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Fee*</w:t>
            </w:r>
          </w:p>
        </w:tc>
      </w:tr>
      <w:tr>
        <w:trPr>
          <w:trHeight w:val="26"/>
        </w:trPr>
        <w:tc>
          <w:tcPr>
            <w:tcW w:w="6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62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3"/>
        </w:trPr>
        <w:tc>
          <w:tcPr>
            <w:tcW w:w="62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8"/>
              </w:rPr>
              <w:t>≤ 66% but &gt; 33% of $125 million aggregate commitment</w:t>
            </w:r>
          </w:p>
        </w:tc>
        <w:tc>
          <w:tcPr>
            <w:tcW w:w="2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
        </w:trPr>
        <w:tc>
          <w:tcPr>
            <w:tcW w:w="6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4"/>
        </w:trPr>
        <w:tc>
          <w:tcPr>
            <w:tcW w:w="62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 33% of $125 million aggregate commitment</w:t>
            </w:r>
          </w:p>
        </w:tc>
        <w:tc>
          <w:tcPr>
            <w:tcW w:w="2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62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 The Commitment Fee before the ABL Adjustment Date and after the ABL Adjustment Date remain the same as reflected in this table.</w:t>
      </w:r>
    </w:p>
    <w:p>
      <w:pPr>
        <w:spacing w:after="0" w:line="199" w:lineRule="exact"/>
        <w:rPr>
          <w:sz w:val="20"/>
          <w:szCs w:val="20"/>
          <w:color w:val="auto"/>
        </w:rPr>
      </w:pPr>
    </w:p>
    <w:p>
      <w:pPr>
        <w:ind w:right="120" w:firstLine="401"/>
        <w:spacing w:after="0" w:line="253"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financial covenants in the ABL Facility are as follows:</w:t>
      </w:r>
    </w:p>
    <w:p>
      <w:pPr>
        <w:spacing w:after="0" w:line="87" w:lineRule="exact"/>
        <w:rPr>
          <w:sz w:val="20"/>
          <w:szCs w:val="20"/>
          <w:color w:val="auto"/>
        </w:rPr>
      </w:pPr>
    </w:p>
    <w:p>
      <w:pPr>
        <w:ind w:left="640" w:right="120" w:hanging="232"/>
        <w:spacing w:after="0" w:line="27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a minimum Credit EBITDA (as defined in the ABL Facility), as of the end of each fiscal month for the 12-month period then ended (presented below) and (ii) a Minimum Liquidity of $10.0 million.</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260"/>
        </w:trPr>
        <w:tc>
          <w:tcPr>
            <w:tcW w:w="2580" w:type="dxa"/>
            <w:vAlign w:val="bottom"/>
            <w:tcBorders>
              <w:top w:val="single" w:sz="8" w:color="auto"/>
            </w:tcBorders>
          </w:tcPr>
          <w:p>
            <w:pPr>
              <w:spacing w:after="0"/>
              <w:rPr>
                <w:sz w:val="22"/>
                <w:szCs w:val="22"/>
                <w:color w:val="auto"/>
              </w:rPr>
            </w:pPr>
          </w:p>
        </w:tc>
        <w:tc>
          <w:tcPr>
            <w:tcW w:w="7620" w:type="dxa"/>
            <w:vAlign w:val="bottom"/>
            <w:tcBorders>
              <w:top w:val="single" w:sz="8" w:color="auto"/>
            </w:tcBorders>
          </w:tcPr>
          <w:p>
            <w:pPr>
              <w:jc w:val="right"/>
              <w:ind w:right="3151"/>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820" w:type="dxa"/>
            <w:vAlign w:val="bottom"/>
            <w:tcBorders>
              <w:top w:val="single" w:sz="8" w:color="auto"/>
            </w:tcBorders>
          </w:tcPr>
          <w:p>
            <w:pPr>
              <w:spacing w:after="0"/>
              <w:rPr>
                <w:sz w:val="22"/>
                <w:szCs w:val="22"/>
                <w:color w:val="auto"/>
              </w:rPr>
            </w:pP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76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76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w:t>
            </w:r>
          </w:p>
        </w:tc>
      </w:tr>
      <w:tr>
        <w:trPr>
          <w:trHeight w:val="28"/>
        </w:trPr>
        <w:tc>
          <w:tcPr>
            <w:tcW w:w="258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56" w:lineRule="exact"/>
        <w:rPr>
          <w:sz w:val="20"/>
          <w:szCs w:val="20"/>
          <w:color w:val="auto"/>
        </w:rPr>
      </w:pPr>
    </w:p>
    <w:p>
      <w:pPr>
        <w:ind w:left="640" w:right="220" w:hanging="232"/>
        <w:spacing w:after="0" w:line="26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55" w:lineRule="exact"/>
        <w:rPr>
          <w:sz w:val="20"/>
          <w:szCs w:val="20"/>
          <w:color w:val="auto"/>
        </w:rPr>
      </w:pPr>
    </w:p>
    <w:p>
      <w:pPr>
        <w:ind w:right="360" w:firstLine="401"/>
        <w:spacing w:after="0" w:line="278"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42" w:lineRule="exact"/>
        <w:rPr>
          <w:sz w:val="20"/>
          <w:szCs w:val="20"/>
          <w:color w:val="auto"/>
        </w:rPr>
      </w:pPr>
    </w:p>
    <w:p>
      <w:pPr>
        <w:ind w:right="180" w:firstLine="401"/>
        <w:spacing w:after="0" w:line="263" w:lineRule="auto"/>
        <w:rPr>
          <w:sz w:val="20"/>
          <w:szCs w:val="20"/>
          <w:color w:val="auto"/>
        </w:rPr>
      </w:pPr>
      <w:r>
        <w:rPr>
          <w:rFonts w:ascii="Times New Roman" w:cs="Times New Roman" w:eastAsia="Times New Roman" w:hAnsi="Times New Roman"/>
          <w:sz w:val="18"/>
          <w:szCs w:val="18"/>
          <w:color w:val="auto"/>
        </w:rPr>
        <w:t>If at any time the availability under the ABL facility after the ABL Adjustment Date is less than 20% of the maximum aggregate principal amount in effect at such time or an Event of Default occurs, the Company’s current weekly reporting requirements to lenders will continue until the Event of Default is waived, cured or the availability under the ABL facility is above 20% of the maximum aggregate principal amount for 30 consecutive days.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977" w:right="239" w:bottom="1440" w:gutter="0" w:footer="0" w:header="0"/>
        </w:sectPr>
      </w:pPr>
    </w:p>
    <w:bookmarkStart w:id="22" w:name="page23"/>
    <w:bookmarkEnd w:id="22"/>
    <w:p>
      <w:pPr>
        <w:ind w:right="40" w:firstLine="401"/>
        <w:spacing w:after="0" w:line="254"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2022). In the event that the Company cannot certify that all conditions to the borrowing have been met, the lenders can restrict the Company’s future borrowings under the ABL Facility. Because a Cash Dominion Period is currently in effect and the Company is required to represent that no Material Adverse Effect has occurred as a condition to borrowing, the outstanding debt under the ABL Facility (all contractual payments due on June 30, 2026) is classified as a current liability in the condensed consolidated balance sheets.</w:t>
      </w:r>
    </w:p>
    <w:p>
      <w:pPr>
        <w:spacing w:after="0" w:line="50" w:lineRule="exact"/>
        <w:rPr>
          <w:sz w:val="20"/>
          <w:szCs w:val="20"/>
          <w:color w:val="auto"/>
        </w:rPr>
      </w:pPr>
    </w:p>
    <w:p>
      <w:pPr>
        <w:ind w:right="260" w:firstLine="401"/>
        <w:spacing w:after="0" w:line="258"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June 30, 2024, the Company was in compliance with all debt covenants.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103"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On October 26, 2023, Flexible Packaging Film's business unit in Brazil (“Terphane Ltda.”), the Company’s wholly owned subsidiary in Brazil, borrowed $20 million secured by certain of its assets (“Terphane Brazil Loan”). This U.S. Dollar borrowing matures on October 30, 2028, with interest payable quarterly at an annual floating interest rate of the SOFR plus 5.99%. The SOFR rate was 5.35% as of June 30, 2024. Quarterly principal payments of $1.7 million begin starting in year 3 of the loan. There are no prepayment penalties. The Company expects that the Terphane Brazil Loan will be repaid (and collateral released) upon the closing of the Contingent Terphane Sale. On October 26, 2023, the Company borrowed $20 million from Terphane Ltda. (the “Intercompany Loan”) at the same interest rate as the Terphane Brazil Loan, thereby transferring the funds to the U.S. The Company will repay the Intercompany Loan in conjunction with the closing of the Contingent Terphane Sale.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103"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On June 25, 2024, PE Films' business location in Guangzhou, China, Guangzhou Tredegar Film Products Co., Ltd. (“Guangzhou Tredegar”), entered into a 9.5 million Chinese Yuan, which is equivalent to $1.3 million as of June 30, 2024, revolving loan with the Industrial and Commercial Bank of China. The loan matures one year after the first withdrawal, which occurred on July 4, 2024, in the amount of 5 million Chinese Yuan. The interest rate is the one year loan prime rate published by the National Interbank Funding Center for the working day immediately preceding the drawdown date, minus 0.45%. As of June 30, 2024, the National Interbank Funding Center rate was 3.45%. The revolving loan is secured by a mortgage contract listing the Guangzhou Tredegar factory building as collateral. The mortgage contract has a maximum value of 30 million Chinese Yuan and is effective from June 25, 2024 through May 31, 2027.</w:t>
      </w:r>
    </w:p>
    <w:p>
      <w:pPr>
        <w:spacing w:after="0" w:line="301" w:lineRule="exact"/>
        <w:rPr>
          <w:sz w:val="20"/>
          <w:szCs w:val="20"/>
          <w:color w:val="auto"/>
        </w:rPr>
      </w:pPr>
    </w:p>
    <w:p>
      <w:pPr>
        <w:jc w:val="right"/>
        <w:ind w:right="3700"/>
        <w:spacing w:after="0" w:line="351"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ind w:firstLine="401"/>
        <w:spacing w:after="0" w:line="252"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67" w:lineRule="exact"/>
        <w:rPr>
          <w:sz w:val="20"/>
          <w:szCs w:val="20"/>
          <w:color w:val="auto"/>
        </w:rPr>
      </w:pPr>
    </w:p>
    <w:p>
      <w:pPr>
        <w:ind w:left="640" w:right="380" w:hanging="312"/>
        <w:spacing w:after="0" w:line="27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strategic dispositions, including the Contingent Terphane Sale, failure to realize the expected benefits of such dispositions and assumption of unanticipated risks in such dispositions;</w:t>
      </w:r>
    </w:p>
    <w:p>
      <w:pPr>
        <w:spacing w:after="0" w:line="2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transition into an asset-based revolving lending facility;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Company's asset-based credit facility;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recession risks and other lagging effects of the COVID-19 pandemic</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3" w:name="page24"/>
    <w:bookmarkEnd w:id="23"/>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governmental entities to prevent foreign companies from evading anti-dumping and countervailing duties;</w:t>
      </w:r>
    </w:p>
    <w:p>
      <w:pPr>
        <w:spacing w:after="0" w:line="100" w:lineRule="exact"/>
        <w:rPr>
          <w:rFonts w:ascii="Times New Roman" w:cs="Times New Roman" w:eastAsia="Times New Roman" w:hAnsi="Times New Roman"/>
          <w:sz w:val="18"/>
          <w:szCs w:val="18"/>
          <w:color w:val="auto"/>
        </w:rPr>
      </w:pPr>
    </w:p>
    <w:p>
      <w:pPr>
        <w:ind w:left="640" w:right="260" w:hanging="312"/>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delays with the implementation of the enterprise resource planning and manufacturing executions systems, or security breaches and other disruptions to the Company's information technology infrastructure;</w:t>
      </w:r>
    </w:p>
    <w:p>
      <w:pPr>
        <w:spacing w:after="0" w:line="4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0" w:lineRule="exact"/>
        <w:rPr>
          <w:rFonts w:ascii="Times New Roman" w:cs="Times New Roman" w:eastAsia="Times New Roman" w:hAnsi="Times New Roman"/>
          <w:sz w:val="18"/>
          <w:szCs w:val="18"/>
          <w:color w:val="auto"/>
        </w:rPr>
      </w:pPr>
    </w:p>
    <w:p>
      <w:pPr>
        <w:ind w:left="640" w:right="580" w:hanging="312"/>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4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Surface Protection reporting unit's goodwill;</w:t>
      </w:r>
    </w:p>
    <w:p>
      <w:pPr>
        <w:spacing w:after="0" w:line="87"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2023 (the “2023 Form 10-K”). Readers are urged to review and consider carefully the disclosures Tredegar makes in its filings with the SEC.</w:t>
      </w:r>
    </w:p>
    <w:p>
      <w:pPr>
        <w:spacing w:after="0" w:line="39" w:lineRule="exact"/>
        <w:rPr>
          <w:sz w:val="20"/>
          <w:szCs w:val="20"/>
          <w:color w:val="auto"/>
        </w:rPr>
      </w:pPr>
    </w:p>
    <w:p>
      <w:pPr>
        <w:ind w:right="560" w:firstLine="401"/>
        <w:spacing w:after="0" w:line="308"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6" w:lineRule="exact"/>
        <w:rPr>
          <w:sz w:val="20"/>
          <w:szCs w:val="20"/>
          <w:color w:val="auto"/>
        </w:rPr>
      </w:pPr>
    </w:p>
    <w:p>
      <w:pPr>
        <w:ind w:right="20" w:firstLine="401"/>
        <w:spacing w:after="0" w:line="278"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2" w:lineRule="exact"/>
        <w:rPr>
          <w:sz w:val="20"/>
          <w:szCs w:val="20"/>
          <w:color w:val="auto"/>
        </w:rPr>
      </w:pPr>
    </w:p>
    <w:p>
      <w:pPr>
        <w:ind w:right="340" w:firstLine="401"/>
        <w:spacing w:after="0" w:line="278"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1"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2023 Form 10-K have the greatest potential impact on our financial statements, so Tredegar considers these to be its critical accounting policies. Since December 31, 2023, there have been no changes in these policies or estimates that have had a material impact on our results of operations or financial position.</w:t>
      </w:r>
    </w:p>
    <w:p>
      <w:pPr>
        <w:spacing w:after="0" w:line="5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5" w:lineRule="exact"/>
        <w:rPr>
          <w:sz w:val="20"/>
          <w:szCs w:val="20"/>
          <w:color w:val="auto"/>
        </w:rPr>
      </w:pPr>
    </w:p>
    <w:p>
      <w:pPr>
        <w:ind w:right="200" w:firstLine="401"/>
        <w:spacing w:after="0" w:line="255"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1,900 employees, the Company operates manufacturing facilities in North America, South America, and Asia.</w:t>
      </w:r>
    </w:p>
    <w:p>
      <w:pPr>
        <w:spacing w:after="0" w:line="51" w:lineRule="exact"/>
        <w:rPr>
          <w:sz w:val="20"/>
          <w:szCs w:val="20"/>
          <w:color w:val="auto"/>
        </w:rPr>
      </w:pPr>
    </w:p>
    <w:p>
      <w:pPr>
        <w:ind w:right="100" w:firstLine="642"/>
        <w:spacing w:after="0" w:line="278"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24" w:name="page25"/>
    <w:bookmarkEnd w:id="24"/>
    <w:p>
      <w:pPr>
        <w:ind w:right="340"/>
        <w:spacing w:after="0" w:line="278" w:lineRule="auto"/>
        <w:rPr>
          <w:sz w:val="20"/>
          <w:szCs w:val="20"/>
          <w:color w:val="auto"/>
        </w:rPr>
      </w:pPr>
      <w:r>
        <w:rPr>
          <w:rFonts w:ascii="Times New Roman" w:cs="Times New Roman" w:eastAsia="Times New Roman" w:hAnsi="Times New Roman"/>
          <w:sz w:val="18"/>
          <w:szCs w:val="18"/>
          <w:color w:val="auto"/>
        </w:rPr>
        <w:t>performance. The Company uses sales less freight (“net sales”) as its measure of revenues from external customers at the segment level. This measure is separately included in the financial information regularly provided to the CODM.</w:t>
      </w:r>
    </w:p>
    <w:p>
      <w:pPr>
        <w:spacing w:after="0" w:line="29" w:lineRule="exact"/>
        <w:rPr>
          <w:sz w:val="20"/>
          <w:szCs w:val="20"/>
          <w:color w:val="auto"/>
        </w:rPr>
      </w:pPr>
    </w:p>
    <w:p>
      <w:pPr>
        <w:ind w:right="60" w:firstLine="642"/>
        <w:spacing w:after="0" w:line="274" w:lineRule="auto"/>
        <w:rPr>
          <w:sz w:val="20"/>
          <w:szCs w:val="20"/>
          <w:color w:val="auto"/>
        </w:rPr>
      </w:pPr>
      <w:r>
        <w:rPr>
          <w:rFonts w:ascii="Times New Roman" w:cs="Times New Roman" w:eastAsia="Times New Roman" w:hAnsi="Times New Roman"/>
          <w:sz w:val="17"/>
          <w:szCs w:val="17"/>
          <w:color w:val="auto"/>
        </w:rPr>
        <w:t>Earnings before interest and taxes ("EBIT") from ongoing operations is a non-GAAP financial measure included in the reconciliation of segment financial information to consolidated results for the Company in Note 9.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48" w:lineRule="exact"/>
        <w:rPr>
          <w:sz w:val="20"/>
          <w:szCs w:val="20"/>
          <w:color w:val="auto"/>
        </w:rPr>
      </w:pPr>
    </w:p>
    <w:p>
      <w:pPr>
        <w:ind w:right="80" w:firstLine="401"/>
        <w:spacing w:after="0" w:line="278" w:lineRule="auto"/>
        <w:rPr>
          <w:sz w:val="20"/>
          <w:szCs w:val="20"/>
          <w:color w:val="auto"/>
        </w:rPr>
      </w:pPr>
      <w:r>
        <w:rPr>
          <w:rFonts w:ascii="Times New Roman" w:cs="Times New Roman" w:eastAsia="Times New Roman" w:hAnsi="Times New Roman"/>
          <w:sz w:val="18"/>
          <w:szCs w:val="18"/>
          <w:color w:val="auto"/>
        </w:rPr>
        <w:t>Second quarter 2024 net income (loss) was $8.8 million ($0.26 per diluted share) compared to $(18.9) million ($(0.56) per diluted share) in the second quarter of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 Highlights</w:t>
      </w:r>
    </w:p>
    <w:p>
      <w:pPr>
        <w:spacing w:after="0" w:line="91" w:lineRule="exact"/>
        <w:rPr>
          <w:sz w:val="20"/>
          <w:szCs w:val="20"/>
          <w:color w:val="auto"/>
        </w:rPr>
      </w:pPr>
    </w:p>
    <w:p>
      <w:pPr>
        <w:ind w:left="320" w:right="100" w:hanging="313"/>
        <w:spacing w:after="0" w:line="277" w:lineRule="auto"/>
        <w:tabs>
          <w:tab w:leader="none" w:pos="31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EBITDA from ongoing operations for Aluminum Extrusions (also referred to as "Bonnell Aluminum") was $12.9 million in the second quarter of 2024 versus $10.2 million in the second quarter of last year and $12.5 million in the first quarter of 2024.</w:t>
      </w:r>
    </w:p>
    <w:p>
      <w:pPr>
        <w:spacing w:after="0" w:line="42" w:lineRule="exact"/>
        <w:rPr>
          <w:rFonts w:ascii="Arial" w:cs="Arial" w:eastAsia="Arial" w:hAnsi="Arial"/>
          <w:sz w:val="18"/>
          <w:szCs w:val="18"/>
          <w:color w:val="auto"/>
        </w:rPr>
      </w:pPr>
    </w:p>
    <w:p>
      <w:pPr>
        <w:ind w:left="980" w:right="360" w:hanging="331"/>
        <w:spacing w:after="0" w:line="277" w:lineRule="auto"/>
        <w:tabs>
          <w:tab w:leader="none" w:pos="976" w:val="left"/>
        </w:tabs>
        <w:numPr>
          <w:ilvl w:val="1"/>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Sales volume was 34.9 million pounds in the second quarter of 2024 versus 35.5 million pounds in the second quarter of last year and 33.8 million pounds in the first quarter of 2024.</w:t>
      </w:r>
    </w:p>
    <w:p>
      <w:pPr>
        <w:spacing w:after="0" w:line="42" w:lineRule="exact"/>
        <w:rPr>
          <w:rFonts w:ascii="Arial" w:cs="Arial" w:eastAsia="Arial" w:hAnsi="Arial"/>
          <w:sz w:val="18"/>
          <w:szCs w:val="18"/>
          <w:color w:val="auto"/>
        </w:rPr>
      </w:pPr>
    </w:p>
    <w:p>
      <w:pPr>
        <w:ind w:left="980" w:right="60" w:hanging="331"/>
        <w:spacing w:after="0" w:line="262" w:lineRule="auto"/>
        <w:tabs>
          <w:tab w:leader="none" w:pos="976" w:val="left"/>
        </w:tabs>
        <w:numPr>
          <w:ilvl w:val="1"/>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Open orders at the end of the second quarter of 2024 were approximately 14 million pounds (versus 20 million pounds in the second quarter of 2023 and 15 million pounds at the end of the first quarter of 2024). Net new orders increased 17% in the second quarter of 2024 versus the second quarter of 2023 and were relatively flat versus the first quarter of 2024.</w:t>
      </w:r>
    </w:p>
    <w:p>
      <w:pPr>
        <w:spacing w:after="0" w:line="43" w:lineRule="exact"/>
        <w:rPr>
          <w:rFonts w:ascii="Arial" w:cs="Arial" w:eastAsia="Arial" w:hAnsi="Arial"/>
          <w:sz w:val="18"/>
          <w:szCs w:val="18"/>
          <w:color w:val="auto"/>
        </w:rPr>
      </w:pPr>
    </w:p>
    <w:p>
      <w:pPr>
        <w:ind w:left="320" w:right="180" w:hanging="313"/>
        <w:spacing w:after="0" w:line="262" w:lineRule="auto"/>
        <w:tabs>
          <w:tab w:leader="none" w:pos="31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EBITDA from ongoing operations for PE Films was $10.1 million in the second quarter of 2024 versus $0.8 million in the second quarter of 2023 and $6.9 million in the first quarter of 2024. Sales volume was 10.5 million pounds in the second quarter of 2024 versus 6.2 million pounds in the second quarter of 2023 and 10.0 million pounds in the first quarter of 2024.</w:t>
      </w:r>
    </w:p>
    <w:p>
      <w:pPr>
        <w:spacing w:after="0" w:line="56" w:lineRule="exact"/>
        <w:rPr>
          <w:rFonts w:ascii="Arial" w:cs="Arial" w:eastAsia="Arial" w:hAnsi="Arial"/>
          <w:sz w:val="18"/>
          <w:szCs w:val="18"/>
          <w:color w:val="auto"/>
        </w:rPr>
      </w:pPr>
    </w:p>
    <w:p>
      <w:pPr>
        <w:ind w:left="320" w:hanging="313"/>
        <w:spacing w:after="0" w:line="257" w:lineRule="auto"/>
        <w:tabs>
          <w:tab w:leader="none" w:pos="31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EBITDA from ongoing operations for Flexible Packaging Films (also referred to as "Terphane") was $3.2 million during the second quarter of 2024 versus $0.2 million in the second quarter of 2023 and $2.0 million during the first quarter of 2024. Sales volume was 25.1 million pounds in the second quarter of 2024 versus 23.7 million pounds in the second quarter 2023 and 22.0 million pounds in the first quarter of 2024. See the "Status of Agreement to Sell Terphane"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 for information on the planned sale of Terphane.</w:t>
      </w:r>
    </w:p>
    <w:p>
      <w:pPr>
        <w:spacing w:after="0" w:line="62"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Performance of EBITDA from ongoing operations continued to improve sequentially after suffering a period of losses in 2023. In Aluminum Extrusions, net new orders and sales volume have increased since the third quarter of 2023, which the Company views as the bottom of the recent severe down cycle. EBITDA from ongoing operations and sales volume in PE Films exceeded normal levels in the second quarter of 2024 due to the restocking of Surface Protection customer inventories, which were abnormally low. Terphane’s profitability showed improvement from depressed levels for the fourth straight quarter while the review process of the agreement to sell it to Oben Group continues to reside with competition authorities in Brazil with a maximum deadline of November 18, 2024. While the recent business rebound has had a positive impact on overall operating results and overall net financial leverage, the Company continues to focus on prudently managing costs, working capital and capital spending.</w:t>
      </w:r>
    </w:p>
    <w:p>
      <w:pPr>
        <w:spacing w:after="0" w:line="4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of 2024 Compared with the Second Quarter of 2023</w:t>
      </w:r>
    </w:p>
    <w:p>
      <w:pPr>
        <w:spacing w:after="0" w:line="103" w:lineRule="exact"/>
        <w:rPr>
          <w:sz w:val="20"/>
          <w:szCs w:val="20"/>
          <w:color w:val="auto"/>
        </w:rPr>
      </w:pPr>
    </w:p>
    <w:p>
      <w:pPr>
        <w:ind w:right="920"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second quarter of 2023 to the second quarter of 2024 with management's related discussion and analysis below the table.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649605</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June 30, 2023</w:t>
            </w:r>
          </w:p>
        </w:tc>
        <w:tc>
          <w:tcPr>
            <w:tcW w:w="26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r>
      <w:tr>
        <w:trPr>
          <w:trHeight w:val="227"/>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June 30, 2023</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r>
      <w:tr>
        <w:trPr>
          <w:trHeight w:val="227"/>
        </w:trPr>
        <w:tc>
          <w:tcPr>
            <w:tcW w:w="7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r>
      <w:tr>
        <w:trPr>
          <w:trHeight w:val="227"/>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27"/>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7"/>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r>
      <w:tr>
        <w:trPr>
          <w:trHeight w:val="227"/>
        </w:trPr>
        <w:tc>
          <w:tcPr>
            <w:tcW w:w="7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1"/>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w:t>
            </w: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June 30, 2024</w:t>
            </w:r>
          </w:p>
        </w:tc>
        <w:tc>
          <w:tcPr>
            <w:tcW w:w="2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27"/>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7"/>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June 30, 2024</w:t>
            </w:r>
          </w:p>
        </w:tc>
        <w:tc>
          <w:tcPr>
            <w:tcW w:w="2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r>
    </w:tbl>
    <w:p>
      <w:pPr>
        <w:spacing w:after="0" w:line="156" w:lineRule="exact"/>
        <w:rPr>
          <w:sz w:val="20"/>
          <w:szCs w:val="20"/>
          <w:color w:val="auto"/>
        </w:rPr>
      </w:pPr>
    </w:p>
    <w:p>
      <w:pPr>
        <w:ind w:right="140" w:firstLine="401"/>
        <w:spacing w:after="0" w:line="254" w:lineRule="auto"/>
        <w:rPr>
          <w:sz w:val="20"/>
          <w:szCs w:val="20"/>
          <w:color w:val="auto"/>
        </w:rPr>
      </w:pPr>
      <w:r>
        <w:rPr>
          <w:rFonts w:ascii="Times New Roman" w:cs="Times New Roman" w:eastAsia="Times New Roman" w:hAnsi="Times New Roman"/>
          <w:sz w:val="18"/>
          <w:szCs w:val="18"/>
          <w:color w:val="auto"/>
        </w:rPr>
        <w:t xml:space="preserve">Sales in the second quarter of 2024 increased by $12.1 million compared with the second quarter of 2023. Net sales (sales less freight) in Aluminum Extrusions decreased $2.4 million, primarily due to lower sales volume, the pass-through of slightly lower metal costs and pricing pressure. Net sales in PE Films increased $13.3 million, primarily due to volume increases in Surface Protection. Net sales in Flexible Packaging Films increased $1.3 million, primarily due to higher sales volume and favorable product mix, partially offset by lower selling prices that the Company believes are driven by excess global capacity and strong competition in Brazil, Latin America and the U.S. For more information on net sales and volume, see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below.</w:t>
      </w:r>
    </w:p>
    <w:p>
      <w:pPr>
        <w:spacing w:after="0" w:line="63" w:lineRule="exact"/>
        <w:rPr>
          <w:sz w:val="20"/>
          <w:szCs w:val="20"/>
          <w:color w:val="auto"/>
        </w:rPr>
      </w:pPr>
    </w:p>
    <w:p>
      <w:pPr>
        <w:ind w:right="60" w:firstLine="401"/>
        <w:spacing w:after="0" w:line="251"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18.1% in the second quarter of 2024 compared to 9.9% in the second quarter of 2023. The gross profit margin in Aluminum Extrusions increased compared to the prior year period primarily due to higher net net pricing after the pass-through of metal cost changes, manufacturing cost improvements, including lower supply expense and lower freight rates, partially offset by lower volume. Additionally, the timing of the flow through under the first-in first-out method ("FIFO") of aluminum raw material costs, which were previously acquired at lower prices in a quickly changing commodity pricing environment and passed through to customers, resulted in a benefit of $1.2 million in the second quarter of 2024 versus a charge of $1.3 million in the second quarter of 2023. The gross profit margin in PE Films increased due to a higher Surface Protection contribution margin associated with substantially higher volume, favorable pricing, operating efficiencies and manufacturing costs savings and lower fixed costs. The gross profit margin in Flexible Packaging Films increased primarily due to lower raw material costs, lower fixed costs, favorable product mix and higher sales volume, partially offset by lower selling prices from global excess capacity and margin pressures.</w:t>
      </w:r>
    </w:p>
    <w:p>
      <w:pPr>
        <w:spacing w:after="0" w:line="55" w:lineRule="exact"/>
        <w:rPr>
          <w:sz w:val="20"/>
          <w:szCs w:val="20"/>
          <w:color w:val="auto"/>
        </w:rPr>
      </w:pPr>
    </w:p>
    <w:p>
      <w:pPr>
        <w:ind w:right="480" w:firstLine="401"/>
        <w:spacing w:after="0" w:line="278"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of 10.5% in the second quarter of 2024 remained consistent with the second quarter of 2023.</w:t>
      </w:r>
    </w:p>
    <w:p>
      <w:pPr>
        <w:spacing w:after="0" w:line="29" w:lineRule="exact"/>
        <w:rPr>
          <w:sz w:val="20"/>
          <w:szCs w:val="20"/>
          <w:color w:val="auto"/>
        </w:rPr>
      </w:pPr>
    </w:p>
    <w:p>
      <w:pPr>
        <w:ind w:right="400" w:firstLine="401"/>
        <w:spacing w:after="0" w:line="262" w:lineRule="auto"/>
        <w:rPr>
          <w:sz w:val="20"/>
          <w:szCs w:val="20"/>
          <w:color w:val="auto"/>
        </w:rPr>
      </w:pPr>
      <w:r>
        <w:rPr>
          <w:rFonts w:ascii="Times New Roman" w:cs="Times New Roman" w:eastAsia="Times New Roman" w:hAnsi="Times New Roman"/>
          <w:sz w:val="18"/>
          <w:szCs w:val="18"/>
          <w:color w:val="auto"/>
        </w:rPr>
        <w:t>During 2023, the Company settled its pension plan, which decreased the pension and other postretirement expenses for the second quarter of 2024 compared to the second quarter of 2023. See Note 4 for additional information.</w:t>
      </w:r>
    </w:p>
    <w:p>
      <w:pPr>
        <w:spacing w:after="0" w:line="43" w:lineRule="exact"/>
        <w:rPr>
          <w:sz w:val="20"/>
          <w:szCs w:val="20"/>
          <w:color w:val="auto"/>
        </w:rPr>
      </w:pPr>
    </w:p>
    <w:p>
      <w:pPr>
        <w:ind w:right="380" w:firstLine="401"/>
        <w:spacing w:after="0" w:line="278" w:lineRule="auto"/>
        <w:rPr>
          <w:sz w:val="20"/>
          <w:szCs w:val="20"/>
          <w:color w:val="auto"/>
        </w:rPr>
      </w:pPr>
      <w:r>
        <w:rPr>
          <w:rFonts w:ascii="Times New Roman" w:cs="Times New Roman" w:eastAsia="Times New Roman" w:hAnsi="Times New Roman"/>
          <w:sz w:val="18"/>
          <w:szCs w:val="18"/>
          <w:color w:val="auto"/>
        </w:rPr>
        <w:t>Interest expense of $3.4 million in the second quarter of 2024 increased $1.0 million compared to the second quarter of 2023 due to higher interest rates. See Note 10 for additional information.</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second quarter of 2023, a non-cash partial goodwill impairment of $15.4 million was recognized, see Note 1 for more information.</w:t>
      </w:r>
    </w:p>
    <w:p>
      <w:pPr>
        <w:spacing w:after="0" w:line="101" w:lineRule="exact"/>
        <w:rPr>
          <w:sz w:val="20"/>
          <w:szCs w:val="20"/>
          <w:color w:val="auto"/>
        </w:rPr>
      </w:pPr>
    </w:p>
    <w:p>
      <w:pPr>
        <w:ind w:right="260" w:firstLine="401"/>
        <w:spacing w:after="0" w:line="278" w:lineRule="auto"/>
        <w:rPr>
          <w:sz w:val="20"/>
          <w:szCs w:val="20"/>
          <w:color w:val="auto"/>
        </w:rPr>
      </w:pPr>
      <w:r>
        <w:rPr>
          <w:rFonts w:ascii="Times New Roman" w:cs="Times New Roman" w:eastAsia="Times New Roman" w:hAnsi="Times New Roman"/>
          <w:sz w:val="18"/>
          <w:szCs w:val="18"/>
          <w:color w:val="auto"/>
        </w:rPr>
        <w:t>The effective tax rate used to compute income taxes was 18.3% in the second quarter of 2024 compared to 15.0% in the second quarter of 2023. See Note 8 for additional information.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6" w:name="page27"/>
    <w:bookmarkEnd w:id="26"/>
    <w:p>
      <w:pPr>
        <w:ind w:right="100" w:firstLine="401"/>
        <w:spacing w:after="0" w:line="281" w:lineRule="auto"/>
        <w:rPr>
          <w:sz w:val="20"/>
          <w:szCs w:val="20"/>
          <w:color w:val="auto"/>
        </w:rPr>
      </w:pPr>
      <w:r>
        <w:rPr>
          <w:rFonts w:ascii="Times New Roman" w:cs="Times New Roman" w:eastAsia="Times New Roman" w:hAnsi="Times New Roman"/>
          <w:sz w:val="17"/>
          <w:szCs w:val="17"/>
          <w:color w:val="auto"/>
        </w:rPr>
        <w:t>Pre-tax gains and losses associated with plant shutdowns, asset impairments, restructurings and other items for the second quarters of 2024 and 2023 detailed below are shown in the statements of net sales and EBITDA from ongoing operations by segment in Note 9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30"/>
        </w:trPr>
        <w:tc>
          <w:tcPr>
            <w:tcW w:w="88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w w:val="99"/>
              </w:rPr>
              <w:t>Three Months Ended June 30,</w:t>
            </w:r>
          </w:p>
        </w:tc>
      </w:tr>
      <w:tr>
        <w:trPr>
          <w:trHeight w:val="232"/>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860" w:type="dxa"/>
            <w:vAlign w:val="bottom"/>
            <w:tcBorders>
              <w:bottom w:val="single" w:sz="8" w:color="auto"/>
            </w:tcBorders>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4</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4"/>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886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886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Group annuity contract premium expense adjustment</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74"/>
        </w:trPr>
        <w:tc>
          <w:tcPr>
            <w:tcW w:w="886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 the</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1"/>
        </w:trPr>
        <w:tc>
          <w:tcPr>
            <w:tcW w:w="8860" w:type="dxa"/>
            <w:vAlign w:val="bottom"/>
            <w:shd w:val="clear" w:color="auto" w:fill="CCEEFF"/>
          </w:tcPr>
          <w:p>
            <w:pPr>
              <w:ind w:left="340"/>
              <w:spacing w:after="0" w:line="241" w:lineRule="exact"/>
              <w:rPr>
                <w:sz w:val="20"/>
                <w:szCs w:val="20"/>
                <w:color w:val="auto"/>
              </w:rPr>
            </w:pPr>
            <w:r>
              <w:rPr>
                <w:rFonts w:ascii="Times New Roman" w:cs="Times New Roman" w:eastAsia="Times New Roman" w:hAnsi="Times New Roman"/>
                <w:sz w:val="18"/>
                <w:szCs w:val="18"/>
                <w:color w:val="auto"/>
              </w:rPr>
              <w:t>2020 special dividend</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860" w:type="dxa"/>
            <w:vAlign w:val="bottom"/>
            <w:tcBorders>
              <w:bottom w:val="single" w:sz="8" w:color="auto"/>
            </w:tcBorders>
          </w:tcPr>
          <w:p>
            <w:pPr>
              <w:ind w:left="140"/>
              <w:spacing w:after="0" w:line="228"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ind w:left="180" w:hanging="155"/>
        <w:spacing w:after="0" w:line="232" w:lineRule="auto"/>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5"/>
        <w:spacing w:after="0" w:line="209" w:lineRule="auto"/>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5"/>
        <w:spacing w:after="0" w:line="209" w:lineRule="auto"/>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for additional information.</w:t>
      </w:r>
    </w:p>
    <w:p>
      <w:pPr>
        <w:ind w:left="180" w:hanging="155"/>
        <w:spacing w:after="0"/>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for additional information.</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3"/>
          </w:tcPr>
          <w:p>
            <w:pPr>
              <w:jc w:val="right"/>
              <w:ind w:right="651"/>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2"/>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146.9</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150.0</w:t>
            </w:r>
          </w:p>
        </w:tc>
      </w:tr>
      <w:tr>
        <w:trPr>
          <w:trHeight w:val="227"/>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rate</w:t>
            </w:r>
          </w:p>
        </w:tc>
        <w:tc>
          <w:tcPr>
            <w:tcW w:w="1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2024 Compared with the First Six Months of 2023</w:t>
      </w:r>
    </w:p>
    <w:p>
      <w:pPr>
        <w:spacing w:after="0" w:line="89" w:lineRule="exact"/>
        <w:rPr>
          <w:sz w:val="20"/>
          <w:szCs w:val="20"/>
          <w:color w:val="auto"/>
        </w:rPr>
      </w:pPr>
    </w:p>
    <w:p>
      <w:pPr>
        <w:ind w:right="800"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first six months of 2023 to the first six months of 2024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six months ended June 30, 2023</w:t>
            </w:r>
          </w:p>
        </w:tc>
        <w:tc>
          <w:tcPr>
            <w:tcW w:w="26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r>
      <w:tr>
        <w:trPr>
          <w:trHeight w:val="227"/>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six months ended June 30, 2023</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7"/>
        </w:trPr>
        <w:tc>
          <w:tcPr>
            <w:tcW w:w="7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1"/>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r>
      <w:tr>
        <w:trPr>
          <w:trHeight w:val="227"/>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7"/>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7"/>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7"/>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27"/>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7"/>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r>
      <w:tr>
        <w:trPr>
          <w:trHeight w:val="227"/>
        </w:trPr>
        <w:tc>
          <w:tcPr>
            <w:tcW w:w="7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1"/>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six months ended June 30, 2024</w:t>
            </w:r>
          </w:p>
        </w:tc>
        <w:tc>
          <w:tcPr>
            <w:tcW w:w="2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w:t>
            </w:r>
          </w:p>
        </w:tc>
      </w:tr>
      <w:tr>
        <w:trPr>
          <w:trHeight w:val="227"/>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27"/>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for the six months ended June 30, 2024</w:t>
            </w:r>
          </w:p>
        </w:tc>
        <w:tc>
          <w:tcPr>
            <w:tcW w:w="2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r>
    </w:tbl>
    <w:p>
      <w:pPr>
        <w:spacing w:after="0" w:line="156" w:lineRule="exact"/>
        <w:rPr>
          <w:sz w:val="20"/>
          <w:szCs w:val="20"/>
          <w:color w:val="auto"/>
        </w:rPr>
      </w:pPr>
    </w:p>
    <w:p>
      <w:pPr>
        <w:ind w:right="160" w:firstLine="401"/>
        <w:spacing w:after="0" w:line="255" w:lineRule="auto"/>
        <w:rPr>
          <w:sz w:val="20"/>
          <w:szCs w:val="20"/>
          <w:color w:val="auto"/>
        </w:rPr>
      </w:pPr>
      <w:r>
        <w:rPr>
          <w:rFonts w:ascii="Times New Roman" w:cs="Times New Roman" w:eastAsia="Times New Roman" w:hAnsi="Times New Roman"/>
          <w:sz w:val="18"/>
          <w:szCs w:val="18"/>
          <w:color w:val="auto"/>
        </w:rPr>
        <w:t xml:space="preserve">Sales in the first six months of 2024 decreased by $3.3 million compared with the first six months of 2023. Net sales in Aluminum Extrusions decreased $21.6 million, primarily due to lower sales volume and the pass-through of lower metal costs. Net sales in PE Films increased $17.8 million, primarily due to an increase in sales volume in Surface Protection. Net sales in Flexible Packaging Films were relatively flat, primarily due to lower selling prices that the Company believes are driven by excess global capacity and strong competition in Brazil, Latin America and the U.S, offset by higher sales volume.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64" w:lineRule="exact"/>
        <w:rPr>
          <w:sz w:val="20"/>
          <w:szCs w:val="20"/>
          <w:color w:val="auto"/>
        </w:rPr>
      </w:pPr>
    </w:p>
    <w:p>
      <w:pPr>
        <w:ind w:right="20" w:firstLine="401"/>
        <w:spacing w:after="0" w:line="251"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16.8% in the first six months of 2024 compared to 11.7% in the first six months of 2023. The gross profit margin in Aluminum Extrusions increased compared to the prior year period primarily due to higher net pricing after the pass-through of metal cost changes, manufacturing cost improvements, including lower supply expense, and lower freight rates, partially offset by lower volume. Additionally, the timing of the flow through under the FIFO method of aluminum raw material costs, which were previously acquired at lower prices in a quickly changing commodity pricing environment and passed through to customers, resulted in a charge of $0.1 million in the first six months of 2024 versus a benefit of $0.4 million in the first six months of 2023. The gross profit margin in PE Films increased due to a higher Surface Protection contribution margin associated with substantially higher volume, favorable pricing, operating efficiencies and manufacturing costs savings, lower fixed costs and cost improvements from overwrap films. The gross profit margin in Flexible Packaging Films increased primarily due to lower raw material costs, lower fixed costs, higher sales volume and favorable product mix, partially offset by lower selling prices from global excess capacity and margin pressures and higher variable costs.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 percentage of sales, SG&amp;A and R&amp;D expenses of 10.6% in the first six months of 2024 remained consistent with the first six months of 2023.</w:t>
      </w:r>
    </w:p>
    <w:p>
      <w:pPr>
        <w:spacing w:after="0" w:line="74" w:lineRule="exact"/>
        <w:rPr>
          <w:sz w:val="20"/>
          <w:szCs w:val="20"/>
          <w:color w:val="auto"/>
        </w:rPr>
      </w:pPr>
    </w:p>
    <w:p>
      <w:pPr>
        <w:ind w:right="340" w:firstLine="401"/>
        <w:spacing w:after="0" w:line="262" w:lineRule="auto"/>
        <w:rPr>
          <w:sz w:val="20"/>
          <w:szCs w:val="20"/>
          <w:color w:val="auto"/>
        </w:rPr>
      </w:pPr>
      <w:r>
        <w:rPr>
          <w:rFonts w:ascii="Times New Roman" w:cs="Times New Roman" w:eastAsia="Times New Roman" w:hAnsi="Times New Roman"/>
          <w:sz w:val="18"/>
          <w:szCs w:val="18"/>
          <w:color w:val="auto"/>
        </w:rPr>
        <w:t>During 2023, the Company settled its pension plan, which decreased the pension and other postretirement expenses for the first six months of 2024 compared to the first six months of 2023. See Note 4 for additional information.</w:t>
      </w:r>
    </w:p>
    <w:p>
      <w:pPr>
        <w:spacing w:after="0" w:line="56" w:lineRule="exact"/>
        <w:rPr>
          <w:sz w:val="20"/>
          <w:szCs w:val="20"/>
          <w:color w:val="auto"/>
        </w:rPr>
      </w:pPr>
    </w:p>
    <w:p>
      <w:pPr>
        <w:ind w:right="220" w:firstLine="401"/>
        <w:spacing w:after="0" w:line="278" w:lineRule="auto"/>
        <w:rPr>
          <w:sz w:val="20"/>
          <w:szCs w:val="20"/>
          <w:color w:val="auto"/>
        </w:rPr>
      </w:pPr>
      <w:r>
        <w:rPr>
          <w:rFonts w:ascii="Times New Roman" w:cs="Times New Roman" w:eastAsia="Times New Roman" w:hAnsi="Times New Roman"/>
          <w:sz w:val="18"/>
          <w:szCs w:val="18"/>
          <w:color w:val="auto"/>
        </w:rPr>
        <w:t>Interest expense of $6.8 million in the first six months of 2024 increased $2.1 million compared to the first six months of 2023 due to higher average debt levels and interest rates. See Note 10 for additional information.</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first half of 2023, a non-cash partial goodwill impairment of $15.4 million was recognized, see Note 1 for more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8" w:name="page29"/>
    <w:bookmarkEnd w:id="28"/>
    <w:p>
      <w:pPr>
        <w:ind w:right="120" w:firstLine="401"/>
        <w:spacing w:after="0" w:line="278" w:lineRule="auto"/>
        <w:rPr>
          <w:sz w:val="20"/>
          <w:szCs w:val="20"/>
          <w:color w:val="auto"/>
        </w:rPr>
      </w:pPr>
      <w:r>
        <w:rPr>
          <w:rFonts w:ascii="Times New Roman" w:cs="Times New Roman" w:eastAsia="Times New Roman" w:hAnsi="Times New Roman"/>
          <w:sz w:val="18"/>
          <w:szCs w:val="18"/>
          <w:color w:val="auto"/>
        </w:rPr>
        <w:t>The effective tax rate used to compute income taxes was 17.9% in the first six months of 2024 compared to 13.1% in the first six months of 2023. See Note 8 for additional information.</w:t>
      </w:r>
    </w:p>
    <w:p>
      <w:pPr>
        <w:spacing w:after="0" w:line="29" w:lineRule="exact"/>
        <w:rPr>
          <w:sz w:val="20"/>
          <w:szCs w:val="20"/>
          <w:color w:val="auto"/>
        </w:rPr>
      </w:pPr>
    </w:p>
    <w:p>
      <w:pPr>
        <w:ind w:right="100" w:firstLine="401"/>
        <w:spacing w:after="0" w:line="281" w:lineRule="auto"/>
        <w:rPr>
          <w:sz w:val="20"/>
          <w:szCs w:val="20"/>
          <w:color w:val="auto"/>
        </w:rPr>
      </w:pPr>
      <w:r>
        <w:rPr>
          <w:rFonts w:ascii="Times New Roman" w:cs="Times New Roman" w:eastAsia="Times New Roman" w:hAnsi="Times New Roman"/>
          <w:sz w:val="17"/>
          <w:szCs w:val="17"/>
          <w:color w:val="auto"/>
        </w:rPr>
        <w:t>Pre-tax gains and losses associated with plant shutdowns, asset impairments, restructurings and other items for the first six months of 2024 and 2023 detailed below are shown in the statements of net sales and EBITDA from ongoing operations by segment in Note 9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30"/>
        </w:trPr>
        <w:tc>
          <w:tcPr>
            <w:tcW w:w="85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540" w:type="dxa"/>
            <w:vAlign w:val="bottom"/>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tcPr>
          <w:p>
            <w:pPr>
              <w:ind w:left="460"/>
              <w:spacing w:after="0" w:line="228"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8540" w:type="dxa"/>
            <w:vAlign w:val="bottom"/>
            <w:tcBorders>
              <w:bottom w:val="single" w:sz="8" w:color="auto"/>
            </w:tcBorders>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5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Richmond, Virginia Technical Center lease abandonment</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5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5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854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85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Group annuity contract premium expense adjustment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54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79"/>
        </w:trPr>
        <w:tc>
          <w:tcPr>
            <w:tcW w:w="8540" w:type="dxa"/>
            <w:vAlign w:val="bottom"/>
          </w:tcPr>
          <w:p>
            <w:pPr>
              <w:ind w:left="340"/>
              <w:spacing w:after="0" w:line="179"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6"/>
        </w:trPr>
        <w:tc>
          <w:tcPr>
            <w:tcW w:w="8540" w:type="dxa"/>
            <w:vAlign w:val="bottom"/>
          </w:tcPr>
          <w:p>
            <w:pPr>
              <w:ind w:left="340"/>
              <w:spacing w:after="0" w:line="235" w:lineRule="exact"/>
              <w:rPr>
                <w:sz w:val="20"/>
                <w:szCs w:val="20"/>
                <w:color w:val="auto"/>
              </w:rPr>
            </w:pPr>
            <w:r>
              <w:rPr>
                <w:rFonts w:ascii="Times New Roman" w:cs="Times New Roman" w:eastAsia="Times New Roman" w:hAnsi="Times New Roman"/>
                <w:sz w:val="18"/>
                <w:szCs w:val="18"/>
                <w:color w:val="auto"/>
              </w:rPr>
              <w:t>the 2020 special dividend</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540" w:type="dxa"/>
            <w:vAlign w:val="bottom"/>
            <w:tcBorders>
              <w:bottom w:val="single" w:sz="8" w:color="auto"/>
            </w:tcBorders>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ind w:left="180" w:hanging="155"/>
        <w:spacing w:after="0"/>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5"/>
        <w:spacing w:after="0" w:line="209"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5"/>
        <w:spacing w:after="0" w:line="209"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for additional information.</w:t>
      </w:r>
    </w:p>
    <w:p>
      <w:pPr>
        <w:ind w:left="180" w:hanging="155"/>
        <w:spacing w:after="0"/>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for additional information.</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3"/>
          </w:tcPr>
          <w:p>
            <w:pPr>
              <w:jc w:val="right"/>
              <w:ind w:right="73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150.0</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148.5</w:t>
            </w:r>
          </w:p>
        </w:tc>
      </w:tr>
      <w:tr>
        <w:trPr>
          <w:trHeight w:val="227"/>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rate</w:t>
            </w:r>
          </w:p>
        </w:tc>
        <w:tc>
          <w:tcPr>
            <w:tcW w:w="1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843"/>
        </w:trPr>
        <w:tc>
          <w:tcPr>
            <w:tcW w:w="6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3"/>
        </w:trPr>
        <w:tc>
          <w:tcPr>
            <w:tcW w:w="6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9" w:name="page30"/>
    <w:bookmarkEnd w:id="29"/>
    <w:p>
      <w:pPr>
        <w:jc w:val="cente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451"/>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80" w:type="dxa"/>
            <w:vAlign w:val="bottom"/>
          </w:tcPr>
          <w:p>
            <w:pPr>
              <w:spacing w:after="0"/>
              <w:rPr>
                <w:sz w:val="20"/>
                <w:szCs w:val="20"/>
                <w:color w:val="auto"/>
              </w:rPr>
            </w:pPr>
          </w:p>
        </w:tc>
        <w:tc>
          <w:tcPr>
            <w:tcW w:w="232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8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(Unfavorable)</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Pr>
          <w:p>
            <w:pPr>
              <w:jc w:val="center"/>
              <w:ind w:left="31"/>
              <w:spacing w:after="0" w:line="163" w:lineRule="exact"/>
              <w:rPr>
                <w:sz w:val="20"/>
                <w:szCs w:val="20"/>
                <w:color w:val="auto"/>
              </w:rPr>
            </w:pPr>
            <w:r>
              <w:rPr>
                <w:rFonts w:ascii="Times New Roman" w:cs="Times New Roman" w:eastAsia="Times New Roman" w:hAnsi="Times New Roman"/>
                <w:sz w:val="18"/>
                <w:szCs w:val="18"/>
                <w:color w:val="auto"/>
                <w:w w:val="98"/>
              </w:rPr>
              <w:t>(Unfavorable)</w:t>
            </w:r>
          </w:p>
        </w:tc>
        <w:tc>
          <w:tcPr>
            <w:tcW w:w="0" w:type="dxa"/>
            <w:vAlign w:val="bottom"/>
          </w:tcPr>
          <w:p>
            <w:pPr>
              <w:spacing w:after="0"/>
              <w:rPr>
                <w:sz w:val="1"/>
                <w:szCs w:val="1"/>
                <w:color w:val="auto"/>
              </w:rPr>
            </w:pPr>
          </w:p>
        </w:tc>
      </w:tr>
      <w:tr>
        <w:trPr>
          <w:trHeight w:val="232"/>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2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34,906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68,747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73,054</w:t>
            </w:r>
          </w:p>
        </w:tc>
        <w:tc>
          <w:tcPr>
            <w:tcW w:w="14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119,413</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121,827</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233,636</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255,197</w:t>
            </w:r>
          </w:p>
        </w:tc>
        <w:tc>
          <w:tcPr>
            <w:tcW w:w="14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12,907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26.3%</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25,447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7"/>
        </w:trPr>
        <w:tc>
          <w:tcPr>
            <w:tcW w:w="2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48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7"/>
        </w:trPr>
        <w:tc>
          <w:tcPr>
            <w:tcW w:w="2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8,461</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39.6%</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16,459</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4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1,463</w:t>
            </w:r>
          </w:p>
        </w:tc>
        <w:tc>
          <w:tcPr>
            <w:tcW w:w="4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5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3,012</w:t>
            </w:r>
          </w:p>
        </w:tc>
        <w:tc>
          <w:tcPr>
            <w:tcW w:w="4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1060" w:firstLine="18"/>
        <w:spacing w:after="0" w:line="392" w:lineRule="auto"/>
        <w:rPr>
          <w:sz w:val="20"/>
          <w:szCs w:val="20"/>
          <w:color w:val="auto"/>
        </w:rPr>
      </w:pPr>
      <w:r>
        <w:rPr>
          <w:rFonts w:ascii="Times New Roman" w:cs="Times New Roman" w:eastAsia="Times New Roman" w:hAnsi="Times New Roman"/>
          <w:sz w:val="18"/>
          <w:szCs w:val="18"/>
          <w:color w:val="auto"/>
        </w:rPr>
        <w:t xml:space="preserve">*See the table in Note 9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Second Quarter 2024 Results vs. Second Quarter 2023 Results</w:t>
      </w:r>
    </w:p>
    <w:p>
      <w:pPr>
        <w:spacing w:after="0" w:line="1" w:lineRule="exact"/>
        <w:rPr>
          <w:sz w:val="20"/>
          <w:szCs w:val="20"/>
          <w:color w:val="auto"/>
        </w:rPr>
      </w:pPr>
    </w:p>
    <w:p>
      <w:pPr>
        <w:ind w:right="180" w:firstLine="401"/>
        <w:spacing w:after="0" w:line="247" w:lineRule="auto"/>
        <w:rPr>
          <w:sz w:val="20"/>
          <w:szCs w:val="20"/>
          <w:color w:val="auto"/>
        </w:rPr>
      </w:pPr>
      <w:r>
        <w:rPr>
          <w:rFonts w:ascii="Times New Roman" w:cs="Times New Roman" w:eastAsia="Times New Roman" w:hAnsi="Times New Roman"/>
          <w:sz w:val="18"/>
          <w:szCs w:val="18"/>
          <w:color w:val="auto"/>
        </w:rPr>
        <w:t>Net sales (sales less freight) in the second quarter of 2024 decreased 2.0% versus the second quarter of 2023 primarily due to lower sales volume, the pass-through of slightly lower metal costs and pricing pressure. Sales volume in the second quarter of 2024 decreased 1.7% versus the second quarter of 2023 but increased 3.3% versus the first quarter 2024.</w:t>
      </w:r>
    </w:p>
    <w:p>
      <w:pPr>
        <w:spacing w:after="0" w:line="56" w:lineRule="exact"/>
        <w:rPr>
          <w:sz w:val="20"/>
          <w:szCs w:val="20"/>
          <w:color w:val="auto"/>
        </w:rPr>
      </w:pPr>
    </w:p>
    <w:p>
      <w:pPr>
        <w:ind w:right="20" w:firstLine="401"/>
        <w:spacing w:after="0"/>
        <w:rPr>
          <w:sz w:val="20"/>
          <w:szCs w:val="20"/>
          <w:color w:val="auto"/>
        </w:rPr>
      </w:pPr>
      <w:r>
        <w:rPr>
          <w:rFonts w:ascii="Times New Roman" w:cs="Times New Roman" w:eastAsia="Times New Roman" w:hAnsi="Times New Roman"/>
          <w:sz w:val="18"/>
          <w:szCs w:val="18"/>
          <w:color w:val="auto"/>
        </w:rPr>
        <w:t>Net new orders, which remain low compared to pre-pandemic levels, increased 17% in the second quarter of 2024 versus the second quarter of 2023 and were relatively flat compared to the first quarter of 2024. Since January 2021, net new orders for the Company's aluminum extruded products have generally tracked the ISM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Manufacturing PMI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believes that net new orders continue to be below pre-pandemic levels due to higher interest rates, tighter lender requirements and the increase in remote working, which particularly impacts the non-residential B&amp;C end-use market. In addition, data indicates that aluminum extrusion imports have increased significantly in recent years, especially during the pandemic, and some of Bonnell Aluminum’s customers have increased their sourcing of aluminum extrusions from producers outside of the U.S.</w:t>
      </w:r>
    </w:p>
    <w:p>
      <w:pPr>
        <w:spacing w:after="0" w:line="78" w:lineRule="exact"/>
        <w:rPr>
          <w:sz w:val="20"/>
          <w:szCs w:val="20"/>
          <w:color w:val="auto"/>
        </w:rPr>
      </w:pPr>
    </w:p>
    <w:p>
      <w:pPr>
        <w:ind w:right="80" w:firstLine="401"/>
        <w:spacing w:after="0" w:line="258" w:lineRule="auto"/>
        <w:rPr>
          <w:sz w:val="20"/>
          <w:szCs w:val="20"/>
          <w:color w:val="auto"/>
        </w:rPr>
      </w:pPr>
      <w:r>
        <w:rPr>
          <w:rFonts w:ascii="Times New Roman" w:cs="Times New Roman" w:eastAsia="Times New Roman" w:hAnsi="Times New Roman"/>
          <w:sz w:val="18"/>
          <w:szCs w:val="18"/>
          <w:color w:val="auto"/>
        </w:rPr>
        <w:t>Open orders at the end of the second quarter of 2024 were 14 million pounds (versus 15 million pounds at the end of the first quarter of 2024 and 20 million pounds at the end of the second quarter of 2023). This level is below the quarterly range of 21 to 27 million pounds in 2019 before pandemic-related disruptions (particularly starting in early 2021 with the re-opening of markets following the rollout of vaccines) that resulted in long lead times, driving a peak in open orders of approximately 100 million pounds during the first quarter of 2022.</w:t>
      </w:r>
    </w:p>
    <w:p>
      <w:pPr>
        <w:spacing w:after="0" w:line="60" w:lineRule="exact"/>
        <w:rPr>
          <w:sz w:val="20"/>
          <w:szCs w:val="20"/>
          <w:color w:val="auto"/>
        </w:rPr>
      </w:pPr>
    </w:p>
    <w:p>
      <w:pPr>
        <w:ind w:right="80" w:firstLine="401"/>
        <w:spacing w:after="0" w:line="251" w:lineRule="auto"/>
        <w:rPr>
          <w:sz w:val="20"/>
          <w:szCs w:val="20"/>
          <w:color w:val="auto"/>
        </w:rPr>
      </w:pPr>
      <w:r>
        <w:rPr>
          <w:rFonts w:ascii="Times New Roman" w:cs="Times New Roman" w:eastAsia="Times New Roman" w:hAnsi="Times New Roman"/>
          <w:sz w:val="18"/>
          <w:szCs w:val="18"/>
          <w:color w:val="auto"/>
        </w:rPr>
        <w:t>The Company is part of a coalition of members of the Aluminum Extruders Council who have filed a trade case with the Department of Commerce (“DOC”) and the U.S. International Trade Commission (“ITC”) against 15 countries in response to alleged large and increasing volumes of unfairly priced imports of aluminum extrusions since 2019. In November 2023, the ITC found that there is a reasonable indication that the American aluminum extrusions industry is materially injured or threatened with injury due to imports from 14 countries, including China. The ITC’s preliminary determination found that subject import volumes were significant and increasing, and that with regard to pricing, subject imports predominantly undersold the domestic product by volume in each year of the period of investigation. On May 2, 2024, the DOC announced its preliminarily determination that aluminum extrusion producers and exporters in 14 countries, including China, sold aluminum extrusions at less-than-fair value in the U.S. Final determinations, which are expected by the end of the third quarter of 2024, should provide an additional opportunity for Bonnell Aluminum to regain market share. The Company's analysis of recent U.S. import data of aluminum extrusions indicates that the preliminary determinations of duties are starting to have the desired behavioral impact of shifting related customer purchases back to U.S. producers.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2024 increased $2.7 million versus the second quarter of 2023 primarily due to:</w:t>
      </w:r>
    </w:p>
    <w:p>
      <w:pPr>
        <w:spacing w:after="0" w:line="101" w:lineRule="exact"/>
        <w:rPr>
          <w:sz w:val="20"/>
          <w:szCs w:val="20"/>
          <w:color w:val="auto"/>
        </w:rPr>
      </w:pPr>
    </w:p>
    <w:p>
      <w:pPr>
        <w:ind w:left="640" w:right="200" w:hanging="312"/>
        <w:spacing w:after="0" w:line="25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pricing after the pass-through of metal cost changes and mix ($1.3 million), manufacturing cost improvements, including lower supply expense ($2.0 million) and lower freight rates ($0.5 million), partially offset by lower volume ($0.1 million), higher labor and employee-related costs ($0.8 million), higher utility expense ($0.4 million), and higher SG&amp;A expenses, including other employee-related compensation ($2.0 million); and</w:t>
      </w:r>
    </w:p>
    <w:p>
      <w:pPr>
        <w:spacing w:after="0" w:line="59" w:lineRule="exact"/>
        <w:rPr>
          <w:rFonts w:ascii="Times New Roman" w:cs="Times New Roman" w:eastAsia="Times New Roman" w:hAnsi="Times New Roman"/>
          <w:sz w:val="18"/>
          <w:szCs w:val="18"/>
          <w:color w:val="auto"/>
        </w:rPr>
      </w:pPr>
    </w:p>
    <w:p>
      <w:pPr>
        <w:ind w:left="640" w:right="580" w:hanging="312"/>
        <w:spacing w:after="0" w:line="27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at lower prices in a quickly changing commodity pricing environment and passed through to customers,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0" w:name="page31"/>
    <w:bookmarkEnd w:id="30"/>
    <w:p>
      <w:pPr>
        <w:ind w:right="1520" w:firstLine="642"/>
        <w:spacing w:after="0" w:line="348" w:lineRule="auto"/>
        <w:rPr>
          <w:sz w:val="20"/>
          <w:szCs w:val="20"/>
          <w:color w:val="auto"/>
        </w:rPr>
      </w:pPr>
      <w:r>
        <w:rPr>
          <w:rFonts w:ascii="Times New Roman" w:cs="Times New Roman" w:eastAsia="Times New Roman" w:hAnsi="Times New Roman"/>
          <w:sz w:val="18"/>
          <w:szCs w:val="18"/>
          <w:color w:val="auto"/>
        </w:rPr>
        <w:t xml:space="preserve">resulted in a benefit of $1.2 million in the second quarter of 2024 versus a charge of $1.3 million in the second quarter of 2023. </w:t>
      </w:r>
      <w:r>
        <w:rPr>
          <w:rFonts w:ascii="Times New Roman" w:cs="Times New Roman" w:eastAsia="Times New Roman" w:hAnsi="Times New Roman"/>
          <w:sz w:val="18"/>
          <w:szCs w:val="18"/>
          <w:i w:val="1"/>
          <w:iCs w:val="1"/>
          <w:u w:val="single" w:color="auto"/>
          <w:color w:val="auto"/>
        </w:rPr>
        <w:t>First Six Months of 2024 Results vs. First Six Months of 2023 Results</w:t>
      </w:r>
    </w:p>
    <w:p>
      <w:pPr>
        <w:spacing w:after="0" w:line="2" w:lineRule="exact"/>
        <w:rPr>
          <w:sz w:val="20"/>
          <w:szCs w:val="20"/>
          <w:color w:val="auto"/>
        </w:rPr>
      </w:pPr>
    </w:p>
    <w:p>
      <w:pPr>
        <w:ind w:right="180" w:firstLine="401"/>
        <w:spacing w:after="0" w:line="278" w:lineRule="auto"/>
        <w:rPr>
          <w:sz w:val="20"/>
          <w:szCs w:val="20"/>
          <w:color w:val="auto"/>
        </w:rPr>
      </w:pPr>
      <w:r>
        <w:rPr>
          <w:rFonts w:ascii="Times New Roman" w:cs="Times New Roman" w:eastAsia="Times New Roman" w:hAnsi="Times New Roman"/>
          <w:sz w:val="18"/>
          <w:szCs w:val="18"/>
          <w:color w:val="auto"/>
        </w:rPr>
        <w:t>Net sales in the first six months of 2024 decreased 8.4% versus the first six months of 2023 primarily due to lower sales volume and the pass-through of lower metal costs. Sales volume in the first six months of 2024 decreased 5.9% versus the first six months of 2023.</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EBITDA from ongoing operations in the first six months of 2024 increased $0.6 million in comparison to the first six months of 2023 primarily due to:</w:t>
      </w:r>
    </w:p>
    <w:p>
      <w:pPr>
        <w:spacing w:after="0" w:line="99" w:lineRule="exact"/>
        <w:rPr>
          <w:sz w:val="20"/>
          <w:szCs w:val="20"/>
          <w:color w:val="auto"/>
        </w:rPr>
      </w:pPr>
    </w:p>
    <w:p>
      <w:pPr>
        <w:ind w:left="640" w:right="200" w:hanging="312"/>
        <w:spacing w:after="0" w:line="26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pricing after the pass-through of metal cost changes and mix ($3.3 million), manufacturing cost improvements, including lower supply expense ($2.6 million) and lower freight rates ($0.7 million), partially offset by lower volume ($3.4 million), higher labor and employee-related costs ($0.2 million), and higher SG&amp;A, including other employee-related compensation ($1.7 million); and</w:t>
      </w:r>
    </w:p>
    <w:p>
      <w:pPr>
        <w:spacing w:after="0" w:line="55" w:lineRule="exact"/>
        <w:rPr>
          <w:rFonts w:ascii="Times New Roman" w:cs="Times New Roman" w:eastAsia="Times New Roman" w:hAnsi="Times New Roman"/>
          <w:sz w:val="18"/>
          <w:szCs w:val="18"/>
          <w:color w:val="auto"/>
        </w:rPr>
      </w:pPr>
    </w:p>
    <w:p>
      <w:pPr>
        <w:ind w:left="640" w:right="260" w:hanging="312"/>
        <w:spacing w:after="0" w:line="26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at lower prices in a quickly changing commodity pricing environment and passed through to customers, resulted in a charge of $0.1 million in the first six months of 2024 versus a benefit of $0.4 million in the first six months of 2023.</w:t>
      </w:r>
    </w:p>
    <w:p>
      <w:pPr>
        <w:spacing w:after="0" w:line="53" w:lineRule="exact"/>
        <w:rPr>
          <w:sz w:val="20"/>
          <w:szCs w:val="20"/>
          <w:color w:val="auto"/>
        </w:rPr>
      </w:pPr>
    </w:p>
    <w:p>
      <w:pPr>
        <w:ind w:right="620" w:firstLine="401"/>
        <w:spacing w:after="0" w:line="35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ind w:right="300" w:firstLine="401"/>
        <w:spacing w:after="0" w:line="254"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$9 million in 2024, including $4 million for productivity projects and $5 million for capital expenditures required to support continuity of operations. The projected spending reflects stringent spending measures that the Company has implemented to control its financial leverage. The multi-year implementation for new enterprise resource planning and manufacturing execution systems ("ERP/MES") has been reorganized with an extended implementation period. As a result, the earliest "go-live" date for the net ERP/MES is 2025. The ERP/MES project commenced in 2022, with spending to-date of approximately $21 million. Depreciation expense is projected to be $16 million in 2024. Amortization expense is projected to be $2 million in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Three Months Ended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60" w:type="dxa"/>
            <w:vAlign w:val="bottom"/>
          </w:tcPr>
          <w:p>
            <w:pPr>
              <w:spacing w:after="0"/>
              <w:rPr>
                <w:sz w:val="20"/>
                <w:szCs w:val="20"/>
                <w:color w:val="auto"/>
              </w:rPr>
            </w:pPr>
          </w:p>
        </w:tc>
        <w:tc>
          <w:tcPr>
            <w:tcW w:w="2200" w:type="dxa"/>
            <w:vAlign w:val="bottom"/>
            <w:gridSpan w:val="3"/>
          </w:tcPr>
          <w:p>
            <w:pPr>
              <w:jc w:val="right"/>
              <w:ind w:right="471"/>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(Unfavorable)</w:t>
            </w: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80" w:type="dxa"/>
            <w:vAlign w:val="bottom"/>
            <w:vMerge w:val="restart"/>
          </w:tcPr>
          <w:p>
            <w:pPr>
              <w:jc w:val="center"/>
              <w:ind w:left="31"/>
              <w:spacing w:after="0" w:line="179" w:lineRule="exact"/>
              <w:rPr>
                <w:sz w:val="20"/>
                <w:szCs w:val="20"/>
                <w:color w:val="auto"/>
              </w:rPr>
            </w:pPr>
            <w:r>
              <w:rPr>
                <w:rFonts w:ascii="Times New Roman" w:cs="Times New Roman" w:eastAsia="Times New Roman" w:hAnsi="Times New Roman"/>
                <w:sz w:val="18"/>
                <w:szCs w:val="18"/>
                <w:color w:val="auto"/>
                <w:w w:val="98"/>
              </w:rPr>
              <w:t>(Unfavorable)</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Pr>
          <w:p>
            <w:pPr>
              <w:spacing w:after="0" w:line="20" w:lineRule="exact"/>
              <w:rPr>
                <w:sz w:val="1"/>
                <w:szCs w:val="1"/>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line="20" w:lineRule="exact"/>
              <w:rPr>
                <w:sz w:val="1"/>
                <w:szCs w:val="1"/>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line="20" w:lineRule="exact"/>
              <w:rPr>
                <w:sz w:val="1"/>
                <w:szCs w:val="1"/>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2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Change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10,548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20,583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4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51.2%</w:t>
            </w:r>
          </w:p>
        </w:tc>
        <w:tc>
          <w:tcPr>
            <w:tcW w:w="0" w:type="dxa"/>
            <w:vAlign w:val="bottom"/>
          </w:tcPr>
          <w:p>
            <w:pPr>
              <w:spacing w:after="0"/>
              <w:rPr>
                <w:sz w:val="1"/>
                <w:szCs w:val="1"/>
                <w:color w:val="auto"/>
              </w:rPr>
            </w:pPr>
          </w:p>
        </w:tc>
      </w:tr>
      <w:tr>
        <w:trPr>
          <w:trHeight w:val="234"/>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29,197</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53,932</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14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49.4%</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10,133</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17,037</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17.2%</w:t>
            </w:r>
          </w:p>
        </w:tc>
        <w:tc>
          <w:tcPr>
            <w:tcW w:w="0" w:type="dxa"/>
            <w:vAlign w:val="bottom"/>
          </w:tcPr>
          <w:p>
            <w:pPr>
              <w:spacing w:after="0"/>
              <w:rPr>
                <w:sz w:val="1"/>
                <w:szCs w:val="1"/>
                <w:color w:val="auto"/>
              </w:rPr>
            </w:pPr>
          </w:p>
        </w:tc>
      </w:tr>
      <w:tr>
        <w:trPr>
          <w:trHeight w:val="227"/>
        </w:trPr>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8,816</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14,392</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610</w:t>
            </w:r>
          </w:p>
        </w:tc>
        <w:tc>
          <w:tcPr>
            <w:tcW w:w="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000" w:firstLine="5"/>
        <w:spacing w:after="0" w:line="241" w:lineRule="auto"/>
        <w:tabs>
          <w:tab w:leader="none" w:pos="1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table in Note 9 for a reconciliation of this non-GAAP measure to the most comparable measure calculated in accordance with GAAP. ** Not meaningful ("NM")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2024 Results vs. Second Quarter 2023 Results</w:t>
      </w:r>
    </w:p>
    <w:p>
      <w:pPr>
        <w:spacing w:after="0" w:line="76" w:lineRule="exact"/>
        <w:rPr>
          <w:sz w:val="20"/>
          <w:szCs w:val="20"/>
          <w:color w:val="auto"/>
        </w:rPr>
      </w:pPr>
    </w:p>
    <w:p>
      <w:pPr>
        <w:ind w:right="60" w:firstLine="401"/>
        <w:spacing w:after="0" w:line="247" w:lineRule="auto"/>
        <w:rPr>
          <w:sz w:val="20"/>
          <w:szCs w:val="20"/>
          <w:color w:val="auto"/>
        </w:rPr>
      </w:pPr>
      <w:r>
        <w:rPr>
          <w:rFonts w:ascii="Times New Roman" w:cs="Times New Roman" w:eastAsia="Times New Roman" w:hAnsi="Times New Roman"/>
          <w:sz w:val="18"/>
          <w:szCs w:val="18"/>
          <w:color w:val="auto"/>
        </w:rPr>
        <w:t>Net sales in the second quarter of 2024 were 83.4% higher compared to the second quarter of 2023, with volume increases in Surface Protection. Surface Protection sales volume in the second quarter of 2024 increased 123% versus the second quarter of 2023 (which reflected weak market conditions in consumer electronics) and 14% versus the first quarter of 2024.</w:t>
      </w:r>
    </w:p>
    <w:p>
      <w:pPr>
        <w:spacing w:after="0" w:line="70" w:lineRule="exact"/>
        <w:rPr>
          <w:sz w:val="20"/>
          <w:szCs w:val="20"/>
          <w:color w:val="auto"/>
        </w:rPr>
      </w:pPr>
    </w:p>
    <w:p>
      <w:pPr>
        <w:ind w:right="60" w:firstLine="401"/>
        <w:spacing w:after="0" w:line="253" w:lineRule="auto"/>
        <w:rPr>
          <w:sz w:val="20"/>
          <w:szCs w:val="20"/>
          <w:color w:val="auto"/>
        </w:rPr>
      </w:pPr>
      <w:r>
        <w:rPr>
          <w:rFonts w:ascii="Times New Roman" w:cs="Times New Roman" w:eastAsia="Times New Roman" w:hAnsi="Times New Roman"/>
          <w:sz w:val="18"/>
          <w:szCs w:val="18"/>
          <w:color w:val="auto"/>
        </w:rPr>
        <w:t>EBITDA from ongoing operations during the second quarter of 2024 of $10.1 million was exceptional, primarily due to the restocking of Surface Protection customer inventories, which were abnormally low. While market indicators and recent volume improvements indicate a positive outlook for the consumer electronics market, EBITDA from ongoing operations performance is expected to moderate in the third quarter of 2024 as customer inventories and the Company's sales volume stabilize. There have been significant cyclical swings in the sales volume and EBITDA from ongoing operations for PE Films in the past 2.5 years, largely due to the unprecedented downturn in the display industry during the second half of 2022 and first half of 2023. EBITDA from ongoing operations for the first half of 2024, the second and first halves of 2023 and the second and first halves of 2022 were $17.0 million, $8.6 million, $2.7 million, $(2.2) million and $14.1 million, respectively, which averages approximately $4 million per quarter.</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2024 increased $9.3 million versus the second quarter of 2023, primarily due to:</w:t>
      </w:r>
    </w:p>
    <w:p>
      <w:pPr>
        <w:spacing w:after="0" w:line="101" w:lineRule="exact"/>
        <w:rPr>
          <w:sz w:val="20"/>
          <w:szCs w:val="20"/>
          <w:color w:val="auto"/>
        </w:rPr>
      </w:pPr>
    </w:p>
    <w:p>
      <w:pPr>
        <w:ind w:left="640" w:hanging="232"/>
        <w:spacing w:after="0" w:line="263"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$9.6 million increase in Surface Protection primarily due to higher contribution margin associated with substantially higher volume ($6.4 million), favorable pricing ($0.2 million), operating efficiencies and manufacturing costs savings ($2.3 million), lower fixed costs ($0.2 million) and lower SG&amp;A ($0.6 million, including $0.8 million associated with the closure of the Richmond Technical Center in 2023);</w:t>
      </w:r>
    </w:p>
    <w:p>
      <w:pPr>
        <w:spacing w:after="0" w:line="55"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of $0.1 million in the second quarter of 2024 versus a gain of $0.5 million in the second quarter of 2023; and</w:t>
      </w:r>
    </w:p>
    <w:p>
      <w:pPr>
        <w:spacing w:after="0" w:line="87"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 million increase in overwrap films.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2024 Results vs. First Six Months of 2023 Results</w:t>
      </w:r>
    </w:p>
    <w:p>
      <w:pPr>
        <w:spacing w:after="0" w:line="89" w:lineRule="exact"/>
        <w:rPr>
          <w:sz w:val="20"/>
          <w:szCs w:val="20"/>
          <w:color w:val="auto"/>
        </w:rPr>
      </w:pPr>
    </w:p>
    <w:p>
      <w:pPr>
        <w:ind w:right="260" w:firstLine="401"/>
        <w:spacing w:after="0" w:line="239" w:lineRule="auto"/>
        <w:rPr>
          <w:sz w:val="20"/>
          <w:szCs w:val="20"/>
          <w:color w:val="auto"/>
        </w:rPr>
      </w:pPr>
      <w:r>
        <w:rPr>
          <w:rFonts w:ascii="Times New Roman" w:cs="Times New Roman" w:eastAsia="Times New Roman" w:hAnsi="Times New Roman"/>
          <w:sz w:val="18"/>
          <w:szCs w:val="18"/>
          <w:color w:val="auto"/>
        </w:rPr>
        <w:t>Net sales in the first six months of 2024 increased 49.4% compared to the first six months of 2023 primarily due to an increase in sales volume in Surface Protection, as a result of factors noted above. Sales volume increased 77% in Surface Protection in the first six months of 2024 versus the first six months of 2023.</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EBITDA from ongoing operations in the first six months of 2024 increased by $14.4 million versus the first six months of 2023, primarily due to:</w:t>
      </w:r>
    </w:p>
    <w:p>
      <w:pPr>
        <w:spacing w:after="0" w:line="87" w:lineRule="exact"/>
        <w:rPr>
          <w:sz w:val="20"/>
          <w:szCs w:val="20"/>
          <w:color w:val="auto"/>
        </w:rPr>
      </w:pPr>
    </w:p>
    <w:p>
      <w:pPr>
        <w:ind w:left="640" w:hanging="232"/>
        <w:spacing w:after="0" w:line="23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$14.1 million increase in Surface Protection primarily due to higher contribution margin associated with substantially higher volume ($7.4 million), favorable pricing ($0.5 million), operating efficiencies and manufacturing costs savings ($4.2 million), lower fixed costs ($0.6 million) and lower SG&amp;A ($1.4 million, which was associated with the closure of the Richmond Technical Center in 2023);</w:t>
      </w:r>
    </w:p>
    <w:p>
      <w:pPr>
        <w:spacing w:after="0" w:line="63"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of $0.1 million in the first six months of 2024 versus a gain of $0.4 million in the first six months of 2023;</w:t>
      </w:r>
    </w:p>
    <w:p>
      <w:pPr>
        <w:spacing w:after="0" w:line="87" w:lineRule="exact"/>
        <w:rPr>
          <w:rFonts w:ascii="Times New Roman" w:cs="Times New Roman" w:eastAsia="Times New Roman" w:hAnsi="Times New Roman"/>
          <w:sz w:val="18"/>
          <w:szCs w:val="18"/>
          <w:color w:val="auto"/>
        </w:rPr>
      </w:pPr>
    </w:p>
    <w:p>
      <w:pPr>
        <w:ind w:left="640" w:right="140" w:hanging="232"/>
        <w:spacing w:after="0" w:line="26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(a charge of $0.4 million in the first six months of 2024 versus a charge of $0.2 million in the first six months of 2023); and</w:t>
      </w:r>
    </w:p>
    <w:p>
      <w:pPr>
        <w:spacing w:after="0" w:line="42"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increase from overwrap films primarily due to cost improvements.</w:t>
      </w:r>
    </w:p>
    <w:p>
      <w:pPr>
        <w:spacing w:after="0" w:line="99" w:lineRule="exact"/>
        <w:rPr>
          <w:sz w:val="20"/>
          <w:szCs w:val="20"/>
          <w:color w:val="auto"/>
        </w:rPr>
      </w:pPr>
    </w:p>
    <w:p>
      <w:pPr>
        <w:ind w:right="1000" w:firstLine="401"/>
        <w:spacing w:after="0" w:line="35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jc w:val="both"/>
        <w:ind w:right="500" w:firstLine="401"/>
        <w:spacing w:after="0" w:line="263" w:lineRule="auto"/>
        <w:rPr>
          <w:sz w:val="20"/>
          <w:szCs w:val="20"/>
          <w:color w:val="auto"/>
        </w:rPr>
      </w:pPr>
      <w:r>
        <w:rPr>
          <w:rFonts w:ascii="Times New Roman" w:cs="Times New Roman" w:eastAsia="Times New Roman" w:hAnsi="Times New Roman"/>
          <w:sz w:val="18"/>
          <w:szCs w:val="18"/>
          <w:color w:val="auto"/>
        </w:rPr>
        <w:t>Capital expenditures for PE Films are projected to be $2 million in 2024, including $1 million for productivity projects and $1 million for capital expenditures required to support continuity of current operations. Depreciation expense is projected to be $5 million in 2024. There is no amortization expense for PE Films.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right"/>
              <w:ind w:right="191"/>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00" w:type="dxa"/>
            <w:vAlign w:val="bottom"/>
          </w:tcPr>
          <w:p>
            <w:pPr>
              <w:spacing w:after="0"/>
              <w:rPr>
                <w:sz w:val="20"/>
                <w:szCs w:val="20"/>
                <w:color w:val="auto"/>
              </w:rPr>
            </w:pPr>
          </w:p>
        </w:tc>
        <w:tc>
          <w:tcPr>
            <w:tcW w:w="1840" w:type="dxa"/>
            <w:vAlign w:val="bottom"/>
            <w:gridSpan w:val="3"/>
          </w:tcPr>
          <w:p>
            <w:pPr>
              <w:jc w:val="right"/>
              <w:ind w:right="271"/>
              <w:spacing w:after="0"/>
              <w:rPr>
                <w:sz w:val="20"/>
                <w:szCs w:val="20"/>
                <w:color w:val="auto"/>
              </w:rPr>
            </w:pPr>
            <w:r>
              <w:rPr>
                <w:rFonts w:ascii="Times New Roman" w:cs="Times New Roman" w:eastAsia="Times New Roman" w:hAnsi="Times New Roman"/>
                <w:sz w:val="18"/>
                <w:szCs w:val="18"/>
                <w:color w:val="auto"/>
              </w:rPr>
              <w:t>Six Months Ended</w:t>
            </w:r>
          </w:p>
        </w:tc>
        <w:tc>
          <w:tcPr>
            <w:tcW w:w="148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58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(Unfavorable)</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vMerge w:val="restart"/>
          </w:tcPr>
          <w:p>
            <w:pPr>
              <w:jc w:val="center"/>
              <w:ind w:left="31"/>
              <w:spacing w:after="0" w:line="179" w:lineRule="exact"/>
              <w:rPr>
                <w:sz w:val="20"/>
                <w:szCs w:val="20"/>
                <w:color w:val="auto"/>
              </w:rPr>
            </w:pPr>
            <w:r>
              <w:rPr>
                <w:rFonts w:ascii="Times New Roman" w:cs="Times New Roman" w:eastAsia="Times New Roman" w:hAnsi="Times New Roman"/>
                <w:sz w:val="18"/>
                <w:szCs w:val="18"/>
                <w:color w:val="auto"/>
                <w:w w:val="98"/>
              </w:rPr>
              <w:t>(Unfavorable)</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w w:val="99"/>
              </w:rPr>
              <w:t>2023</w:t>
            </w:r>
          </w:p>
        </w:tc>
        <w:tc>
          <w:tcPr>
            <w:tcW w:w="15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w w:val="99"/>
              </w:rPr>
              <w:t>2023</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25,074</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5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47,047</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43,569</w:t>
            </w:r>
          </w:p>
        </w:tc>
        <w:tc>
          <w:tcPr>
            <w:tcW w:w="148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34,543</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33,223</w:t>
            </w: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64,655</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64,750</w:t>
            </w:r>
          </w:p>
        </w:tc>
        <w:tc>
          <w:tcPr>
            <w:tcW w:w="14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3,204</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5,167</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5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8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2,472</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3,684</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5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w:t>
            </w:r>
          </w:p>
        </w:tc>
        <w:tc>
          <w:tcPr>
            <w:tcW w:w="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000" w:firstLine="5"/>
        <w:spacing w:after="0" w:line="241" w:lineRule="auto"/>
        <w:tabs>
          <w:tab w:leader="none" w:pos="1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table in Note 9 for a reconciliation of this non-GAAP measure to the most comparable measure calculated in accordance with GAAP. ** Not meaningful ("NM")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2024 Results vs. Second Quarter 2023 Results</w:t>
      </w:r>
    </w:p>
    <w:p>
      <w:pPr>
        <w:spacing w:after="0" w:line="89" w:lineRule="exact"/>
        <w:rPr>
          <w:sz w:val="20"/>
          <w:szCs w:val="20"/>
          <w:color w:val="auto"/>
        </w:rPr>
      </w:pPr>
    </w:p>
    <w:p>
      <w:pPr>
        <w:ind w:right="200" w:firstLine="401"/>
        <w:spacing w:after="0" w:line="263" w:lineRule="auto"/>
        <w:rPr>
          <w:sz w:val="20"/>
          <w:szCs w:val="20"/>
          <w:color w:val="auto"/>
        </w:rPr>
      </w:pPr>
      <w:r>
        <w:rPr>
          <w:rFonts w:ascii="Times New Roman" w:cs="Times New Roman" w:eastAsia="Times New Roman" w:hAnsi="Times New Roman"/>
          <w:sz w:val="18"/>
          <w:szCs w:val="18"/>
          <w:color w:val="auto"/>
        </w:rPr>
        <w:t>Net sales in the second quarter of 2024 increased 4.0% compared to the second quarter of 2023 primarily due to higher sales volume and favorable product mix, partially offset by lower selling prices that the Company believes are driven by excess global capacity and strong competition in Brazil, Latin America and the U.S.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second quarter of 2024 increased $3.0 million versus the second quarter of 2023, primarily due to:</w:t>
      </w:r>
    </w:p>
    <w:p>
      <w:pPr>
        <w:spacing w:after="0" w:line="101" w:lineRule="exact"/>
        <w:rPr>
          <w:sz w:val="20"/>
          <w:szCs w:val="20"/>
          <w:color w:val="auto"/>
        </w:rPr>
      </w:pPr>
    </w:p>
    <w:p>
      <w:pPr>
        <w:ind w:left="640" w:right="160" w:hanging="312"/>
        <w:spacing w:after="0" w:line="308"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raw material costs ($2.5 million), lower fixed costs ($1.1 million), favorable product mix ($1.1 million), higher sales volume ($0.5 million) and lower SG&amp;A ($0.3 million), partially offset by lower selling prices from global excess capacity and margin pressures ($1.5 million);</w:t>
      </w:r>
    </w:p>
    <w:p>
      <w:pPr>
        <w:spacing w:after="0" w:line="6"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($0.2 million) in the second quarter of 2024 remained consistent with the second quarter of 2023; and</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($1.1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Six Months of 2024 Results vs. First Six Months of 2023 Results</w:t>
      </w:r>
    </w:p>
    <w:p>
      <w:pPr>
        <w:spacing w:after="0" w:line="89" w:lineRule="exact"/>
        <w:rPr>
          <w:sz w:val="20"/>
          <w:szCs w:val="20"/>
          <w:color w:val="auto"/>
        </w:rPr>
      </w:pPr>
    </w:p>
    <w:p>
      <w:pPr>
        <w:ind w:right="200" w:firstLine="401"/>
        <w:spacing w:after="0" w:line="278" w:lineRule="auto"/>
        <w:rPr>
          <w:sz w:val="20"/>
          <w:szCs w:val="20"/>
          <w:color w:val="auto"/>
        </w:rPr>
      </w:pPr>
      <w:r>
        <w:rPr>
          <w:rFonts w:ascii="Times New Roman" w:cs="Times New Roman" w:eastAsia="Times New Roman" w:hAnsi="Times New Roman"/>
          <w:sz w:val="18"/>
          <w:szCs w:val="18"/>
          <w:color w:val="auto"/>
        </w:rPr>
        <w:t>Net sales in the first six months of 2024 remained consistent with the first six months of 2023 primarily due to lower selling prices that the Company believes are driven by excess global capacity and strong competition in Brazil, Latin America and the U.S, offset by higher sales volume.</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first six months of 2024 increased $3.6 million versus the first six months of 2023 primarily due to:</w:t>
      </w:r>
    </w:p>
    <w:p>
      <w:pPr>
        <w:spacing w:after="0" w:line="87" w:lineRule="exact"/>
        <w:rPr>
          <w:sz w:val="20"/>
          <w:szCs w:val="20"/>
          <w:color w:val="auto"/>
        </w:rPr>
      </w:pPr>
    </w:p>
    <w:p>
      <w:pPr>
        <w:jc w:val="both"/>
        <w:ind w:left="640" w:right="100" w:hanging="312"/>
        <w:spacing w:after="0" w:line="263"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raw material costs ($4.0 million), lower fixed costs ($2.8 million), higher sales volume ($1.5 million), favorable product mix ($0.8 million), and lower SG&amp;A ($0.5 million), partially offset by lower selling prices from global excess capacity and margin pressures ($3.5 million) and higher variable costs ($0.8 million);</w:t>
      </w:r>
    </w:p>
    <w:p>
      <w:pPr>
        <w:spacing w:after="0" w:line="55" w:lineRule="exact"/>
        <w:rPr>
          <w:rFonts w:ascii="Times New Roman" w:cs="Times New Roman" w:eastAsia="Times New Roman" w:hAnsi="Times New Roman"/>
          <w:sz w:val="18"/>
          <w:szCs w:val="18"/>
          <w:color w:val="auto"/>
        </w:rPr>
      </w:pPr>
    </w:p>
    <w:p>
      <w:pPr>
        <w:ind w:left="640" w:right="180" w:hanging="312"/>
        <w:spacing w:after="0" w:line="278"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($0.1 million) in the first six months of 2024 compared to foreign currency transaction losses ($0.2 million) in the first six months of 2023; and</w:t>
      </w:r>
    </w:p>
    <w:p>
      <w:pPr>
        <w:spacing w:after="0" w:line="4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($1.9 million).</w:t>
      </w:r>
    </w:p>
    <w:p>
      <w:pPr>
        <w:spacing w:after="0" w:line="85" w:lineRule="exact"/>
        <w:rPr>
          <w:sz w:val="20"/>
          <w:szCs w:val="20"/>
          <w:color w:val="auto"/>
        </w:rPr>
      </w:pPr>
    </w:p>
    <w:p>
      <w:pPr>
        <w:ind w:right="520" w:firstLine="401"/>
        <w:spacing w:after="0" w:line="28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3" w:lineRule="exact"/>
        <w:rPr>
          <w:sz w:val="20"/>
          <w:szCs w:val="20"/>
          <w:color w:val="auto"/>
        </w:rPr>
      </w:pPr>
    </w:p>
    <w:p>
      <w:pPr>
        <w:ind w:right="420" w:firstLine="401"/>
        <w:spacing w:after="0" w:line="278"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$4 million in 2024 for capital expenditures required to support continuity of current operations. Depreciation expense is projected to be $3 million in 2024. Amortization expense is projected to be $0.1 million in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18" w:lineRule="exact"/>
        <w:rPr>
          <w:sz w:val="20"/>
          <w:szCs w:val="20"/>
          <w:color w:val="auto"/>
        </w:rPr>
      </w:pPr>
    </w:p>
    <w:p>
      <w:pPr>
        <w:ind w:right="440" w:firstLine="642"/>
        <w:spacing w:after="0" w:line="278" w:lineRule="auto"/>
        <w:rPr>
          <w:sz w:val="20"/>
          <w:szCs w:val="20"/>
          <w:color w:val="auto"/>
        </w:rPr>
      </w:pPr>
      <w:r>
        <w:rPr>
          <w:rFonts w:ascii="Times New Roman" w:cs="Times New Roman" w:eastAsia="Times New Roman" w:hAnsi="Times New Roman"/>
          <w:sz w:val="18"/>
          <w:szCs w:val="18"/>
          <w:color w:val="auto"/>
        </w:rPr>
        <w:t>Corporate expenses, net in the first six months of 2024 decreased $8.7 million compared to the first six months of 2023 primarily due to lower pension expense as a result of the pension plan termination completed in 2023 ($6.7 million), foreign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3" w:name="page34"/>
    <w:bookmarkEnd w:id="33"/>
    <w:p>
      <w:pPr>
        <w:ind w:right="20"/>
        <w:spacing w:after="0" w:line="278" w:lineRule="auto"/>
        <w:rPr>
          <w:sz w:val="20"/>
          <w:szCs w:val="20"/>
          <w:color w:val="auto"/>
        </w:rPr>
      </w:pPr>
      <w:r>
        <w:rPr>
          <w:rFonts w:ascii="Times New Roman" w:cs="Times New Roman" w:eastAsia="Times New Roman" w:hAnsi="Times New Roman"/>
          <w:sz w:val="18"/>
          <w:szCs w:val="18"/>
          <w:color w:val="auto"/>
        </w:rPr>
        <w:t>currency transaction gains related to the remeasurement of intercompany receivables ($2.3 million) and lower business development activities ($1.2 million), partially offset by higher incentive compensation accruals ($1.0 million) and higher stock-based compensation ($0.6 million).</w:t>
      </w:r>
    </w:p>
    <w:p>
      <w:pPr>
        <w:spacing w:after="0" w:line="42" w:lineRule="exact"/>
        <w:rPr>
          <w:sz w:val="20"/>
          <w:szCs w:val="20"/>
          <w:color w:val="auto"/>
        </w:rPr>
      </w:pPr>
    </w:p>
    <w:p>
      <w:pPr>
        <w:ind w:right="220" w:firstLine="401"/>
        <w:spacing w:after="0" w:line="278" w:lineRule="auto"/>
        <w:rPr>
          <w:sz w:val="20"/>
          <w:szCs w:val="20"/>
          <w:color w:val="auto"/>
        </w:rPr>
      </w:pPr>
      <w:r>
        <w:rPr>
          <w:rFonts w:ascii="Times New Roman" w:cs="Times New Roman" w:eastAsia="Times New Roman" w:hAnsi="Times New Roman"/>
          <w:sz w:val="18"/>
          <w:szCs w:val="18"/>
          <w:color w:val="auto"/>
        </w:rPr>
        <w:t>Interest expense of $6.8 million in the first six months of 2024 increased $2.1 million compared to the first six months of 2023 due to higher average debt levels and interest rates.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Status of Agreement to Sell Terphane</w:t>
      </w:r>
    </w:p>
    <w:p>
      <w:pPr>
        <w:spacing w:after="0" w:line="105" w:lineRule="exact"/>
        <w:rPr>
          <w:sz w:val="20"/>
          <w:szCs w:val="20"/>
          <w:color w:val="auto"/>
        </w:rPr>
      </w:pPr>
    </w:p>
    <w:p>
      <w:pPr>
        <w:ind w:right="360" w:firstLine="401"/>
        <w:spacing w:after="0" w:line="258"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w:t>
      </w:r>
    </w:p>
    <w:p>
      <w:pPr>
        <w:spacing w:after="0" w:line="60" w:lineRule="exact"/>
        <w:rPr>
          <w:sz w:val="20"/>
          <w:szCs w:val="20"/>
          <w:color w:val="auto"/>
        </w:rPr>
      </w:pPr>
    </w:p>
    <w:p>
      <w:pPr>
        <w:ind w:right="180" w:firstLine="401"/>
        <w:spacing w:after="0" w:line="253" w:lineRule="auto"/>
        <w:rPr>
          <w:sz w:val="20"/>
          <w:szCs w:val="20"/>
          <w:color w:val="auto"/>
        </w:rPr>
      </w:pPr>
      <w:r>
        <w:rPr>
          <w:rFonts w:ascii="Times New Roman" w:cs="Times New Roman" w:eastAsia="Times New Roman" w:hAnsi="Times New Roman"/>
          <w:sz w:val="18"/>
          <w:szCs w:val="18"/>
          <w:color w:val="auto"/>
        </w:rPr>
        <w:t>As part of the Brazilian merger review process regarding the sale of Terphane to Oben Group, on May 13, 2024, the General Superintendence of the Administrative Council for Economic Defense ("SG-CADE") issued a non-binding opinion ("SG Opinion") recommending the rejection of the transaction. Following this first stage of the two-stage Brazilian merger review process for complex transactions, the case has been submitted to the CADE Tribunal, in accordance with the customary Brazilian merger review process. The parties are given a full opportunity to present evidence in favor of clearing the transaction. The final decision regarding the transaction will eventually be rendered by the Tribunal, which has begun its independent analysis. CADE's maximum deadline for completing its review is no later than November 18, 2024. The Colombian authority cleared the merger review regarding the transaction in early February 2024.</w:t>
      </w:r>
    </w:p>
    <w:p>
      <w:pPr>
        <w:spacing w:after="0" w:line="51"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has reported results for Terphane as a continuing operation, given the status of the approval process by authorities. If the sale transaction is completed, the Company expects to realize after-tax net debt-free cash proceeds of $85 million after deducting projected Brazil withholding taxes, escrow funds, U.S. capital gains taxes and transaction costs. Actual after-tax proceeds may differ from estimates due to possible changes in deductions and the Company's tax situation during the potentially lengthy interim period to the closing date.</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91" w:lineRule="exact"/>
        <w:rPr>
          <w:sz w:val="20"/>
          <w:szCs w:val="20"/>
          <w:color w:val="auto"/>
        </w:rPr>
      </w:pPr>
    </w:p>
    <w:p>
      <w:pPr>
        <w:ind w:right="380" w:firstLine="401"/>
        <w:spacing w:after="0" w:line="263"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2023 to June 30, 2024 are summarized below.</w:t>
      </w:r>
    </w:p>
    <w:p>
      <w:pPr>
        <w:spacing w:after="0" w:line="55" w:lineRule="exact"/>
        <w:rPr>
          <w:sz w:val="20"/>
          <w:szCs w:val="20"/>
          <w:color w:val="auto"/>
        </w:rPr>
      </w:pPr>
    </w:p>
    <w:p>
      <w:pPr>
        <w:ind w:left="400" w:hanging="393"/>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$16.0 million (23.5%).</w:t>
      </w:r>
    </w:p>
    <w:p>
      <w:pPr>
        <w:spacing w:after="0" w:line="100" w:lineRule="exact"/>
        <w:rPr>
          <w:rFonts w:ascii="Times New Roman" w:cs="Times New Roman" w:eastAsia="Times New Roman" w:hAnsi="Times New Roman"/>
          <w:sz w:val="18"/>
          <w:szCs w:val="18"/>
          <w:color w:val="auto"/>
        </w:rPr>
      </w:pPr>
    </w:p>
    <w:p>
      <w:pPr>
        <w:ind w:left="800" w:right="180" w:hanging="392"/>
        <w:spacing w:after="0" w:line="263" w:lineRule="auto"/>
        <w:tabs>
          <w:tab w:leader="none" w:pos="796" w:val="left"/>
        </w:tabs>
        <w:numPr>
          <w:ilvl w:val="1"/>
          <w:numId w:val="2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$10.5 million primarily due to increased sales volume. DSO (represents trailing 12 months net sales divided by a rolling 12-month average of accounts and other receivables balances) was approximately 43.6 days for the 12 months ended June 30, 2024 and 45.1 days for the 12 months ended December 31, 2023.</w:t>
      </w:r>
    </w:p>
    <w:p>
      <w:pPr>
        <w:spacing w:after="0" w:line="41" w:lineRule="exact"/>
        <w:rPr>
          <w:rFonts w:ascii="Times New Roman" w:cs="Times New Roman" w:eastAsia="Times New Roman" w:hAnsi="Times New Roman"/>
          <w:sz w:val="18"/>
          <w:szCs w:val="18"/>
          <w:color w:val="auto"/>
          <w:strike w:val="1"/>
        </w:rPr>
      </w:pPr>
    </w:p>
    <w:p>
      <w:pPr>
        <w:ind w:left="800" w:right="240" w:hanging="392"/>
        <w:spacing w:after="0" w:line="278" w:lineRule="auto"/>
        <w:tabs>
          <w:tab w:leader="none" w:pos="7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increased $3.5 million primarily due to increased sales volume. DSO was approximately 24.6 days for the 12 months ended June 30, 2024 and 26.3 for the 12 months ended December 31, 2023.</w:t>
      </w:r>
    </w:p>
    <w:p>
      <w:pPr>
        <w:spacing w:after="0" w:line="42" w:lineRule="exact"/>
        <w:rPr>
          <w:rFonts w:ascii="Times New Roman" w:cs="Times New Roman" w:eastAsia="Times New Roman" w:hAnsi="Times New Roman"/>
          <w:sz w:val="18"/>
          <w:szCs w:val="18"/>
          <w:color w:val="auto"/>
        </w:rPr>
      </w:pPr>
    </w:p>
    <w:p>
      <w:pPr>
        <w:ind w:left="800" w:right="880" w:hanging="392"/>
        <w:spacing w:after="0" w:line="278" w:lineRule="auto"/>
        <w:tabs>
          <w:tab w:leader="none" w:pos="796" w:val="left"/>
        </w:tabs>
        <w:numPr>
          <w:ilvl w:val="1"/>
          <w:numId w:val="2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Flexible Packaging Films increased $1.8 million primarily due to increased sales volume. DSO was approximately 35.8 days for the 12 months ended June 30, 2024 and 38.1 days for the 12 months ended December 31, 2023.</w:t>
      </w:r>
    </w:p>
    <w:p>
      <w:pPr>
        <w:spacing w:after="0" w:line="42" w:lineRule="exact"/>
        <w:rPr>
          <w:rFonts w:ascii="Times New Roman" w:cs="Times New Roman" w:eastAsia="Times New Roman" w:hAnsi="Times New Roman"/>
          <w:sz w:val="18"/>
          <w:szCs w:val="18"/>
          <w:color w:val="auto"/>
          <w:strike w:val="1"/>
        </w:rPr>
      </w:pPr>
    </w:p>
    <w:p>
      <w:pPr>
        <w:ind w:left="400" w:hanging="393"/>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$7.2 million (8.8%).</w:t>
      </w:r>
    </w:p>
    <w:p>
      <w:pPr>
        <w:spacing w:after="0" w:line="87" w:lineRule="exact"/>
        <w:rPr>
          <w:rFonts w:ascii="Times New Roman" w:cs="Times New Roman" w:eastAsia="Times New Roman" w:hAnsi="Times New Roman"/>
          <w:sz w:val="18"/>
          <w:szCs w:val="18"/>
          <w:color w:val="auto"/>
        </w:rPr>
      </w:pPr>
    </w:p>
    <w:p>
      <w:pPr>
        <w:ind w:left="800" w:right="40" w:hanging="392"/>
        <w:spacing w:after="0" w:line="258" w:lineRule="auto"/>
        <w:tabs>
          <w:tab w:leader="none" w:pos="7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$4.7 million primarily due to higher average aluminum prices and higher overall inventory levels to align with higher demand. DIO (represents trailing 12 months costs of goods sold calculated on a first-in first-out basis divided by a rolling 12-month average of inventory balances calculated on the first-in first-out basis) was approximately 47.4 days for the 12 months ended June 30, 2024 and 51.6 days for the 12 months ended December 31, 2023.</w:t>
      </w:r>
    </w:p>
    <w:p>
      <w:pPr>
        <w:spacing w:after="0" w:line="59" w:lineRule="exact"/>
        <w:rPr>
          <w:rFonts w:ascii="Times New Roman" w:cs="Times New Roman" w:eastAsia="Times New Roman" w:hAnsi="Times New Roman"/>
          <w:sz w:val="18"/>
          <w:szCs w:val="18"/>
          <w:color w:val="auto"/>
        </w:rPr>
      </w:pPr>
    </w:p>
    <w:p>
      <w:pPr>
        <w:ind w:left="800" w:right="40" w:hanging="392"/>
        <w:spacing w:after="0" w:line="263" w:lineRule="auto"/>
        <w:tabs>
          <w:tab w:leader="none" w:pos="7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$2.0 million due to higher raw materials and finished goods levels to support increased sales volume during the first six months of 2024. DIO was approximately 51.3 days for the 12 months ended June 30, 2024 and 57.2 days for the 12 months ended December 31, 2023.</w:t>
      </w:r>
    </w:p>
    <w:p>
      <w:pPr>
        <w:spacing w:after="0" w:line="55" w:lineRule="exact"/>
        <w:rPr>
          <w:rFonts w:ascii="Times New Roman" w:cs="Times New Roman" w:eastAsia="Times New Roman" w:hAnsi="Times New Roman"/>
          <w:sz w:val="18"/>
          <w:szCs w:val="18"/>
          <w:color w:val="auto"/>
        </w:rPr>
      </w:pPr>
    </w:p>
    <w:p>
      <w:pPr>
        <w:ind w:left="800" w:right="420" w:hanging="392"/>
        <w:spacing w:after="0" w:line="263" w:lineRule="auto"/>
        <w:tabs>
          <w:tab w:leader="none" w:pos="7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remained relatively flat. DIO of approximately 104.6 days for the 12 months ended June 30, 2024 compared to 117.7 days for the 12 months ended December 31, 2023 due to the lower 12-month average of costs of goods sold as a result of overall lower resin costs and higher sales volume.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4" w:name="page35"/>
    <w:bookmarkEnd w:id="34"/>
    <w:p>
      <w:pPr>
        <w:ind w:left="400" w:right="460" w:hanging="393"/>
        <w:spacing w:after="0" w:line="278" w:lineRule="auto"/>
        <w:tabs>
          <w:tab w:leader="none" w:pos="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$11.6 million primarily due to depreciation expense of $12.4 million and a $3.7 million unfavorable change in the value of the U.S. dollar relative to foreign currencies, partially offset by capital expenditures of $4.7 million.</w:t>
      </w:r>
    </w:p>
    <w:p>
      <w:pPr>
        <w:spacing w:after="0" w:line="28"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$1.0 million (10.6%) due to amortization expense.</w:t>
      </w:r>
    </w:p>
    <w:p>
      <w:pPr>
        <w:spacing w:after="0" w:line="100"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assets decreased $1.4 million (5.7%). See Note 8 for more information.</w:t>
      </w:r>
    </w:p>
    <w:p>
      <w:pPr>
        <w:spacing w:after="0" w:line="100"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$2.0 million (2.1%).</w:t>
      </w:r>
    </w:p>
    <w:p>
      <w:pPr>
        <w:spacing w:after="0" w:line="87" w:lineRule="exact"/>
        <w:rPr>
          <w:rFonts w:ascii="Times New Roman" w:cs="Times New Roman" w:eastAsia="Times New Roman" w:hAnsi="Times New Roman"/>
          <w:sz w:val="18"/>
          <w:szCs w:val="18"/>
          <w:color w:val="auto"/>
        </w:rPr>
      </w:pPr>
    </w:p>
    <w:p>
      <w:pPr>
        <w:ind w:left="800" w:right="40" w:hanging="392"/>
        <w:spacing w:after="0" w:line="263" w:lineRule="auto"/>
        <w:tabs>
          <w:tab w:leader="none" w:pos="7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$0.8 million primarily due to the timing of payments. DPO (represents trailing 12 months costs of goods sold calculated on a first-in first-out basis divided by a rolling 12-month average of accounts payable balances) was approximately 48.1 days for the 12 months ended June 30, 2024 and 49.8 days for the 12 months ended December 31, 2023.</w:t>
      </w:r>
    </w:p>
    <w:p>
      <w:pPr>
        <w:spacing w:after="0" w:line="55" w:lineRule="exact"/>
        <w:rPr>
          <w:rFonts w:ascii="Times New Roman" w:cs="Times New Roman" w:eastAsia="Times New Roman" w:hAnsi="Times New Roman"/>
          <w:sz w:val="18"/>
          <w:szCs w:val="18"/>
          <w:color w:val="auto"/>
        </w:rPr>
      </w:pPr>
    </w:p>
    <w:p>
      <w:pPr>
        <w:ind w:left="800" w:right="980" w:hanging="392"/>
        <w:spacing w:after="0" w:line="278" w:lineRule="auto"/>
        <w:tabs>
          <w:tab w:leader="none" w:pos="7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$0.4 million primarily due to higher inventory levels and the timing of payments. DPO was approximately 43.7 days for the 12 months ended June 30, 2024 and 43.4 days for the 12 months ended December 31, 2023.</w:t>
      </w:r>
    </w:p>
    <w:p>
      <w:pPr>
        <w:spacing w:after="0" w:line="42" w:lineRule="exact"/>
        <w:rPr>
          <w:rFonts w:ascii="Times New Roman" w:cs="Times New Roman" w:eastAsia="Times New Roman" w:hAnsi="Times New Roman"/>
          <w:sz w:val="18"/>
          <w:szCs w:val="18"/>
          <w:color w:val="auto"/>
        </w:rPr>
      </w:pPr>
    </w:p>
    <w:p>
      <w:pPr>
        <w:ind w:left="800" w:right="320" w:hanging="392"/>
        <w:spacing w:after="0" w:line="308" w:lineRule="auto"/>
        <w:tabs>
          <w:tab w:leader="none" w:pos="79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 in Flexible Packaging Films decreased $1.5 million primarily due to lower raw material purchases and timing of payments. DPO was approximately 71.2 days for the 12 months ended June 30, 2024 and 61.7 days for the 12 months ended December 31, 2023.</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 was $7.3 million in the first six months of 2024 compared to net cash provided by operating activities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million in the first six months of 2023. The decrease was primarily due to lower working capital and lower accrued pension benefits as a result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termination in 2023, partially offset by higher EBITDA from ongoing operations for all reportable segments in the first 6 months of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versus last year.</w:t>
      </w:r>
    </w:p>
    <w:p>
      <w:pPr>
        <w:spacing w:after="0" w:line="82" w:lineRule="exact"/>
        <w:rPr>
          <w:sz w:val="20"/>
          <w:szCs w:val="20"/>
          <w:color w:val="auto"/>
        </w:rPr>
      </w:pPr>
    </w:p>
    <w:p>
      <w:pPr>
        <w:ind w:right="500" w:firstLine="401"/>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was $4.6 million in the first six months of 2024 compared to $15.6 million the first six months of 2023. The decrease was primarily due to lower capital expenditures ($11.1 million).</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 of $4.9 million in the first six months of 2024 remained consistent with the first six months of 2023.</w:t>
      </w:r>
    </w:p>
    <w:p>
      <w:pPr>
        <w:spacing w:after="0" w:line="87" w:lineRule="exact"/>
        <w:rPr>
          <w:sz w:val="20"/>
          <w:szCs w:val="20"/>
          <w:color w:val="auto"/>
        </w:rPr>
      </w:pPr>
    </w:p>
    <w:p>
      <w:pPr>
        <w:ind w:right="280" w:firstLine="401"/>
        <w:spacing w:after="0" w:line="278" w:lineRule="auto"/>
        <w:rPr>
          <w:sz w:val="20"/>
          <w:szCs w:val="20"/>
          <w:color w:val="auto"/>
        </w:rPr>
      </w:pPr>
      <w:r>
        <w:rPr>
          <w:rFonts w:ascii="Times New Roman" w:cs="Times New Roman" w:eastAsia="Times New Roman" w:hAnsi="Times New Roman"/>
          <w:sz w:val="18"/>
          <w:szCs w:val="18"/>
          <w:color w:val="auto"/>
        </w:rPr>
        <w:t>At June 30, 2024, the Company had cash, cash equivalents and restricted cash of $8.7 million, including cash and cash equivalents held in locations outside the U.S. of $3.8 million.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89" w:lineRule="exact"/>
        <w:rPr>
          <w:sz w:val="20"/>
          <w:szCs w:val="20"/>
          <w:color w:val="auto"/>
        </w:rPr>
      </w:pPr>
    </w:p>
    <w:p>
      <w:pPr>
        <w:ind w:right="60" w:firstLine="401"/>
        <w:spacing w:after="0" w:line="251"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Second Amended and Restated Credit Agreement (the "Credit Agreement"), which provides the Company with a $180 million senior secured asset-based revolving credit facility that will mature on June 30, 2026. On April 16, 2024, the Company entered into Amendment No. 4 (the "Amendment") that, among other items: (i) moves the ABL Adjustment Date (defined below) from March 31, 2025 to September 30, 2025 and (ii) requires weekly reporting of the borrowing base financial covenant.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June 30, 2024, Minimum Liquidity (as defined in the ABL Facility) of $45.1 million, after reducing the borrowing base by the aggregate outstanding borrowings of $122.0 million and standby letters of credit of $12.9 million was in excess of the $10 million Minimum Liquidity financial covenant.</w:t>
      </w:r>
    </w:p>
    <w:p>
      <w:pPr>
        <w:spacing w:after="0" w:line="66"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financial covenants in the ABL Facility are as follows: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35" w:name="page36"/>
    <w:bookmarkEnd w:id="35"/>
    <w:p>
      <w:pPr>
        <w:ind w:left="640" w:right="20" w:hanging="232"/>
        <w:spacing w:after="0" w:line="263"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a minimum Credit EBITDA (as defined in the ABL Facility), as of the end of each fiscal month for the 12-month period then ended (presented below) and (ii) a Minimum Liquidity (as defined in the ABL Facility) of $10.0 million.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20" w:type="dxa"/>
            <w:vAlign w:val="bottom"/>
            <w:tcBorders>
              <w:top w:val="single" w:sz="8" w:color="auto"/>
            </w:tcBorders>
          </w:tcPr>
          <w:p>
            <w:pPr>
              <w:spacing w:after="0"/>
              <w:rPr>
                <w:sz w:val="22"/>
                <w:szCs w:val="22"/>
                <w:color w:val="auto"/>
              </w:rPr>
            </w:pPr>
          </w:p>
        </w:tc>
        <w:tc>
          <w:tcPr>
            <w:tcW w:w="7720" w:type="dxa"/>
            <w:vAlign w:val="bottom"/>
            <w:tcBorders>
              <w:top w:val="single" w:sz="8" w:color="auto"/>
            </w:tcBorders>
          </w:tcPr>
          <w:p>
            <w:pPr>
              <w:jc w:val="right"/>
              <w:ind w:right="3251"/>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900" w:type="dxa"/>
            <w:vAlign w:val="bottom"/>
            <w:tcBorders>
              <w:top w:val="single" w:sz="8" w:color="auto"/>
            </w:tcBorders>
          </w:tcPr>
          <w:p>
            <w:pPr>
              <w:spacing w:after="0"/>
              <w:rPr>
                <w:sz w:val="22"/>
                <w:szCs w:val="22"/>
                <w:color w:val="auto"/>
              </w:rPr>
            </w:pP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77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7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w:t>
            </w:r>
          </w:p>
        </w:tc>
      </w:tr>
      <w:tr>
        <w:trPr>
          <w:trHeight w:val="28"/>
        </w:trPr>
        <w:tc>
          <w:tcPr>
            <w:tcW w:w="262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ind w:left="640" w:right="120" w:hanging="312"/>
        <w:spacing w:after="0" w:line="26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June 30, 2024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June 30, 2024 (in thousands):</w:t>
            </w:r>
          </w:p>
        </w:tc>
        <w:tc>
          <w:tcPr>
            <w:tcW w:w="5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(73,892)</w:t>
            </w:r>
          </w:p>
        </w:tc>
      </w:tr>
      <w:tr>
        <w:trPr>
          <w:trHeight w:val="233"/>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27,632</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125,096</w:t>
            </w:r>
          </w:p>
        </w:tc>
      </w:tr>
      <w:tr>
        <w:trPr>
          <w:trHeight w:val="201"/>
        </w:trPr>
        <w:tc>
          <w:tcPr>
            <w:tcW w:w="9640" w:type="dxa"/>
            <w:vAlign w:val="bottom"/>
            <w:shd w:val="clear" w:color="auto" w:fill="CCEEFF"/>
          </w:tcPr>
          <w:p>
            <w:pPr>
              <w:ind w:left="660"/>
              <w:spacing w:after="0" w:line="20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9"/>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related of $9,335)</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Terphane sale transaction costs in an amount not to exceed $10,000</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w w:val="99"/>
              </w:rPr>
              <w:t>All non-cash gains and income, plus cash gains and income in excess of $10,000, for continuing operations that are classified</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 unusual, extraordinary or which are related to plant shutdowns, asset impairments and/or restructurings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5,706</w:t>
            </w:r>
          </w:p>
        </w:tc>
      </w:tr>
      <w:tr>
        <w:trPr>
          <w:trHeight w:val="26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26"/>
        </w:trPr>
        <w:tc>
          <w:tcPr>
            <w:tcW w:w="9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Credit EBITDA</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 w:lineRule="exact"/>
        <w:rPr>
          <w:sz w:val="20"/>
          <w:szCs w:val="20"/>
          <w:color w:val="auto"/>
        </w:rPr>
      </w:pPr>
    </w:p>
    <w:p>
      <w:pPr>
        <w:ind w:left="180" w:right="40" w:hanging="155"/>
        <w:spacing w:after="0" w:line="259" w:lineRule="auto"/>
        <w:tabs>
          <w:tab w:leader="none" w:pos="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color w:val="auto"/>
        </w:rPr>
        <w:t>The computation of the ABL Facility Minimum Liquidity financial covenant, as defined in the ABL Facility,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4"/>
        </w:trPr>
        <w:tc>
          <w:tcPr>
            <w:tcW w:w="7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aggregate principal</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1"/>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7"/>
        </w:trPr>
        <w:tc>
          <w:tcPr>
            <w:tcW w:w="7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196"/>
        </w:trPr>
        <w:tc>
          <w:tcPr>
            <w:tcW w:w="74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Maximum borrowing limit per the Borrowing base as defined in the ABL Facility (includes eligible</w:t>
            </w:r>
          </w:p>
        </w:tc>
        <w:tc>
          <w:tcPr>
            <w:tcW w:w="22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180,000</w:t>
            </w:r>
          </w:p>
        </w:tc>
        <w:tc>
          <w:tcPr>
            <w:tcW w:w="28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172,286</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domestic cash and cash equivalents of $3,691 as of June 30, 2024 and $3,846 as of December 31, 2023)</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4"/>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outstanding debt (matures on June 30, 2026)</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2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126,322</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standby letters of credit</w:t>
            </w:r>
          </w:p>
        </w:tc>
        <w:tc>
          <w:tcPr>
            <w:tcW w:w="2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12,930</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7"/>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ABL Facility Minimum Liquidity</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45,070</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Liquidity financial covenant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8"/>
        </w:trPr>
        <w:tc>
          <w:tcPr>
            <w:tcW w:w="7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156" w:lineRule="exact"/>
        <w:rPr>
          <w:sz w:val="20"/>
          <w:szCs w:val="20"/>
          <w:color w:val="auto"/>
        </w:rPr>
      </w:pPr>
    </w:p>
    <w:p>
      <w:pPr>
        <w:ind w:right="260" w:firstLine="401"/>
        <w:spacing w:after="0" w:line="278"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2024, the Company was in compliance with all debt covenants.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103" w:lineRule="exact"/>
        <w:rPr>
          <w:sz w:val="20"/>
          <w:szCs w:val="20"/>
          <w:color w:val="auto"/>
        </w:rPr>
      </w:pPr>
    </w:p>
    <w:p>
      <w:pPr>
        <w:ind w:right="200" w:firstLine="401"/>
        <w:spacing w:after="0" w:line="255" w:lineRule="auto"/>
        <w:rPr>
          <w:sz w:val="20"/>
          <w:szCs w:val="20"/>
          <w:color w:val="auto"/>
        </w:rPr>
      </w:pPr>
      <w:r>
        <w:rPr>
          <w:rFonts w:ascii="Times New Roman" w:cs="Times New Roman" w:eastAsia="Times New Roman" w:hAnsi="Times New Roman"/>
          <w:sz w:val="18"/>
          <w:szCs w:val="18"/>
          <w:color w:val="auto"/>
        </w:rPr>
        <w:t>On October 26, 2023, Terphane Ltda., the Company’s wholly owned subsidiary in Brazil, borrowed $20 million secured by certain of its assets (“Terphane Brazil Loan”). This U.S. Dollar borrowing matures on October 30, 2028. The Company expects that the Terphane Brazil Loan will be repaid (and collateral released) upon the closing of the Contingent Terphane Sale. On October 26, 2023, the Company borrowed $20 million from Terphane Ltda. (the “Intercompany Loan”) at the same interest rate as the Terphane Brazil Loan, thereby transferring the funds to the U.S. The Company will repay the Intercompany Loan in conjunction with the closing of the Contingent Terphane Sale.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89"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On June 25, 2024, PE Films' business location in Guangzhou, China, Guangzhou Tredegar Film Products Co., Ltd. (“Guangzhou Tredegar”), entered into a 9.5 million Chinese Yuan, which is equivalent to $1.3 million as of June 30, 2024, revolving loan with the Industrial and Commercial Bank of China. The loan matures one year after the first withdrawal, which occurred on July 4, 2024, in the amount of 5 million Chinese Yuan. The interest rate is the one year loan prime rate published by the National Interbank Funding Center for the working day immediately preceding the drawdown date, minus 0.45%. As of June 30, 2024, the National Interbank Funding Center rate was 3.45%. The revolving loan is secured by a mortgage contract listing the Guangzhou Tredegar factory building as collateral. The mortgage contract has a maximum value of 30 million Chinese Yuan and is effective from June 25, 2024 through May 31, 2027.</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on the ABL Facility, the Terphane Brazil Loan and the PE Films Guangzhou Loan, see Note 10 for additional information.</w:t>
      </w:r>
    </w:p>
    <w:p>
      <w:pPr>
        <w:spacing w:after="0" w:line="101" w:lineRule="exact"/>
        <w:rPr>
          <w:sz w:val="20"/>
          <w:szCs w:val="20"/>
          <w:color w:val="auto"/>
        </w:rPr>
      </w:pPr>
    </w:p>
    <w:p>
      <w:pPr>
        <w:ind w:right="100" w:firstLine="401"/>
        <w:spacing w:after="0" w:line="255"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 In addition, the completion of the Contingent Terphane Sale would provide additional liquidity.</w:t>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5" w:lineRule="exact"/>
        <w:rPr>
          <w:sz w:val="20"/>
          <w:szCs w:val="20"/>
          <w:color w:val="auto"/>
        </w:rPr>
      </w:pPr>
    </w:p>
    <w:p>
      <w:pPr>
        <w:jc w:val="both"/>
        <w:ind w:right="320" w:firstLine="401"/>
        <w:spacing w:after="0" w:line="263"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55" w:lineRule="exact"/>
        <w:rPr>
          <w:sz w:val="20"/>
          <w:szCs w:val="20"/>
          <w:color w:val="auto"/>
        </w:rPr>
      </w:pPr>
    </w:p>
    <w:p>
      <w:pPr>
        <w:ind w:right="100" w:firstLine="401"/>
        <w:spacing w:after="0" w:line="255"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8" w:name="page39"/>
    <w:bookmarkEnd w:id="38"/>
    <w:p>
      <w:pPr>
        <w:ind w:firstLine="401"/>
        <w:spacing w:after="0" w:line="254"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75565</wp:posOffset>
            </wp:positionV>
            <wp:extent cx="5715635" cy="2522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Source: Quarterly averages computed by the Company using London Metal Exchange daily aluminum cash prices plus the Midwest premium.</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75565</wp:posOffset>
            </wp:positionV>
            <wp:extent cx="5715635" cy="2522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977" w:right="41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67310</wp:posOffset>
            </wp:positionV>
            <wp:extent cx="5715635" cy="2522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right="260"/>
        <w:spacing w:after="0" w:line="233"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 In January 2023, IHS</w:t>
      </w:r>
    </w:p>
    <w:p>
      <w:pPr>
        <w:ind w:left="300" w:right="180"/>
        <w:spacing w:after="0" w:line="234" w:lineRule="auto"/>
        <w:rPr>
          <w:sz w:val="20"/>
          <w:szCs w:val="20"/>
          <w:color w:val="auto"/>
        </w:rPr>
      </w:pPr>
      <w:r>
        <w:rPr>
          <w:rFonts w:ascii="Times New Roman" w:cs="Times New Roman" w:eastAsia="Times New Roman" w:hAnsi="Times New Roman"/>
          <w:sz w:val="12"/>
          <w:szCs w:val="12"/>
          <w:color w:val="auto"/>
        </w:rPr>
        <w:t>reflected a 41 cents per pound non-market adjustment based on their estimate of the growth of discounts in the prior periods. The 4th quarter 2022 average rate of $0.60 per pound is shown on a pro forma basis as if the non-market adjustment was made in the fourth quarter of 2022.</w:t>
      </w:r>
    </w:p>
    <w:p>
      <w:pPr>
        <w:spacing w:after="0" w:line="171"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977" w:right="519" w:bottom="1440" w:gutter="0" w:footer="0" w:header="0"/>
        </w:sectPr>
      </w:pPr>
    </w:p>
    <w:bookmarkStart w:id="40" w:name="page41"/>
    <w:bookmarkEnd w:id="40"/>
    <w:p>
      <w:pPr>
        <w:ind w:right="40" w:firstLine="401"/>
        <w:spacing w:after="0" w:line="258"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40640</wp:posOffset>
            </wp:positionV>
            <wp:extent cx="5715635" cy="2522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data from CMAI Global Index data.</w:t>
      </w:r>
    </w:p>
    <w:p>
      <w:pPr>
        <w:spacing w:after="0" w:line="196" w:lineRule="exact"/>
        <w:rPr>
          <w:sz w:val="20"/>
          <w:szCs w:val="20"/>
          <w:color w:val="auto"/>
        </w:rPr>
      </w:pPr>
    </w:p>
    <w:p>
      <w:pPr>
        <w:ind w:right="400" w:firstLine="401"/>
        <w:spacing w:after="0" w:line="278"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38100</wp:posOffset>
            </wp:positionV>
            <wp:extent cx="5715635" cy="2632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63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data from CMAI Global Index data.</w:t>
      </w:r>
    </w:p>
    <w:p>
      <w:pPr>
        <w:spacing w:after="0" w:line="196"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spacing w:after="0" w:line="60" w:lineRule="exact"/>
        <w:rPr>
          <w:sz w:val="20"/>
          <w:szCs w:val="20"/>
          <w:color w:val="auto"/>
        </w:rPr>
      </w:pPr>
    </w:p>
    <w:p>
      <w:pPr>
        <w:ind w:right="20" w:firstLine="401"/>
        <w:spacing w:after="0" w:line="263"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w:t>
      </w:r>
    </w:p>
    <w:p>
      <w:pPr>
        <w:sectPr>
          <w:pgSz w:w="11900" w:h="16838" w:orient="portrait"/>
          <w:cols w:equalWidth="0" w:num="1">
            <w:col w:w="11200"/>
          </w:cols>
          <w:pgMar w:left="320" w:top="977" w:right="3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type w:val="continuous"/>
        </w:sectPr>
      </w:pPr>
    </w:p>
    <w:bookmarkStart w:id="41" w:name="page42"/>
    <w:bookmarkEnd w:id="41"/>
    <w:p>
      <w:pPr>
        <w:ind w:right="100"/>
        <w:spacing w:after="0" w:line="255" w:lineRule="auto"/>
        <w:rPr>
          <w:sz w:val="20"/>
          <w:szCs w:val="20"/>
          <w:color w:val="auto"/>
        </w:rPr>
      </w:pPr>
      <w:r>
        <w:rPr>
          <w:rFonts w:ascii="Times New Roman" w:cs="Times New Roman" w:eastAsia="Times New Roman" w:hAnsi="Times New Roman"/>
          <w:sz w:val="18"/>
          <w:szCs w:val="18"/>
          <w:color w:val="auto"/>
        </w:rPr>
        <w:t>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1" w:lineRule="exact"/>
        <w:rPr>
          <w:sz w:val="20"/>
          <w:szCs w:val="20"/>
          <w:color w:val="auto"/>
        </w:rPr>
      </w:pPr>
    </w:p>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The Company estimates annual net costs of R$139.0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7 for more information on outstanding hedging contracts and this hedging program.</w:t>
      </w:r>
    </w:p>
    <w:p>
      <w:pPr>
        <w:spacing w:after="0" w:line="60" w:lineRule="exact"/>
        <w:rPr>
          <w:sz w:val="20"/>
          <w:szCs w:val="20"/>
          <w:color w:val="auto"/>
        </w:rPr>
      </w:pPr>
    </w:p>
    <w:p>
      <w:pPr>
        <w:jc w:val="both"/>
        <w:ind w:right="160" w:firstLine="401"/>
        <w:spacing w:after="0" w:line="263"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for PE Films had an unfavorable impact on EBITDA from ongoing operations of $0.4 million for the second quarter of 2024 and an unfavorable impact on EBITDA from ongoing operations of $0.3 million in the first half of 2024 compared with the same periods of 2023.</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67310</wp:posOffset>
            </wp:positionV>
            <wp:extent cx="5715635" cy="2522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Source: Quarterly averages computed by Tredegar using daily closing data provided by Bloomberg.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June 30, 2024.</w:t>
      </w:r>
    </w:p>
    <w:p>
      <w:pPr>
        <w:spacing w:after="0" w:line="46" w:lineRule="exact"/>
        <w:rPr>
          <w:sz w:val="20"/>
          <w:szCs w:val="20"/>
          <w:color w:val="auto"/>
        </w:rPr>
      </w:pPr>
    </w:p>
    <w:p>
      <w:pPr>
        <w:ind w:right="280" w:firstLine="401"/>
        <w:spacing w:after="0" w:line="278"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June 30, 2024, the Company's Chief Executive Officer and Chief Financial Officer concluded that, as of such date, our disclosure controls and procedures were effective.</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5" w:lineRule="exact"/>
        <w:rPr>
          <w:sz w:val="20"/>
          <w:szCs w:val="20"/>
          <w:color w:val="auto"/>
        </w:rPr>
      </w:pPr>
    </w:p>
    <w:p>
      <w:pPr>
        <w:jc w:val="both"/>
        <w:ind w:right="500" w:firstLine="401"/>
        <w:spacing w:after="0" w:line="263"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June 30, 2024, that has materially affected, or is reasonably likely to materially affect, its internal control over financial reporting (as defined in Rules 13a-15(f) and 15d-15(f) under the Exchange 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5" w:lineRule="exact"/>
        <w:rPr>
          <w:sz w:val="20"/>
          <w:szCs w:val="20"/>
          <w:color w:val="auto"/>
        </w:rPr>
      </w:pPr>
    </w:p>
    <w:p>
      <w:pPr>
        <w:ind w:right="100" w:firstLine="401"/>
        <w:spacing w:after="0" w:line="263" w:lineRule="auto"/>
        <w:rPr>
          <w:sz w:val="20"/>
          <w:szCs w:val="20"/>
          <w:color w:val="auto"/>
        </w:rPr>
      </w:pPr>
      <w:r>
        <w:rPr>
          <w:rFonts w:ascii="Times New Roman" w:cs="Times New Roman" w:eastAsia="Times New Roman" w:hAnsi="Times New Roman"/>
          <w:sz w:val="18"/>
          <w:szCs w:val="18"/>
          <w:color w:val="auto"/>
        </w:rPr>
        <w:t>As disclosed in “Item 1A. Risk Factors” in the 2023 Form 10-K, there are a number of risks and uncertainties that can have a material effect on the operating results of our businesses and our financial condition. There are no material updates or changes to our risk factors previously disclosed in the 2023 Form 10-K.</w:t>
      </w:r>
    </w:p>
    <w:p>
      <w:pPr>
        <w:sectPr>
          <w:pgSz w:w="11900" w:h="16838" w:orient="portrait"/>
          <w:cols w:equalWidth="0" w:num="1">
            <w:col w:w="11200"/>
          </w:cols>
          <w:pgMar w:left="320" w:top="977" w:right="3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type w:val="continuous"/>
        </w:sectPr>
      </w:pPr>
    </w:p>
    <w:bookmarkStart w:id="42" w:name="page43"/>
    <w:bookmarkEnd w:id="42"/>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1" w:lineRule="exact"/>
        <w:rPr>
          <w:sz w:val="20"/>
          <w:szCs w:val="20"/>
          <w:color w:val="auto"/>
        </w:rPr>
      </w:pPr>
    </w:p>
    <w:p>
      <w:pPr>
        <w:jc w:val="both"/>
        <w:ind w:right="80" w:firstLine="401"/>
        <w:spacing w:after="0" w:line="263" w:lineRule="auto"/>
        <w:rPr>
          <w:sz w:val="20"/>
          <w:szCs w:val="20"/>
          <w:color w:val="auto"/>
        </w:rPr>
      </w:pPr>
      <w:r>
        <w:rPr>
          <w:rFonts w:ascii="Times New Roman" w:cs="Times New Roman" w:eastAsia="Times New Roman" w:hAnsi="Times New Roman"/>
          <w:sz w:val="18"/>
          <w:szCs w:val="18"/>
          <w:color w:val="auto"/>
        </w:rPr>
        <w:t>The Company’s Credit Agreement contains financial and other restrictive covenants, including a restriction on the Company’s ability to pay dividends to shareholders. For more information on the Credit Agreement, see “Item 2. Management’s Discussion and Analysis of Financial Condition and Results of Operations - Liquidity and Capital Resources.”</w:t>
      </w:r>
    </w:p>
    <w:p>
      <w:pPr>
        <w:spacing w:after="0" w:line="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89" w:lineRule="exact"/>
        <w:rPr>
          <w:sz w:val="20"/>
          <w:szCs w:val="20"/>
          <w:color w:val="auto"/>
        </w:rPr>
      </w:pPr>
    </w:p>
    <w:p>
      <w:pPr>
        <w:ind w:right="280" w:firstLine="401"/>
        <w:spacing w:after="0" w:line="278"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6"/>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spacing w:after="0"/>
              <w:rPr>
                <w:sz w:val="16"/>
                <w:szCs w:val="16"/>
                <w:color w:val="auto"/>
              </w:rPr>
            </w:pPr>
          </w:p>
        </w:tc>
        <w:tc>
          <w:tcPr>
            <w:tcW w:w="10020" w:type="dxa"/>
            <w:vAlign w:val="bottom"/>
            <w:gridSpan w:val="14"/>
            <w:shd w:val="clear" w:color="auto" w:fill="CCEEFF"/>
          </w:tcPr>
          <w:p>
            <w:pPr>
              <w:spacing w:after="0" w:line="188"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Amendment No. 4, dated April 16, 2024, to the Second Amended and Restated Credit Agreement, dated June 29, 2022, by and among</w:t>
              </w:r>
            </w:hyperlink>
          </w:p>
        </w:tc>
      </w:tr>
      <w:tr>
        <w:trPr>
          <w:trHeight w:val="154"/>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9580" w:type="dxa"/>
            <w:vAlign w:val="bottom"/>
            <w:tcBorders>
              <w:top w:val="single" w:sz="8" w:color="0000FF"/>
              <w:bottom w:val="single" w:sz="8" w:color="0000FF"/>
            </w:tcBorders>
            <w:gridSpan w:val="6"/>
            <w:shd w:val="clear" w:color="auto" w:fill="CCEEFF"/>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Tredegar Corporation, as borrower, certain of Tredegar Corporation’s material domestic subsidiaries, as guarantors, the lenders named</w:t>
              </w:r>
            </w:hyperlink>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7"/>
        </w:trPr>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7"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therein, JPMorgan Chase Bank, N.A., as administrative agent, Citizens Bank, N.A. and PNC Bank, National Association, as co-syndication</w:t>
              </w:r>
            </w:hyperlink>
          </w:p>
        </w:tc>
      </w:tr>
      <w:tr>
        <w:trPr>
          <w:trHeight w:val="154"/>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968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agents, and Bank of America, N.A., U.S. Bank National Association and Wells Fargo Bank, National Association, as co-documentation</w:t>
              </w:r>
            </w:hyperlink>
          </w:p>
        </w:tc>
        <w:tc>
          <w:tcPr>
            <w:tcW w:w="28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4"/>
        </w:trPr>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20" w:type="dxa"/>
            <w:vAlign w:val="bottom"/>
            <w:gridSpan w:val="14"/>
            <w:shd w:val="clear" w:color="auto" w:fill="CCEEFF"/>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agents (filed as Exhibit 10.1 of Tredegar's Current Report on Form 8-K (File No. 1-10258), filed on April 22, 2024, and incorporated herein</w:t>
              </w:r>
            </w:hyperlink>
          </w:p>
        </w:tc>
      </w:tr>
      <w:tr>
        <w:trPr>
          <w:trHeight w:val="187"/>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0000FF"/>
              <w:bottom w:val="single" w:sz="8" w:color="0000FF"/>
            </w:tcBorders>
            <w:shd w:val="clear" w:color="auto" w:fill="CCEEFF"/>
          </w:tcPr>
          <w:p>
            <w:pPr>
              <w:spacing w:after="0" w:line="167" w:lineRule="exact"/>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by reference).</w:t>
              </w:r>
            </w:hyperlink>
          </w:p>
        </w:tc>
        <w:tc>
          <w:tcPr>
            <w:tcW w:w="89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16"/>
                <w:szCs w:val="16"/>
                <w:color w:val="auto"/>
              </w:rPr>
            </w:pPr>
          </w:p>
        </w:tc>
        <w:tc>
          <w:tcPr>
            <w:tcW w:w="1002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54"/>
        </w:trPr>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under the Securities Exchange Act of 1934, as adopted pursuant to Section 302 of the Sarbanes-Oxley Act of 2002.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34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540" w:type="dxa"/>
            <w:vAlign w:val="bottom"/>
            <w:shd w:val="clear" w:color="auto" w:fill="CCEEFF"/>
          </w:tcPr>
          <w:p>
            <w:pPr>
              <w:spacing w:after="0"/>
              <w:rPr>
                <w:sz w:val="16"/>
                <w:szCs w:val="16"/>
                <w:color w:val="auto"/>
              </w:rPr>
            </w:pPr>
          </w:p>
        </w:tc>
        <w:tc>
          <w:tcPr>
            <w:tcW w:w="1002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87"/>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180" w:type="dxa"/>
            <w:vAlign w:val="bottom"/>
            <w:tcBorders>
              <w:top w:val="single" w:sz="8" w:color="0000FF"/>
              <w:bottom w:val="single" w:sz="8" w:color="0000FF"/>
            </w:tcBorders>
            <w:gridSpan w:val="5"/>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promulgated under the Securities Exchange Act of 1934, as adopted pursuant to Section 302 of the Sarbanes-Oxley Act of 2002.</w:t>
            </w:r>
          </w:p>
        </w:tc>
        <w:tc>
          <w:tcPr>
            <w:tcW w:w="66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7"/>
        </w:trPr>
        <w:tc>
          <w:tcPr>
            <w:tcW w:w="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16"/>
                <w:szCs w:val="16"/>
                <w:color w:val="auto"/>
              </w:rPr>
            </w:pPr>
          </w:p>
        </w:tc>
        <w:tc>
          <w:tcPr>
            <w:tcW w:w="1002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w w:val="99"/>
              </w:rPr>
              <w:t>Certification of President and Chief Executive Officer of Tredegar Corporation, pursuant to 18 U.S.C. Section 1350, as adopted pursuant to</w:t>
            </w:r>
          </w:p>
        </w:tc>
      </w:tr>
      <w:tr>
        <w:trPr>
          <w:trHeight w:val="154"/>
        </w:trPr>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4"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80" w:type="dxa"/>
            <w:vAlign w:val="bottom"/>
            <w:gridSpan w:val="3"/>
          </w:tcPr>
          <w:p>
            <w:pPr>
              <w:spacing w:after="0"/>
              <w:rPr>
                <w:sz w:val="13"/>
                <w:szCs w:val="13"/>
                <w:color w:val="auto"/>
              </w:rPr>
            </w:pPr>
          </w:p>
        </w:tc>
      </w:tr>
      <w:tr>
        <w:trPr>
          <w:trHeight w:val="33"/>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32.2</w:t>
            </w:r>
          </w:p>
        </w:tc>
        <w:tc>
          <w:tcPr>
            <w:tcW w:w="540" w:type="dxa"/>
            <w:vAlign w:val="bottom"/>
            <w:shd w:val="clear" w:color="auto" w:fill="CCEEFF"/>
          </w:tcPr>
          <w:p>
            <w:pPr>
              <w:spacing w:after="0"/>
              <w:rPr>
                <w:sz w:val="16"/>
                <w:szCs w:val="16"/>
                <w:color w:val="auto"/>
              </w:rPr>
            </w:pPr>
          </w:p>
        </w:tc>
        <w:tc>
          <w:tcPr>
            <w:tcW w:w="10020" w:type="dxa"/>
            <w:vAlign w:val="bottom"/>
            <w:gridSpan w:val="1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87"/>
        </w:trPr>
        <w:tc>
          <w:tcPr>
            <w:tcW w:w="6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9580" w:type="dxa"/>
            <w:vAlign w:val="bottom"/>
            <w:tcBorders>
              <w:top w:val="single" w:sz="8" w:color="0000FF"/>
            </w:tcBorders>
            <w:gridSpan w:val="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440" w:type="dxa"/>
            <w:vAlign w:val="bottom"/>
            <w:tcBorders>
              <w:top w:val="single" w:sz="8" w:color="CCEEFF"/>
            </w:tcBorders>
            <w:gridSpan w:val="8"/>
            <w:shd w:val="clear" w:color="auto" w:fill="CCEEFF"/>
          </w:tcPr>
          <w:p>
            <w:pPr>
              <w:spacing w:after="0"/>
              <w:rPr>
                <w:sz w:val="16"/>
                <w:szCs w:val="16"/>
                <w:color w:val="auto"/>
              </w:rPr>
            </w:pPr>
          </w:p>
        </w:tc>
      </w:tr>
      <w:tr>
        <w:trPr>
          <w:trHeight w:val="227"/>
        </w:trPr>
        <w:tc>
          <w:tcPr>
            <w:tcW w:w="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Borders>
              <w:top w:val="single" w:sz="8" w:color="CCEEFF"/>
            </w:tcBorders>
          </w:tcPr>
          <w:p>
            <w:pPr>
              <w:spacing w:after="0"/>
              <w:rPr>
                <w:sz w:val="19"/>
                <w:szCs w:val="19"/>
                <w:color w:val="auto"/>
              </w:rPr>
            </w:pPr>
          </w:p>
        </w:tc>
        <w:tc>
          <w:tcPr>
            <w:tcW w:w="4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c>
          <w:tcPr>
            <w:tcW w:w="5140" w:type="dxa"/>
            <w:vAlign w:val="bottom"/>
            <w:tcBorders>
              <w:top w:val="single" w:sz="8" w:color="CCEEFF"/>
            </w:tcBorders>
            <w:gridSpan w:val="11"/>
          </w:tcPr>
          <w:p>
            <w:pPr>
              <w:spacing w:after="0"/>
              <w:rPr>
                <w:sz w:val="19"/>
                <w:szCs w:val="19"/>
                <w:color w:val="auto"/>
              </w:rPr>
            </w:pPr>
          </w:p>
        </w:tc>
      </w:tr>
      <w:tr>
        <w:trPr>
          <w:trHeight w:val="2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shd w:val="clear" w:color="auto" w:fill="CCEEFF"/>
          </w:tcPr>
          <w:p>
            <w:pPr>
              <w:spacing w:after="0"/>
              <w:rPr>
                <w:sz w:val="19"/>
                <w:szCs w:val="19"/>
                <w:color w:val="auto"/>
              </w:rPr>
            </w:pPr>
          </w:p>
        </w:tc>
        <w:tc>
          <w:tcPr>
            <w:tcW w:w="100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ind w:left="1180" w:hanging="1155"/>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1"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7,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7,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7,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7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4" w:lineRule="exact"/>
        <w:rPr>
          <w:sz w:val="20"/>
          <w:szCs w:val="20"/>
          <w:color w:val="auto"/>
        </w:rPr>
      </w:pPr>
    </w:p>
    <w:p>
      <w:pPr>
        <w:ind w:left="640" w:hanging="63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Tredegar Corporation;</w:t>
      </w:r>
    </w:p>
    <w:p>
      <w:pPr>
        <w:spacing w:after="0" w:line="113" w:lineRule="exact"/>
        <w:rPr>
          <w:rFonts w:ascii="Times New Roman" w:cs="Times New Roman" w:eastAsia="Times New Roman" w:hAnsi="Times New Roman"/>
          <w:sz w:val="18"/>
          <w:szCs w:val="18"/>
          <w:color w:val="auto"/>
        </w:rPr>
      </w:pPr>
    </w:p>
    <w:p>
      <w:pPr>
        <w:jc w:val="both"/>
        <w:ind w:left="640" w:right="220" w:hanging="633"/>
        <w:spacing w:after="0" w:line="263"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40" w:right="200" w:hanging="633"/>
        <w:spacing w:after="0" w:line="278"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640" w:right="220" w:hanging="633"/>
        <w:spacing w:after="0" w:line="263"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20" w:hanging="651"/>
        <w:spacing w:after="0" w:line="263"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40" w:hanging="651"/>
        <w:spacing w:after="0" w:line="263"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40" w:hanging="651"/>
        <w:spacing w:after="0" w:line="308"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300" w:right="20" w:hanging="651"/>
        <w:spacing w:after="0" w:line="263"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40" w:right="120" w:hanging="633"/>
        <w:spacing w:after="0" w:line="278"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300" w:right="560" w:hanging="651"/>
        <w:spacing w:after="0" w:line="308"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300" w:right="260" w:hanging="651"/>
        <w:spacing w:after="0" w:line="278"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15875</wp:posOffset>
            </wp:positionV>
            <wp:extent cx="25565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John M. Steitz</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4" w:lineRule="exact"/>
        <w:rPr>
          <w:sz w:val="20"/>
          <w:szCs w:val="20"/>
          <w:color w:val="auto"/>
        </w:rPr>
      </w:pPr>
    </w:p>
    <w:p>
      <w:pPr>
        <w:ind w:left="640" w:hanging="63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Tredegar Corporation;</w:t>
      </w:r>
    </w:p>
    <w:p>
      <w:pPr>
        <w:spacing w:after="0" w:line="113" w:lineRule="exact"/>
        <w:rPr>
          <w:rFonts w:ascii="Times New Roman" w:cs="Times New Roman" w:eastAsia="Times New Roman" w:hAnsi="Times New Roman"/>
          <w:sz w:val="18"/>
          <w:szCs w:val="18"/>
          <w:color w:val="auto"/>
        </w:rPr>
      </w:pPr>
    </w:p>
    <w:p>
      <w:pPr>
        <w:jc w:val="both"/>
        <w:ind w:left="640" w:right="220" w:hanging="633"/>
        <w:spacing w:after="0" w:line="263"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40" w:right="200" w:hanging="633"/>
        <w:spacing w:after="0" w:line="278"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640" w:right="220" w:hanging="633"/>
        <w:spacing w:after="0" w:line="263"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20" w:hanging="651"/>
        <w:spacing w:after="0" w:line="263"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40" w:hanging="651"/>
        <w:spacing w:after="0" w:line="263"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40" w:hanging="651"/>
        <w:spacing w:after="0" w:line="308"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300" w:right="20" w:hanging="651"/>
        <w:spacing w:after="0" w:line="263"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40" w:right="120" w:hanging="633"/>
        <w:spacing w:after="0" w:line="278"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300" w:right="560" w:hanging="651"/>
        <w:spacing w:after="0" w:line="308"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300" w:right="260" w:hanging="651"/>
        <w:spacing w:after="0" w:line="278"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15875</wp:posOffset>
            </wp:positionV>
            <wp:extent cx="25565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jc w:val="both"/>
        <w:ind w:right="20" w:firstLine="642"/>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June 30, 2024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5" w:lineRule="exact"/>
        <w:rPr>
          <w:sz w:val="20"/>
          <w:szCs w:val="20"/>
          <w:color w:val="auto"/>
        </w:rPr>
      </w:pPr>
    </w:p>
    <w:p>
      <w:pPr>
        <w:ind w:left="900" w:hanging="251"/>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7" w:lineRule="exact"/>
        <w:rPr>
          <w:rFonts w:ascii="Times New Roman" w:cs="Times New Roman" w:eastAsia="Times New Roman" w:hAnsi="Times New Roman"/>
          <w:sz w:val="18"/>
          <w:szCs w:val="18"/>
          <w:color w:val="auto"/>
        </w:rPr>
      </w:pPr>
    </w:p>
    <w:p>
      <w:pPr>
        <w:ind w:left="900" w:hanging="251"/>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58" w:lineRule="exact"/>
        <w:rPr>
          <w:rFonts w:ascii="Times New Roman" w:cs="Times New Roman" w:eastAsia="Times New Roman" w:hAnsi="Times New Roman"/>
          <w:sz w:val="17"/>
          <w:szCs w:val="17"/>
          <w:color w:val="auto"/>
        </w:rPr>
      </w:pPr>
    </w:p>
    <w:p>
      <w:pPr>
        <w:ind w:left="20" w:right="99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John M. Steitz John M. Steitz</w:t>
      </w:r>
    </w:p>
    <w:p>
      <w:pPr>
        <w:spacing w:after="0" w:line="1" w:lineRule="exact"/>
        <w:rPr>
          <w:rFonts w:ascii="Times New Roman" w:cs="Times New Roman" w:eastAsia="Times New Roman" w:hAnsi="Times New Roman"/>
          <w:sz w:val="17"/>
          <w:szCs w:val="17"/>
          <w:color w:val="auto"/>
        </w:rPr>
      </w:pPr>
    </w:p>
    <w:p>
      <w:pPr>
        <w:ind w:left="20" w:right="85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-572770</wp:posOffset>
            </wp:positionV>
            <wp:extent cx="2751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jc w:val="both"/>
        <w:ind w:right="100" w:firstLine="642"/>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June 30, 2024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5" w:lineRule="exact"/>
        <w:rPr>
          <w:sz w:val="20"/>
          <w:szCs w:val="20"/>
          <w:color w:val="auto"/>
        </w:rPr>
      </w:pPr>
    </w:p>
    <w:p>
      <w:pPr>
        <w:ind w:left="900" w:hanging="251"/>
        <w:spacing w:after="0"/>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7" w:lineRule="exact"/>
        <w:rPr>
          <w:rFonts w:ascii="Times New Roman" w:cs="Times New Roman" w:eastAsia="Times New Roman" w:hAnsi="Times New Roman"/>
          <w:sz w:val="18"/>
          <w:szCs w:val="18"/>
          <w:color w:val="auto"/>
        </w:rPr>
      </w:pPr>
    </w:p>
    <w:p>
      <w:pPr>
        <w:ind w:left="900" w:hanging="251"/>
        <w:spacing w:after="0"/>
        <w:tabs>
          <w:tab w:leader="none" w:pos="9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58" w:lineRule="exact"/>
        <w:rPr>
          <w:rFonts w:ascii="Times New Roman" w:cs="Times New Roman" w:eastAsia="Times New Roman" w:hAnsi="Times New Roman"/>
          <w:sz w:val="17"/>
          <w:szCs w:val="17"/>
          <w:color w:val="auto"/>
        </w:rPr>
      </w:pPr>
    </w:p>
    <w:p>
      <w:pPr>
        <w:ind w:left="20" w:right="954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27514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7, 2024</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0"/>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7" Type="http://schemas.openxmlformats.org/officeDocument/2006/relationships/hyperlink" Target="https://www.sec.gov/ix?doc=/Archives/edgar/data/850429/000085042924000008/tg-20240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2024-08-07T07:15:26Z</dcterms:created>
  <dcterms:modified xsi:type="dcterms:W3CDTF">2024-08-07T07:15:26Z</dcterms:modified>
</cp:coreProperties>
</file>