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120015</wp:posOffset>
            </wp:positionV>
            <wp:extent cx="20059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41" w:lineRule="exact"/>
        <w:rPr>
          <w:sz w:val="24"/>
          <w:szCs w:val="24"/>
          <w:color w:val="auto"/>
        </w:rPr>
      </w:pPr>
    </w:p>
    <w:p>
      <w:pPr>
        <w:ind w:left="620" w:right="2660" w:hanging="594"/>
        <w:spacing w:after="0" w:line="318" w:lineRule="auto"/>
        <w:tabs>
          <w:tab w:leader="none" w:pos="62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7"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0" w:lineRule="exact"/>
        <w:rPr>
          <w:sz w:val="24"/>
          <w:szCs w:val="24"/>
          <w:color w:val="auto"/>
        </w:rPr>
      </w:pPr>
    </w:p>
    <w:tbl>
      <w:tblPr>
        <w:tblLayout w:type="fixed"/>
        <w:tblInd w:w="62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Pr>
          <w:p>
            <w:pPr>
              <w:spacing w:after="0"/>
              <w:rPr>
                <w:sz w:val="16"/>
                <w:szCs w:val="16"/>
                <w:color w:val="auto"/>
              </w:rPr>
            </w:pPr>
          </w:p>
        </w:tc>
        <w:tc>
          <w:tcPr>
            <w:tcW w:w="39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318"/>
        </w:trPr>
        <w:tc>
          <w:tcPr>
            <w:tcW w:w="21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Commission File Number 1-10258</w:t>
            </w:r>
          </w:p>
        </w:tc>
      </w:tr>
    </w:tbl>
    <w:p>
      <w:pPr>
        <w:spacing w:after="0" w:line="7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TREDEGAR CORPORATION</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2040" w:type="dxa"/>
        <w:tblCellMar>
          <w:top w:w="0" w:type="dxa"/>
          <w:left w:w="0" w:type="dxa"/>
          <w:bottom w:w="0" w:type="dxa"/>
          <w:right w:w="0" w:type="dxa"/>
        </w:tblCellMar>
      </w:tblPr>
      <w:tr>
        <w:trPr>
          <w:trHeight w:val="232"/>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6"/>
                <w:szCs w:val="16"/>
                <w:b w:val="1"/>
                <w:bCs w:val="1"/>
                <w:color w:val="auto"/>
                <w:w w:val="98"/>
              </w:rPr>
              <w:t>Virginia</w:t>
            </w: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54-1497771</w:t>
            </w:r>
          </w:p>
        </w:tc>
      </w:tr>
      <w:tr>
        <w:trPr>
          <w:trHeight w:val="128"/>
        </w:trPr>
        <w:tc>
          <w:tcPr>
            <w:tcW w:w="3880" w:type="dxa"/>
            <w:vAlign w:val="bottom"/>
          </w:tcPr>
          <w:p>
            <w:pPr>
              <w:jc w:val="center"/>
              <w:ind w:right="1727"/>
              <w:spacing w:after="0" w:line="128"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2780" w:type="dxa"/>
            <w:vAlign w:val="bottom"/>
          </w:tcPr>
          <w:p>
            <w:pPr>
              <w:jc w:val="center"/>
              <w:ind w:left="1728"/>
              <w:spacing w:after="0" w:line="128"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880" w:type="dxa"/>
            <w:vAlign w:val="bottom"/>
          </w:tcPr>
          <w:p>
            <w:pPr>
              <w:jc w:val="center"/>
              <w:ind w:right="1747"/>
              <w:spacing w:after="0"/>
              <w:rPr>
                <w:sz w:val="20"/>
                <w:szCs w:val="20"/>
                <w:color w:val="auto"/>
              </w:rPr>
            </w:pPr>
            <w:r>
              <w:rPr>
                <w:rFonts w:ascii="Times New Roman" w:cs="Times New Roman" w:eastAsia="Times New Roman" w:hAnsi="Times New Roman"/>
                <w:sz w:val="13"/>
                <w:szCs w:val="13"/>
                <w:b w:val="1"/>
                <w:bCs w:val="1"/>
                <w:color w:val="auto"/>
                <w:w w:val="96"/>
              </w:rPr>
              <w:t>of incorporation or organization)</w:t>
            </w:r>
          </w:p>
        </w:tc>
        <w:tc>
          <w:tcPr>
            <w:tcW w:w="278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47"/>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8"/>
                <w:szCs w:val="18"/>
                <w:b w:val="1"/>
                <w:bCs w:val="1"/>
                <w:color w:val="auto"/>
                <w:w w:val="98"/>
              </w:rPr>
              <w:t>1100 Boulders Parkway,</w:t>
            </w:r>
          </w:p>
        </w:tc>
        <w:tc>
          <w:tcPr>
            <w:tcW w:w="2780" w:type="dxa"/>
            <w:vAlign w:val="bottom"/>
          </w:tcPr>
          <w:p>
            <w:pPr>
              <w:spacing w:after="0"/>
              <w:rPr>
                <w:sz w:val="24"/>
                <w:szCs w:val="24"/>
                <w:color w:val="auto"/>
              </w:rPr>
            </w:pPr>
          </w:p>
        </w:tc>
      </w:tr>
      <w:tr>
        <w:trPr>
          <w:trHeight w:val="371"/>
        </w:trPr>
        <w:tc>
          <w:tcPr>
            <w:tcW w:w="38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Richmond, Virginia</w:t>
            </w:r>
          </w:p>
        </w:tc>
        <w:tc>
          <w:tcPr>
            <w:tcW w:w="2780" w:type="dxa"/>
            <w:vAlign w:val="bottom"/>
          </w:tcPr>
          <w:p>
            <w:pPr>
              <w:jc w:val="right"/>
              <w:ind w:right="208"/>
              <w:spacing w:after="0"/>
              <w:rPr>
                <w:sz w:val="20"/>
                <w:szCs w:val="20"/>
                <w:color w:val="auto"/>
              </w:rPr>
            </w:pPr>
            <w:r>
              <w:rPr>
                <w:rFonts w:ascii="Times New Roman" w:cs="Times New Roman" w:eastAsia="Times New Roman" w:hAnsi="Times New Roman"/>
                <w:sz w:val="16"/>
                <w:szCs w:val="16"/>
                <w:b w:val="1"/>
                <w:bCs w:val="1"/>
                <w:color w:val="auto"/>
              </w:rPr>
              <w:t>23225</w:t>
            </w:r>
          </w:p>
        </w:tc>
      </w:tr>
      <w:tr>
        <w:trPr>
          <w:trHeight w:val="166"/>
        </w:trPr>
        <w:tc>
          <w:tcPr>
            <w:tcW w:w="3880" w:type="dxa"/>
            <w:vAlign w:val="bottom"/>
          </w:tcPr>
          <w:p>
            <w:pPr>
              <w:jc w:val="center"/>
              <w:ind w:right="172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80" w:type="dxa"/>
            <w:vAlign w:val="bottom"/>
          </w:tcPr>
          <w:p>
            <w:pPr>
              <w:jc w:val="center"/>
              <w:ind w:left="172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7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804-330-1000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 w:lineRule="exact"/>
        <w:rPr>
          <w:sz w:val="24"/>
          <w:szCs w:val="24"/>
          <w:color w:val="auto"/>
        </w:rPr>
      </w:pPr>
    </w:p>
    <w:tbl>
      <w:tblPr>
        <w:tblLayout w:type="fixed"/>
        <w:tblInd w:w="2160" w:type="dxa"/>
        <w:tblCellMar>
          <w:top w:w="0" w:type="dxa"/>
          <w:left w:w="0" w:type="dxa"/>
          <w:bottom w:w="0" w:type="dxa"/>
          <w:right w:w="0" w:type="dxa"/>
        </w:tblCellMar>
      </w:tblPr>
      <w:tr>
        <w:trPr>
          <w:trHeight w:val="161"/>
        </w:trPr>
        <w:tc>
          <w:tcPr>
            <w:tcW w:w="2980" w:type="dxa"/>
            <w:vAlign w:val="bottom"/>
            <w:gridSpan w:val="2"/>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13"/>
        </w:trPr>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9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TG</w:t>
            </w:r>
          </w:p>
        </w:tc>
        <w:tc>
          <w:tcPr>
            <w:tcW w:w="1100" w:type="dxa"/>
            <w:vAlign w:val="bottom"/>
          </w:tcPr>
          <w:p>
            <w:pPr>
              <w:spacing w:after="0"/>
              <w:rPr>
                <w:sz w:val="18"/>
                <w:szCs w:val="18"/>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22860</wp:posOffset>
            </wp:positionV>
            <wp:extent cx="20059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2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(Title of class)</w:t>
      </w:r>
    </w:p>
    <w:p>
      <w:pPr>
        <w:sectPr>
          <w:pgSz w:w="11900" w:h="16838" w:orient="portrait"/>
          <w:cols w:equalWidth="0" w:num="1">
            <w:col w:w="11200"/>
          </w:cols>
          <w:pgMar w:left="320" w:top="473" w:right="379" w:bottom="1440" w:gutter="0" w:footer="0" w:header="0"/>
        </w:sect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40" w:lineRule="exact"/>
        <w:rPr>
          <w:sz w:val="24"/>
          <w:szCs w:val="24"/>
          <w:color w:val="auto"/>
        </w:rPr>
      </w:pPr>
    </w:p>
    <w:p>
      <w:pPr>
        <w:sectPr>
          <w:pgSz w:w="11900" w:h="16838" w:orient="portrait"/>
          <w:cols w:equalWidth="0" w:num="5">
            <w:col w:w="6760" w:space="140"/>
            <w:col w:w="200" w:space="80"/>
            <w:col w:w="140" w:space="140"/>
            <w:col w:w="180" w:space="60"/>
            <w:col w:w="3500"/>
          </w:cols>
          <w:pgMar w:left="320" w:top="473" w:right="379" w:bottom="1440" w:gutter="0" w:footer="0" w:header="0"/>
          <w:type w:val="continuous"/>
        </w:sectPr>
      </w:pP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59" w:lineRule="exact"/>
        <w:rPr>
          <w:sz w:val="24"/>
          <w:szCs w:val="24"/>
          <w:color w:val="auto"/>
        </w:rPr>
      </w:pPr>
    </w:p>
    <w:p>
      <w:pPr>
        <w:sectPr>
          <w:pgSz w:w="11900" w:h="16838" w:orient="portrait"/>
          <w:cols w:equalWidth="0" w:num="5">
            <w:col w:w="6900" w:space="120"/>
            <w:col w:w="220" w:space="80"/>
            <w:col w:w="120" w:space="140"/>
            <w:col w:w="180" w:space="80"/>
            <w:col w:w="3360"/>
          </w:cols>
          <w:pgMar w:left="320" w:top="473" w:right="379" w:bottom="1440" w:gutter="0" w:footer="0" w:header="0"/>
          <w:type w:val="continuous"/>
        </w:sectPr>
      </w:pPr>
    </w:p>
    <w:p>
      <w:pPr>
        <w:ind w:right="18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p>
    <w:p>
      <w:pPr>
        <w:ind w:right="40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473" w:right="379" w:bottom="1440" w:gutter="0" w:footer="0" w:header="0"/>
          <w:type w:val="continuous"/>
        </w:sectPr>
      </w:pPr>
    </w:p>
    <w:p>
      <w:pPr>
        <w:spacing w:after="0" w:line="81"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x</w:t>
      </w:r>
    </w:p>
    <w:p>
      <w:pPr>
        <w:spacing w:after="0" w:line="86" w:lineRule="exact"/>
        <w:rPr>
          <w:sz w:val="24"/>
          <w:szCs w:val="24"/>
          <w:color w:val="auto"/>
        </w:rPr>
      </w:pPr>
    </w:p>
    <w:p>
      <w:pPr>
        <w:sectPr>
          <w:pgSz w:w="11900" w:h="16838" w:orient="portrait"/>
          <w:cols w:equalWidth="0" w:num="6">
            <w:col w:w="2140" w:space="720"/>
            <w:col w:w="1900" w:space="720"/>
            <w:col w:w="1200" w:space="720"/>
            <w:col w:w="140" w:space="120"/>
            <w:col w:w="1840" w:space="720"/>
            <w:col w:w="980"/>
          </w:cols>
          <w:pgMar w:left="320" w:top="473" w:right="379" w:bottom="1440" w:gutter="0" w:footer="0" w:header="0"/>
          <w:type w:val="continuous"/>
        </w:sectPr>
      </w:pPr>
    </w:p>
    <w:p>
      <w:pPr>
        <w:jc w:val="center"/>
        <w:ind w:left="68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ind w:right="920"/>
        <w:spacing w:after="0"/>
        <w:rPr>
          <w:sz w:val="20"/>
          <w:szCs w:val="20"/>
          <w:color w:val="auto"/>
        </w:rPr>
      </w:pPr>
      <w:r>
        <w:rPr>
          <w:rFonts w:ascii="Wingdings" w:cs="Wingdings" w:eastAsia="Wingdings" w:hAnsi="Wingdings"/>
          <w:sz w:val="13"/>
          <w:szCs w:val="13"/>
          <w:b w:val="1"/>
          <w:bCs w:val="1"/>
          <w:color w:val="auto"/>
        </w:rPr>
        <w:t>o</w:t>
      </w:r>
    </w:p>
    <w:p>
      <w:pPr>
        <w:spacing w:after="0" w:line="151" w:lineRule="exact"/>
        <w:rPr>
          <w:sz w:val="24"/>
          <w:szCs w:val="24"/>
          <w:color w:val="auto"/>
        </w:rPr>
      </w:pPr>
    </w:p>
    <w:p>
      <w:pPr>
        <w:sectPr>
          <w:pgSz w:w="11900" w:h="16838" w:orient="portrait"/>
          <w:cols w:equalWidth="0" w:num="4">
            <w:col w:w="2140" w:space="720"/>
            <w:col w:w="4080" w:space="720"/>
            <w:col w:w="1780" w:space="720"/>
            <w:col w:w="1040"/>
          </w:cols>
          <w:pgMar w:left="320" w:top="473" w:right="379" w:bottom="1440" w:gutter="0" w:footer="0" w:header="0"/>
          <w:type w:val="continuous"/>
        </w:sectPr>
      </w:pPr>
    </w:p>
    <w:p>
      <w:pPr>
        <w:ind w:right="5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ind w:right="20"/>
        <w:spacing w:after="0" w:line="30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4"/>
          <w:szCs w:val="14"/>
          <w:b w:val="1"/>
          <w:bCs w:val="1"/>
          <w:color w:val="auto"/>
        </w:rPr>
        <w:t>x</w:t>
      </w:r>
    </w:p>
    <w:p>
      <w:pPr>
        <w:spacing w:after="0" w:line="1" w:lineRule="exact"/>
        <w:rPr>
          <w:sz w:val="24"/>
          <w:szCs w:val="24"/>
          <w:color w:val="auto"/>
        </w:rPr>
      </w:pPr>
    </w:p>
    <w:p>
      <w:pPr>
        <w:ind w:right="80"/>
        <w:spacing w:after="0" w:line="20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24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 w:lineRule="exact"/>
        <w:rPr>
          <w:sz w:val="24"/>
          <w:szCs w:val="24"/>
          <w:color w:val="auto"/>
        </w:rPr>
      </w:pPr>
    </w:p>
    <w:p>
      <w:pPr>
        <w:spacing w:after="0" w:line="161" w:lineRule="exact"/>
        <w:tabs>
          <w:tab w:leader="none" w:pos="6060" w:val="left"/>
          <w:tab w:leader="none" w:pos="6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86" w:lineRule="exact"/>
        <w:rPr>
          <w:sz w:val="24"/>
          <w:szCs w:val="24"/>
          <w:color w:val="auto"/>
        </w:rPr>
      </w:pPr>
    </w:p>
    <w:p>
      <w:pPr>
        <w:ind w:right="280"/>
        <w:spacing w:after="0" w:line="301" w:lineRule="auto"/>
        <w:rPr>
          <w:sz w:val="20"/>
          <w:szCs w:val="20"/>
          <w:color w:val="auto"/>
        </w:rPr>
      </w:pPr>
      <w:r>
        <w:rPr>
          <w:rFonts w:ascii="Times New Roman" w:cs="Times New Roman" w:eastAsia="Times New Roman" w:hAnsi="Times New Roman"/>
          <w:sz w:val="14"/>
          <w:szCs w:val="14"/>
          <w:color w:val="auto"/>
        </w:rPr>
        <w:t>Aggregate market value of voting and non-voting common equity held by non-affiliates of the registrant as of June 30, 2025 (the last business day of the registrant’s most recently completed second fiscal quarter): $242,702,935*</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Number of shares of Common Stock outstanding as of March 6, 2026: 34,756,980</w:t>
      </w:r>
    </w:p>
    <w:p>
      <w:pPr>
        <w:spacing w:after="0" w:line="109" w:lineRule="exact"/>
        <w:rPr>
          <w:sz w:val="24"/>
          <w:szCs w:val="24"/>
          <w:color w:val="auto"/>
        </w:rPr>
      </w:pPr>
    </w:p>
    <w:p>
      <w:pPr>
        <w:ind w:left="360" w:right="460" w:hanging="334"/>
        <w:spacing w:after="0" w:line="234" w:lineRule="auto"/>
        <w:tabs>
          <w:tab w:leader="none" w:pos="3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determining this figure, an aggregate of 7,296,737 shares of Common Stock beneficially owned by John D. Gottwald, William M. Gottwald, James T. Gottwald, and Residual 10-year CLAT UA FDGJR Living Trust and the members of their immediate families has been excluded because the shares are deemed to be held by affiliates. The aggregate market value has been computed based on the closing price in the New York Stock Exchange on June 30, 2025.</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7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4"/>
          <w:szCs w:val="14"/>
          <w:color w:val="auto"/>
        </w:rPr>
        <w:t>Portions of the Tredegar Corporation Proxy Statement for the 2026 Annual Meeting of Shareholders (the “Proxy Statement”)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73" w:right="379" w:bottom="1440" w:gutter="0" w:footer="0" w:header="0"/>
          <w:type w:val="continuous"/>
        </w:sectPr>
      </w:pPr>
    </w:p>
    <w:bookmarkStart w:id="1" w:name="page2"/>
    <w:bookmarkEnd w:id="1"/>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180" w:type="dxa"/>
            <w:vAlign w:val="bottom"/>
            <w:gridSpan w:val="10"/>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9"/>
              </w:rPr>
              <w:t>Index to Annual Report on Form 10-K</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0" w:type="dxa"/>
            <w:vAlign w:val="bottom"/>
            <w:gridSpan w:val="9"/>
          </w:tcPr>
          <w:p>
            <w:pPr>
              <w:jc w:val="center"/>
              <w:ind w:right="328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4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9"/>
        </w:trPr>
        <w:tc>
          <w:tcPr>
            <w:tcW w:w="20" w:type="dxa"/>
            <w:vAlign w:val="bottom"/>
          </w:tcPr>
          <w:p>
            <w:pPr>
              <w:spacing w:after="0"/>
              <w:rPr>
                <w:sz w:val="24"/>
                <w:szCs w:val="24"/>
                <w:color w:val="auto"/>
              </w:rPr>
            </w:pPr>
          </w:p>
        </w:tc>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Business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1A.</w:t>
            </w: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Risk Factors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1B</w:t>
            </w:r>
            <w:r>
              <w:rPr>
                <w:rFonts w:ascii="Times New Roman" w:cs="Times New Roman" w:eastAsia="Times New Roman" w:hAnsi="Times New Roman"/>
                <w:sz w:val="18"/>
                <w:szCs w:val="18"/>
                <w:color w:val="000000"/>
              </w:rPr>
              <w:t>.</w:t>
            </w: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88"/>
              </w:rPr>
              <w:t>Item 1C.</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Cybersecurity</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Properties</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3</w:t>
            </w:r>
            <w:r>
              <w:rPr>
                <w:rFonts w:ascii="Times New Roman" w:cs="Times New Roman" w:eastAsia="Times New Roman" w:hAnsi="Times New Roman"/>
                <w:sz w:val="18"/>
                <w:szCs w:val="18"/>
                <w:color w:val="000000"/>
                <w:w w:val="97"/>
              </w:rPr>
              <w:t>.</w:t>
            </w:r>
          </w:p>
        </w:tc>
        <w:tc>
          <w:tcPr>
            <w:tcW w:w="2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Legal Proceedings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0" w:type="dxa"/>
            <w:vAlign w:val="bottom"/>
          </w:tcPr>
          <w:p>
            <w:pPr>
              <w:spacing w:after="0"/>
              <w:rPr>
                <w:sz w:val="18"/>
                <w:szCs w:val="18"/>
                <w:color w:val="auto"/>
              </w:rPr>
            </w:pPr>
          </w:p>
        </w:tc>
        <w:tc>
          <w:tcPr>
            <w:tcW w:w="240" w:type="dxa"/>
            <w:vAlign w:val="bottom"/>
            <w:gridSpan w:val="3"/>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8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5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2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[RESERVED]</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7.</w:t>
            </w:r>
          </w:p>
        </w:tc>
        <w:tc>
          <w:tcPr>
            <w:tcW w:w="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8.</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Item 9.</w:t>
            </w:r>
          </w:p>
        </w:tc>
        <w:tc>
          <w:tcPr>
            <w:tcW w:w="260" w:type="dxa"/>
            <w:vAlign w:val="bottom"/>
            <w:gridSpan w:val="4"/>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Item 9A.</w:t>
            </w: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88"/>
              </w:rPr>
              <w:t>Item 9B.</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Other Information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88"/>
              </w:rPr>
              <w:t>Item 9C</w:t>
            </w:r>
            <w:r>
              <w:rPr>
                <w:rFonts w:ascii="Times New Roman" w:cs="Times New Roman" w:eastAsia="Times New Roman" w:hAnsi="Times New Roman"/>
                <w:sz w:val="18"/>
                <w:szCs w:val="18"/>
                <w:color w:val="000000"/>
                <w:w w:val="88"/>
              </w:rPr>
              <w:t>.</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6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4"/>
              </w:rPr>
              <w:t>Part III</w:t>
            </w: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Executive Compensation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13.</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14.</w:t>
            </w:r>
          </w:p>
        </w:tc>
        <w:tc>
          <w:tcPr>
            <w:tcW w:w="180" w:type="dxa"/>
            <w:vAlign w:val="bottom"/>
            <w:gridSpan w:val="2"/>
          </w:tcPr>
          <w:p>
            <w:pPr>
              <w:spacing w:after="0"/>
              <w:rPr>
                <w:sz w:val="19"/>
                <w:szCs w:val="19"/>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60"/>
        </w:trPr>
        <w:tc>
          <w:tcPr>
            <w:tcW w:w="20" w:type="dxa"/>
            <w:vAlign w:val="bottom"/>
          </w:tcPr>
          <w:p>
            <w:pPr>
              <w:spacing w:after="0"/>
              <w:rPr>
                <w:sz w:val="24"/>
                <w:szCs w:val="24"/>
                <w:color w:val="auto"/>
              </w:rPr>
            </w:pPr>
          </w:p>
        </w:tc>
        <w:tc>
          <w:tcPr>
            <w:tcW w:w="6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1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15.</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18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180" w:type="dxa"/>
            <w:vAlign w:val="bottom"/>
            <w:gridSpan w:val="2"/>
          </w:tcPr>
          <w:p>
            <w:pPr>
              <w:spacing w:after="0"/>
              <w:rPr>
                <w:sz w:val="18"/>
                <w:szCs w:val="18"/>
                <w:color w:val="auto"/>
              </w:rPr>
            </w:pPr>
          </w:p>
        </w:tc>
        <w:tc>
          <w:tcPr>
            <w:tcW w:w="946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0000FF"/>
              </w:rPr>
              <w:t>Form 10-K Summary</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Business</w:t>
      </w:r>
    </w:p>
    <w:p>
      <w:pPr>
        <w:spacing w:after="0" w:line="108"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Tredegar Corporation is engaged, through its subsidiaries, in the manufacture of aluminum extrusions and polyethylene and polypropylene plastic films. Unless the context requires otherwise, all references herein to “Tredegar,” “the Company,” “we,” “us” or “our” are to Tredegar Corporation and its consolidated subsidiaries.</w:t>
      </w:r>
    </w:p>
    <w:p>
      <w:pPr>
        <w:spacing w:after="0" w:line="41"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renamed the segment formerly known as “PE Films.” This segment will be referred to as “High Performance Films” going forward. The product previously known as polyethylene overwrap films was renamed to advanced packaging films. There were no changes to the operations reported within the High Performance Films segment. The Company continues to have two reportable segments: Aluminum Extrusions and High Performance Films.</w:t>
      </w:r>
    </w:p>
    <w:p>
      <w:pPr>
        <w:spacing w:after="0" w:line="58" w:lineRule="exact"/>
        <w:rPr>
          <w:sz w:val="20"/>
          <w:szCs w:val="20"/>
          <w:color w:val="auto"/>
        </w:rPr>
      </w:pPr>
    </w:p>
    <w:p>
      <w:pPr>
        <w:jc w:val="both"/>
        <w:ind w:right="340" w:firstLine="405"/>
        <w:spacing w:after="0" w:line="261" w:lineRule="auto"/>
        <w:rPr>
          <w:sz w:val="20"/>
          <w:szCs w:val="20"/>
          <w:color w:val="auto"/>
        </w:rPr>
      </w:pPr>
      <w:r>
        <w:rPr>
          <w:rFonts w:ascii="Times New Roman" w:cs="Times New Roman" w:eastAsia="Times New Roman" w:hAnsi="Times New Roman"/>
          <w:sz w:val="18"/>
          <w:szCs w:val="18"/>
          <w:color w:val="auto"/>
        </w:rPr>
        <w:t>On November 1, 2024, the Company completed the sale of its flexible packaging films business (also referred to as “Terphane”) headquartered in Brazil to Oben Group. All historical results for Terphane have been presented as discontinued operations. For more information on this transaction, see Note 15. “Divestitures” to the Consolidated Financial Statements included in Item 15. “Exhibits and Financial Statement Schedules” of this Form 10-K (“Item 15”).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Bonnell Aluminum has manufacturing facilities located in the United States (“U.S.”).</w:t>
      </w:r>
    </w:p>
    <w:p>
      <w:pPr>
        <w:spacing w:after="0" w:line="54" w:lineRule="exact"/>
        <w:rPr>
          <w:sz w:val="20"/>
          <w:szCs w:val="20"/>
          <w:color w:val="auto"/>
        </w:rPr>
      </w:pPr>
    </w:p>
    <w:p>
      <w:pPr>
        <w:ind w:right="200" w:firstLine="405"/>
        <w:spacing w:after="0" w:line="224" w:lineRule="auto"/>
        <w:rPr>
          <w:sz w:val="20"/>
          <w:szCs w:val="20"/>
          <w:color w:val="auto"/>
        </w:rPr>
      </w:pPr>
      <w:r>
        <w:rPr>
          <w:rFonts w:ascii="Times New Roman" w:cs="Times New Roman" w:eastAsia="Times New Roman" w:hAnsi="Times New Roman"/>
          <w:sz w:val="18"/>
          <w:szCs w:val="18"/>
          <w:color w:val="auto"/>
        </w:rPr>
        <w:t>Aluminum Extrusions manufactures mill (unfinished), machined, anodized and painted, and thermally improved aluminum extrusions for sale directly to fabricators and distributors. It also manufactures and sells branded product lines: Futura Transitions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 (flooring trims) and TSLOTS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 (structural aluminum framing systems). Aluminum Extrusions competes primarily on the basis of product quality, service and price. Sales are made predominantly in the U.S. The end-use markets for Aluminum Extrusions are cyclical and seasonal in nature.</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end-uses in each of Aluminum Extrusions’ primary market segments include: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60" w:type="dxa"/>
            <w:vAlign w:val="bottom"/>
            <w:tcBorders>
              <w:top w:val="single" w:sz="8" w:color="auto"/>
              <w:bottom w:val="single" w:sz="8" w:color="auto"/>
            </w:tcBorders>
          </w:tcPr>
          <w:p>
            <w:pPr>
              <w:ind w:left="2240"/>
              <w:spacing w:after="0"/>
              <w:rPr>
                <w:sz w:val="20"/>
                <w:szCs w:val="20"/>
                <w:color w:val="auto"/>
              </w:rPr>
            </w:pPr>
            <w:r>
              <w:rPr>
                <w:rFonts w:ascii="Times New Roman" w:cs="Times New Roman" w:eastAsia="Times New Roman" w:hAnsi="Times New Roman"/>
                <w:sz w:val="18"/>
                <w:szCs w:val="18"/>
                <w:b w:val="1"/>
                <w:bCs w:val="1"/>
                <w:color w:val="auto"/>
              </w:rPr>
              <w:t>Major Markets</w:t>
            </w:r>
          </w:p>
        </w:tc>
        <w:tc>
          <w:tcPr>
            <w:tcW w:w="6480" w:type="dxa"/>
            <w:vAlign w:val="bottom"/>
            <w:tcBorders>
              <w:top w:val="single" w:sz="8" w:color="auto"/>
              <w:bottom w:val="single" w:sz="8" w:color="auto"/>
            </w:tcBorders>
          </w:tcPr>
          <w:p>
            <w:pPr>
              <w:ind w:left="3420"/>
              <w:spacing w:after="0"/>
              <w:rPr>
                <w:sz w:val="20"/>
                <w:szCs w:val="20"/>
                <w:color w:val="auto"/>
              </w:rPr>
            </w:pPr>
            <w:r>
              <w:rPr>
                <w:rFonts w:ascii="Times New Roman" w:cs="Times New Roman" w:eastAsia="Times New Roman" w:hAnsi="Times New Roman"/>
                <w:sz w:val="18"/>
                <w:szCs w:val="18"/>
                <w:b w:val="1"/>
                <w:bCs w:val="1"/>
                <w:color w:val="auto"/>
              </w:rPr>
              <w:t>End-Uses</w:t>
            </w:r>
          </w:p>
        </w:tc>
      </w:tr>
      <w:tr>
        <w:trPr>
          <w:trHeight w:val="34"/>
        </w:trPr>
        <w:tc>
          <w:tcPr>
            <w:tcW w:w="4760" w:type="dxa"/>
            <w:vAlign w:val="bottom"/>
          </w:tcPr>
          <w:p>
            <w:pPr>
              <w:spacing w:after="0"/>
              <w:rPr>
                <w:sz w:val="2"/>
                <w:szCs w:val="2"/>
                <w:color w:val="auto"/>
              </w:rPr>
            </w:pPr>
          </w:p>
        </w:tc>
        <w:tc>
          <w:tcPr>
            <w:tcW w:w="6480" w:type="dxa"/>
            <w:vAlign w:val="bottom"/>
          </w:tcPr>
          <w:p>
            <w:pPr>
              <w:spacing w:after="0"/>
              <w:rPr>
                <w:sz w:val="2"/>
                <w:szCs w:val="2"/>
                <w:color w:val="auto"/>
              </w:rPr>
            </w:pPr>
          </w:p>
        </w:tc>
      </w:tr>
      <w:tr>
        <w:trPr>
          <w:trHeight w:val="175"/>
        </w:trPr>
        <w:tc>
          <w:tcPr>
            <w:tcW w:w="47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Building &amp; construction (“B&amp;C”) - nonresidential</w:t>
            </w:r>
          </w:p>
        </w:tc>
        <w:tc>
          <w:tcPr>
            <w:tcW w:w="6480" w:type="dxa"/>
            <w:vAlign w:val="bottom"/>
            <w:shd w:val="clear" w:color="auto" w:fill="CCEEFF"/>
          </w:tcPr>
          <w:p>
            <w:pPr>
              <w:ind w:left="1100"/>
              <w:spacing w:after="0" w:line="176" w:lineRule="exact"/>
              <w:rPr>
                <w:sz w:val="20"/>
                <w:szCs w:val="20"/>
                <w:color w:val="auto"/>
              </w:rPr>
            </w:pPr>
            <w:r>
              <w:rPr>
                <w:rFonts w:ascii="Times New Roman" w:cs="Times New Roman" w:eastAsia="Times New Roman" w:hAnsi="Times New Roman"/>
                <w:sz w:val="18"/>
                <w:szCs w:val="18"/>
                <w:color w:val="auto"/>
              </w:rPr>
              <w:t>Commercial windows and doors, curtain walls, storefronts and entrances,</w:t>
            </w:r>
          </w:p>
        </w:tc>
      </w:tr>
      <w:tr>
        <w:trPr>
          <w:trHeight w:val="175"/>
        </w:trPr>
        <w:tc>
          <w:tcPr>
            <w:tcW w:w="4760" w:type="dxa"/>
            <w:vAlign w:val="bottom"/>
            <w:shd w:val="clear" w:color="auto" w:fill="CCEEFF"/>
          </w:tcPr>
          <w:p>
            <w:pPr>
              <w:spacing w:after="0"/>
              <w:rPr>
                <w:sz w:val="15"/>
                <w:szCs w:val="15"/>
                <w:color w:val="auto"/>
              </w:rPr>
            </w:pPr>
          </w:p>
        </w:tc>
        <w:tc>
          <w:tcPr>
            <w:tcW w:w="6480" w:type="dxa"/>
            <w:vAlign w:val="bottom"/>
            <w:shd w:val="clear" w:color="auto" w:fill="CCEEFF"/>
          </w:tcPr>
          <w:p>
            <w:pPr>
              <w:ind w:left="1100"/>
              <w:spacing w:after="0" w:line="176" w:lineRule="exact"/>
              <w:rPr>
                <w:sz w:val="20"/>
                <w:szCs w:val="20"/>
                <w:color w:val="auto"/>
              </w:rPr>
            </w:pPr>
            <w:r>
              <w:rPr>
                <w:rFonts w:ascii="Times New Roman" w:cs="Times New Roman" w:eastAsia="Times New Roman" w:hAnsi="Times New Roman"/>
                <w:sz w:val="18"/>
                <w:szCs w:val="18"/>
                <w:color w:val="auto"/>
              </w:rPr>
              <w:t>automatic entry doors, walkway covers, ducts, louvers and vents, office</w:t>
            </w:r>
          </w:p>
        </w:tc>
      </w:tr>
      <w:tr>
        <w:trPr>
          <w:trHeight w:val="184"/>
        </w:trPr>
        <w:tc>
          <w:tcPr>
            <w:tcW w:w="4760" w:type="dxa"/>
            <w:vAlign w:val="bottom"/>
            <w:shd w:val="clear" w:color="auto" w:fill="CCEEFF"/>
          </w:tcPr>
          <w:p>
            <w:pPr>
              <w:spacing w:after="0"/>
              <w:rPr>
                <w:sz w:val="16"/>
                <w:szCs w:val="16"/>
                <w:color w:val="auto"/>
              </w:rPr>
            </w:pPr>
          </w:p>
        </w:tc>
        <w:tc>
          <w:tcPr>
            <w:tcW w:w="6480" w:type="dxa"/>
            <w:vAlign w:val="bottom"/>
            <w:shd w:val="clear" w:color="auto" w:fill="CCEEFF"/>
          </w:tcPr>
          <w:p>
            <w:pPr>
              <w:ind w:left="1100"/>
              <w:spacing w:after="0" w:line="184" w:lineRule="exact"/>
              <w:rPr>
                <w:sz w:val="20"/>
                <w:szCs w:val="20"/>
                <w:color w:val="auto"/>
              </w:rPr>
            </w:pPr>
            <w:r>
              <w:rPr>
                <w:rFonts w:ascii="Times New Roman" w:cs="Times New Roman" w:eastAsia="Times New Roman" w:hAnsi="Times New Roman"/>
                <w:sz w:val="18"/>
                <w:szCs w:val="18"/>
                <w:color w:val="auto"/>
              </w:rPr>
              <w:t>wall panels, partitions and interior enclosures, acoustical walls and</w:t>
            </w:r>
          </w:p>
        </w:tc>
      </w:tr>
      <w:tr>
        <w:trPr>
          <w:trHeight w:val="180"/>
        </w:trPr>
        <w:tc>
          <w:tcPr>
            <w:tcW w:w="4760" w:type="dxa"/>
            <w:vAlign w:val="bottom"/>
            <w:shd w:val="clear" w:color="auto" w:fill="CCEEFF"/>
          </w:tcPr>
          <w:p>
            <w:pPr>
              <w:spacing w:after="0"/>
              <w:rPr>
                <w:sz w:val="15"/>
                <w:szCs w:val="15"/>
                <w:color w:val="auto"/>
              </w:rPr>
            </w:pPr>
          </w:p>
        </w:tc>
        <w:tc>
          <w:tcPr>
            <w:tcW w:w="6480" w:type="dxa"/>
            <w:vAlign w:val="bottom"/>
            <w:shd w:val="clear" w:color="auto" w:fill="CCEEFF"/>
          </w:tcPr>
          <w:p>
            <w:pPr>
              <w:ind w:left="1100"/>
              <w:spacing w:after="0" w:line="181" w:lineRule="exact"/>
              <w:rPr>
                <w:sz w:val="20"/>
                <w:szCs w:val="20"/>
                <w:color w:val="auto"/>
              </w:rPr>
            </w:pPr>
            <w:r>
              <w:rPr>
                <w:rFonts w:ascii="Times New Roman" w:cs="Times New Roman" w:eastAsia="Times New Roman" w:hAnsi="Times New Roman"/>
                <w:sz w:val="18"/>
                <w:szCs w:val="18"/>
                <w:color w:val="auto"/>
              </w:rPr>
              <w:t>ceilings, point of purchase displays, pre-engineered structures, and</w:t>
            </w:r>
          </w:p>
        </w:tc>
      </w:tr>
      <w:tr>
        <w:trPr>
          <w:trHeight w:val="243"/>
        </w:trPr>
        <w:tc>
          <w:tcPr>
            <w:tcW w:w="4760" w:type="dxa"/>
            <w:vAlign w:val="bottom"/>
            <w:shd w:val="clear" w:color="auto" w:fill="CCEEFF"/>
          </w:tcPr>
          <w:p>
            <w:pPr>
              <w:spacing w:after="0"/>
              <w:rPr>
                <w:sz w:val="21"/>
                <w:szCs w:val="21"/>
                <w:color w:val="auto"/>
              </w:rPr>
            </w:pPr>
          </w:p>
        </w:tc>
        <w:tc>
          <w:tcPr>
            <w:tcW w:w="6480" w:type="dxa"/>
            <w:vAlign w:val="bottom"/>
            <w:shd w:val="clear" w:color="auto" w:fill="CCEEFF"/>
          </w:tcPr>
          <w:p>
            <w:pPr>
              <w:ind w:left="1100"/>
              <w:spacing w:after="0" w:line="243" w:lineRule="exact"/>
              <w:rPr>
                <w:sz w:val="20"/>
                <w:szCs w:val="20"/>
                <w:color w:val="auto"/>
              </w:rPr>
            </w:pPr>
            <w:r>
              <w:rPr>
                <w:rFonts w:ascii="Times New Roman" w:cs="Times New Roman" w:eastAsia="Times New Roman" w:hAnsi="Times New Roman"/>
                <w:sz w:val="18"/>
                <w:szCs w:val="18"/>
                <w:color w:val="auto"/>
              </w:rPr>
              <w:t>flooring trims (Futura Transitions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by Bonnell Aluminum)</w:t>
            </w:r>
          </w:p>
        </w:tc>
      </w:tr>
      <w:tr>
        <w:trPr>
          <w:trHeight w:val="175"/>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B&amp;C - residential</w:t>
            </w:r>
          </w:p>
        </w:tc>
        <w:tc>
          <w:tcPr>
            <w:tcW w:w="6480" w:type="dxa"/>
            <w:vAlign w:val="bottom"/>
          </w:tcPr>
          <w:p>
            <w:pPr>
              <w:ind w:left="1100"/>
              <w:spacing w:after="0" w:line="176" w:lineRule="exact"/>
              <w:rPr>
                <w:sz w:val="20"/>
                <w:szCs w:val="20"/>
                <w:color w:val="auto"/>
              </w:rPr>
            </w:pPr>
            <w:r>
              <w:rPr>
                <w:rFonts w:ascii="Times New Roman" w:cs="Times New Roman" w:eastAsia="Times New Roman" w:hAnsi="Times New Roman"/>
                <w:sz w:val="18"/>
                <w:szCs w:val="18"/>
                <w:color w:val="auto"/>
              </w:rPr>
              <w:t>Residential windows and doors, shower and tub enclosures, railing and</w:t>
            </w:r>
          </w:p>
        </w:tc>
      </w:tr>
      <w:tr>
        <w:trPr>
          <w:trHeight w:val="239"/>
        </w:trPr>
        <w:tc>
          <w:tcPr>
            <w:tcW w:w="4760" w:type="dxa"/>
            <w:vAlign w:val="bottom"/>
          </w:tcPr>
          <w:p>
            <w:pPr>
              <w:spacing w:after="0"/>
              <w:rPr>
                <w:sz w:val="20"/>
                <w:szCs w:val="20"/>
                <w:color w:val="auto"/>
              </w:rPr>
            </w:pPr>
          </w:p>
        </w:tc>
        <w:tc>
          <w:tcPr>
            <w:tcW w:w="6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support systems, venetian blinds, and swimming pools</w:t>
            </w:r>
          </w:p>
        </w:tc>
      </w:tr>
      <w:tr>
        <w:trPr>
          <w:trHeight w:val="180"/>
        </w:trPr>
        <w:tc>
          <w:tcPr>
            <w:tcW w:w="4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Automotive &amp; transportation</w:t>
            </w:r>
          </w:p>
        </w:tc>
        <w:tc>
          <w:tcPr>
            <w:tcW w:w="6480" w:type="dxa"/>
            <w:vAlign w:val="bottom"/>
            <w:shd w:val="clear" w:color="auto" w:fill="CCEEFF"/>
          </w:tcPr>
          <w:p>
            <w:pPr>
              <w:ind w:left="1100"/>
              <w:spacing w:after="0" w:line="180" w:lineRule="exact"/>
              <w:rPr>
                <w:sz w:val="20"/>
                <w:szCs w:val="20"/>
                <w:color w:val="auto"/>
              </w:rPr>
            </w:pPr>
            <w:r>
              <w:rPr>
                <w:rFonts w:ascii="Times New Roman" w:cs="Times New Roman" w:eastAsia="Times New Roman" w:hAnsi="Times New Roman"/>
                <w:sz w:val="18"/>
                <w:szCs w:val="18"/>
                <w:color w:val="auto"/>
              </w:rPr>
              <w:t>Automotive and light truck structural components, battery enclosures for</w:t>
            </w:r>
          </w:p>
        </w:tc>
      </w:tr>
      <w:tr>
        <w:trPr>
          <w:trHeight w:val="175"/>
        </w:trPr>
        <w:tc>
          <w:tcPr>
            <w:tcW w:w="4760" w:type="dxa"/>
            <w:vAlign w:val="bottom"/>
            <w:shd w:val="clear" w:color="auto" w:fill="CCEEFF"/>
          </w:tcPr>
          <w:p>
            <w:pPr>
              <w:spacing w:after="0"/>
              <w:rPr>
                <w:sz w:val="15"/>
                <w:szCs w:val="15"/>
                <w:color w:val="auto"/>
              </w:rPr>
            </w:pPr>
          </w:p>
        </w:tc>
        <w:tc>
          <w:tcPr>
            <w:tcW w:w="6480" w:type="dxa"/>
            <w:vAlign w:val="bottom"/>
            <w:shd w:val="clear" w:color="auto" w:fill="CCEEFF"/>
          </w:tcPr>
          <w:p>
            <w:pPr>
              <w:ind w:left="1100"/>
              <w:spacing w:after="0" w:line="176" w:lineRule="exact"/>
              <w:rPr>
                <w:sz w:val="20"/>
                <w:szCs w:val="20"/>
                <w:color w:val="auto"/>
              </w:rPr>
            </w:pPr>
            <w:r>
              <w:rPr>
                <w:rFonts w:ascii="Times New Roman" w:cs="Times New Roman" w:eastAsia="Times New Roman" w:hAnsi="Times New Roman"/>
                <w:sz w:val="18"/>
                <w:szCs w:val="18"/>
                <w:color w:val="auto"/>
              </w:rPr>
              <w:t>electric vehicles, after-market automotive accessories, grills for heavy</w:t>
            </w:r>
          </w:p>
        </w:tc>
      </w:tr>
      <w:tr>
        <w:trPr>
          <w:trHeight w:val="243"/>
        </w:trPr>
        <w:tc>
          <w:tcPr>
            <w:tcW w:w="4760" w:type="dxa"/>
            <w:vAlign w:val="bottom"/>
            <w:shd w:val="clear" w:color="auto" w:fill="CCEEFF"/>
          </w:tcPr>
          <w:p>
            <w:pPr>
              <w:spacing w:after="0"/>
              <w:rPr>
                <w:sz w:val="21"/>
                <w:szCs w:val="21"/>
                <w:color w:val="auto"/>
              </w:rPr>
            </w:pPr>
          </w:p>
        </w:tc>
        <w:tc>
          <w:tcPr>
            <w:tcW w:w="64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trucks, travel trailers and recreation vehicles</w:t>
            </w:r>
          </w:p>
        </w:tc>
      </w:tr>
      <w:tr>
        <w:trPr>
          <w:trHeight w:val="175"/>
        </w:trPr>
        <w:tc>
          <w:tcPr>
            <w:tcW w:w="4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Consumer durables</w:t>
            </w:r>
          </w:p>
        </w:tc>
        <w:tc>
          <w:tcPr>
            <w:tcW w:w="6480" w:type="dxa"/>
            <w:vAlign w:val="bottom"/>
          </w:tcPr>
          <w:p>
            <w:pPr>
              <w:ind w:left="1100"/>
              <w:spacing w:after="0" w:line="176" w:lineRule="exact"/>
              <w:rPr>
                <w:sz w:val="20"/>
                <w:szCs w:val="20"/>
                <w:color w:val="auto"/>
              </w:rPr>
            </w:pPr>
            <w:r>
              <w:rPr>
                <w:rFonts w:ascii="Times New Roman" w:cs="Times New Roman" w:eastAsia="Times New Roman" w:hAnsi="Times New Roman"/>
                <w:sz w:val="18"/>
                <w:szCs w:val="18"/>
                <w:color w:val="auto"/>
              </w:rPr>
              <w:t>Office furniture, pleasure boats, refrigerators and freezers, appliances and</w:t>
            </w:r>
          </w:p>
        </w:tc>
      </w:tr>
      <w:tr>
        <w:trPr>
          <w:trHeight w:val="239"/>
        </w:trPr>
        <w:tc>
          <w:tcPr>
            <w:tcW w:w="4760" w:type="dxa"/>
            <w:vAlign w:val="bottom"/>
          </w:tcPr>
          <w:p>
            <w:pPr>
              <w:spacing w:after="0"/>
              <w:rPr>
                <w:sz w:val="20"/>
                <w:szCs w:val="20"/>
                <w:color w:val="auto"/>
              </w:rPr>
            </w:pPr>
          </w:p>
        </w:tc>
        <w:tc>
          <w:tcPr>
            <w:tcW w:w="64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sporting goods</w:t>
            </w:r>
          </w:p>
        </w:tc>
      </w:tr>
      <w:tr>
        <w:trPr>
          <w:trHeight w:val="180"/>
        </w:trPr>
        <w:tc>
          <w:tcPr>
            <w:tcW w:w="47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Machinery &amp; equipment</w:t>
            </w:r>
          </w:p>
        </w:tc>
        <w:tc>
          <w:tcPr>
            <w:tcW w:w="6480" w:type="dxa"/>
            <w:vAlign w:val="bottom"/>
            <w:shd w:val="clear" w:color="auto" w:fill="CCEEFF"/>
          </w:tcPr>
          <w:p>
            <w:pPr>
              <w:ind w:left="1100"/>
              <w:spacing w:after="0" w:line="180" w:lineRule="exact"/>
              <w:rPr>
                <w:sz w:val="20"/>
                <w:szCs w:val="20"/>
                <w:color w:val="auto"/>
              </w:rPr>
            </w:pPr>
            <w:r>
              <w:rPr>
                <w:rFonts w:ascii="Times New Roman" w:cs="Times New Roman" w:eastAsia="Times New Roman" w:hAnsi="Times New Roman"/>
                <w:sz w:val="18"/>
                <w:szCs w:val="18"/>
                <w:color w:val="auto"/>
              </w:rPr>
              <w:t>Material handling equipment, conveyor systems, medical equipment,</w:t>
            </w:r>
          </w:p>
        </w:tc>
      </w:tr>
      <w:tr>
        <w:trPr>
          <w:trHeight w:val="175"/>
        </w:trPr>
        <w:tc>
          <w:tcPr>
            <w:tcW w:w="4760" w:type="dxa"/>
            <w:vAlign w:val="bottom"/>
            <w:shd w:val="clear" w:color="auto" w:fill="CCEEFF"/>
          </w:tcPr>
          <w:p>
            <w:pPr>
              <w:spacing w:after="0"/>
              <w:rPr>
                <w:sz w:val="15"/>
                <w:szCs w:val="15"/>
                <w:color w:val="auto"/>
              </w:rPr>
            </w:pPr>
          </w:p>
        </w:tc>
        <w:tc>
          <w:tcPr>
            <w:tcW w:w="6480" w:type="dxa"/>
            <w:vAlign w:val="bottom"/>
            <w:shd w:val="clear" w:color="auto" w:fill="CCEEFF"/>
          </w:tcPr>
          <w:p>
            <w:pPr>
              <w:ind w:left="1100"/>
              <w:spacing w:after="0" w:line="176" w:lineRule="exact"/>
              <w:rPr>
                <w:sz w:val="20"/>
                <w:szCs w:val="20"/>
                <w:color w:val="auto"/>
              </w:rPr>
            </w:pPr>
            <w:r>
              <w:rPr>
                <w:rFonts w:ascii="Times New Roman" w:cs="Times New Roman" w:eastAsia="Times New Roman" w:hAnsi="Times New Roman"/>
                <w:sz w:val="16"/>
                <w:szCs w:val="16"/>
                <w:color w:val="auto"/>
              </w:rPr>
              <w:t>industrial fans and aluminum framing systems (TSLOTS</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6"/>
                <w:szCs w:val="16"/>
                <w:color w:val="auto"/>
              </w:rPr>
              <w:t xml:space="preserve"> by Bonnell</w:t>
            </w:r>
          </w:p>
        </w:tc>
      </w:tr>
      <w:tr>
        <w:trPr>
          <w:trHeight w:val="243"/>
        </w:trPr>
        <w:tc>
          <w:tcPr>
            <w:tcW w:w="4760" w:type="dxa"/>
            <w:vAlign w:val="bottom"/>
            <w:shd w:val="clear" w:color="auto" w:fill="CCEEFF"/>
          </w:tcPr>
          <w:p>
            <w:pPr>
              <w:spacing w:after="0"/>
              <w:rPr>
                <w:sz w:val="21"/>
                <w:szCs w:val="21"/>
                <w:color w:val="auto"/>
              </w:rPr>
            </w:pPr>
          </w:p>
        </w:tc>
        <w:tc>
          <w:tcPr>
            <w:tcW w:w="64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Aluminum)</w:t>
            </w:r>
          </w:p>
        </w:tc>
      </w:tr>
    </w:tbl>
    <w:p>
      <w:pPr>
        <w:spacing w:after="0" w:line="1" w:lineRule="exact"/>
        <w:rPr>
          <w:sz w:val="20"/>
          <w:szCs w:val="20"/>
          <w:color w:val="auto"/>
        </w:rPr>
      </w:pPr>
    </w:p>
    <w:p>
      <w:pPr>
        <w:sectPr>
          <w:pgSz w:w="11900" w:h="16838" w:orient="portrait"/>
          <w:cols w:equalWidth="0" w:num="1">
            <w:col w:w="11240"/>
          </w:cols>
          <w:pgMar w:left="320" w:top="1130" w:right="339" w:bottom="1440" w:gutter="0" w:footer="0" w:header="0"/>
        </w:sect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Distribution (metal service centers specializing in stock and release programs and custom fabrications to small manufacturers)</w:t>
      </w:r>
    </w:p>
    <w:p>
      <w:pPr>
        <w:spacing w:after="0" w:line="20" w:lineRule="exact"/>
        <w:rPr>
          <w:sz w:val="20"/>
          <w:szCs w:val="20"/>
          <w:color w:val="auto"/>
        </w:rPr>
      </w:pPr>
      <w:r>
        <w:rPr>
          <w:sz w:val="20"/>
          <w:szCs w:val="20"/>
          <w:color w:val="auto"/>
        </w:rPr>
        <w:br w:type="column"/>
      </w:r>
    </w:p>
    <w:p>
      <w:pPr>
        <w:ind w:right="100"/>
        <w:spacing w:after="0" w:line="224" w:lineRule="auto"/>
        <w:rPr>
          <w:sz w:val="20"/>
          <w:szCs w:val="20"/>
          <w:color w:val="auto"/>
        </w:rPr>
      </w:pPr>
      <w:r>
        <w:rPr>
          <w:rFonts w:ascii="Times New Roman" w:cs="Times New Roman" w:eastAsia="Times New Roman" w:hAnsi="Times New Roman"/>
          <w:sz w:val="18"/>
          <w:szCs w:val="18"/>
          <w:color w:val="auto"/>
        </w:rPr>
        <w:t>Various custom profiles including storm shutters, pleasure boat accessories, theater set structures and various standard profiles (including rod, bar, tube and pipe)</w:t>
      </w:r>
    </w:p>
    <w:p>
      <w:pPr>
        <w:spacing w:after="0" w:line="1" w:lineRule="exact"/>
        <w:rPr>
          <w:sz w:val="20"/>
          <w:szCs w:val="20"/>
          <w:color w:val="auto"/>
        </w:rPr>
      </w:pPr>
    </w:p>
    <w:p>
      <w:pPr>
        <w:sectPr>
          <w:pgSz w:w="11900" w:h="16838" w:orient="portrait"/>
          <w:cols w:equalWidth="0" w:num="2">
            <w:col w:w="5600" w:space="260"/>
            <w:col w:w="5380"/>
          </w:cols>
          <w:pgMar w:left="320" w:top="1130"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3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Electrical &amp; renewable energy</w:t>
            </w:r>
          </w:p>
        </w:tc>
        <w:tc>
          <w:tcPr>
            <w:tcW w:w="7340" w:type="dxa"/>
            <w:vAlign w:val="bottom"/>
            <w:shd w:val="clear" w:color="auto" w:fill="CCEEFF"/>
          </w:tcPr>
          <w:p>
            <w:pPr>
              <w:ind w:left="1960"/>
              <w:spacing w:after="0" w:line="190" w:lineRule="exact"/>
              <w:rPr>
                <w:sz w:val="20"/>
                <w:szCs w:val="20"/>
                <w:color w:val="auto"/>
              </w:rPr>
            </w:pPr>
            <w:r>
              <w:rPr>
                <w:rFonts w:ascii="Times New Roman" w:cs="Times New Roman" w:eastAsia="Times New Roman" w:hAnsi="Times New Roman"/>
                <w:sz w:val="18"/>
                <w:szCs w:val="18"/>
                <w:color w:val="auto"/>
              </w:rPr>
              <w:t>Lighting fixtures, electronic apparatus, solar panel brackets and rigid and</w:t>
            </w:r>
          </w:p>
        </w:tc>
      </w:tr>
      <w:tr>
        <w:trPr>
          <w:trHeight w:val="250"/>
        </w:trPr>
        <w:tc>
          <w:tcPr>
            <w:tcW w:w="3900" w:type="dxa"/>
            <w:vAlign w:val="bottom"/>
            <w:tcBorders>
              <w:bottom w:val="single" w:sz="8" w:color="auto"/>
            </w:tcBorders>
            <w:shd w:val="clear" w:color="auto" w:fill="CCEEFF"/>
          </w:tcPr>
          <w:p>
            <w:pPr>
              <w:spacing w:after="0"/>
              <w:rPr>
                <w:sz w:val="21"/>
                <w:szCs w:val="21"/>
                <w:color w:val="auto"/>
              </w:rPr>
            </w:pPr>
          </w:p>
        </w:tc>
        <w:tc>
          <w:tcPr>
            <w:tcW w:w="7340" w:type="dxa"/>
            <w:vAlign w:val="bottom"/>
            <w:tcBorders>
              <w:bottom w:val="single" w:sz="8" w:color="auto"/>
            </w:tcBorders>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flexible conduits</w:t>
            </w:r>
          </w:p>
        </w:tc>
      </w:tr>
      <w:tr>
        <w:trPr>
          <w:trHeight w:val="850"/>
        </w:trPr>
        <w:tc>
          <w:tcPr>
            <w:tcW w:w="3900" w:type="dxa"/>
            <w:vAlign w:val="bottom"/>
          </w:tcPr>
          <w:p>
            <w:pPr>
              <w:spacing w:after="0"/>
              <w:rPr>
                <w:sz w:val="24"/>
                <w:szCs w:val="24"/>
                <w:color w:val="auto"/>
              </w:rPr>
            </w:pPr>
          </w:p>
        </w:tc>
        <w:tc>
          <w:tcPr>
            <w:tcW w:w="734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r>
        <w:trPr>
          <w:trHeight w:val="115"/>
        </w:trPr>
        <w:tc>
          <w:tcPr>
            <w:tcW w:w="3900" w:type="dxa"/>
            <w:vAlign w:val="bottom"/>
            <w:tcBorders>
              <w:bottom w:val="single" w:sz="8" w:color="9A9A9A"/>
            </w:tcBorders>
          </w:tcPr>
          <w:p>
            <w:pPr>
              <w:spacing w:after="0"/>
              <w:rPr>
                <w:sz w:val="10"/>
                <w:szCs w:val="10"/>
                <w:color w:val="auto"/>
              </w:rPr>
            </w:pPr>
          </w:p>
        </w:tc>
        <w:tc>
          <w:tcPr>
            <w:tcW w:w="7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type w:val="continuous"/>
        </w:sectPr>
      </w:pPr>
    </w:p>
    <w:bookmarkStart w:id="3" w:name="page4"/>
    <w:bookmarkEnd w:id="3"/>
    <w:p>
      <w:pPr>
        <w:ind w:left="420"/>
        <w:spacing w:after="0"/>
        <w:rPr>
          <w:sz w:val="20"/>
          <w:szCs w:val="20"/>
          <w:color w:val="auto"/>
        </w:rPr>
      </w:pPr>
      <w:r>
        <w:rPr>
          <w:rFonts w:ascii="Times New Roman" w:cs="Times New Roman" w:eastAsia="Times New Roman" w:hAnsi="Times New Roman"/>
          <w:sz w:val="18"/>
          <w:szCs w:val="18"/>
          <w:color w:val="auto"/>
        </w:rPr>
        <w:t>Aluminum Extrusions’ net sales (sales less freight) by market segment for the years ended December 31, 2025, 2024 and 2023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151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780" w:type="dxa"/>
            <w:vAlign w:val="bottom"/>
          </w:tcPr>
          <w:p>
            <w:pPr>
              <w:spacing w:after="0"/>
              <w:rPr>
                <w:sz w:val="22"/>
                <w:szCs w:val="22"/>
                <w:color w:val="auto"/>
              </w:rPr>
            </w:pPr>
          </w:p>
        </w:tc>
        <w:tc>
          <w:tcPr>
            <w:tcW w:w="54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of Aluminum Extrusions Net Sales</w:t>
            </w:r>
            <w:r>
              <w:rPr>
                <w:rFonts w:ascii="Times New Roman" w:cs="Times New Roman" w:eastAsia="Times New Roman" w:hAnsi="Times New Roman"/>
                <w:sz w:val="23"/>
                <w:szCs w:val="23"/>
                <w:b w:val="1"/>
                <w:bCs w:val="1"/>
                <w:i w:val="1"/>
                <w:iCs w:val="1"/>
                <w:color w:val="auto"/>
                <w:vertAlign w:val="superscript"/>
              </w:rPr>
              <w:t>1</w:t>
            </w:r>
            <w:r>
              <w:rPr>
                <w:rFonts w:ascii="Times New Roman" w:cs="Times New Roman" w:eastAsia="Times New Roman" w:hAnsi="Times New Roman"/>
                <w:sz w:val="18"/>
                <w:szCs w:val="18"/>
                <w:b w:val="1"/>
                <w:bCs w:val="1"/>
                <w:i w:val="1"/>
                <w:iCs w:val="1"/>
                <w:color w:val="auto"/>
              </w:rPr>
              <w:t xml:space="preserve"> by Market Segment</w:t>
            </w:r>
          </w:p>
        </w:tc>
        <w:tc>
          <w:tcPr>
            <w:tcW w:w="14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38"/>
        </w:trPr>
        <w:tc>
          <w:tcPr>
            <w:tcW w:w="278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B&amp;C:</w:t>
            </w:r>
          </w:p>
        </w:tc>
        <w:tc>
          <w:tcPr>
            <w:tcW w:w="5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54%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57%</w:t>
            </w:r>
          </w:p>
        </w:tc>
      </w:tr>
      <w:tr>
        <w:trPr>
          <w:trHeight w:val="230"/>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5480" w:type="dxa"/>
            <w:vAlign w:val="bottom"/>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7%</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7%</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r>
      <w:tr>
        <w:trPr>
          <w:trHeight w:val="22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5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8%</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r>
      <w:tr>
        <w:trPr>
          <w:trHeight w:val="229"/>
        </w:trPr>
        <w:tc>
          <w:tcPr>
            <w:tcW w:w="2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5480" w:type="dxa"/>
            <w:vAlign w:val="bottom"/>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r>
      <w:tr>
        <w:trPr>
          <w:trHeight w:val="229"/>
        </w:trPr>
        <w:tc>
          <w:tcPr>
            <w:tcW w:w="2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5480" w:type="dxa"/>
            <w:vAlign w:val="bottom"/>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9%</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r>
      <w:tr>
        <w:trPr>
          <w:trHeight w:val="230"/>
        </w:trPr>
        <w:tc>
          <w:tcPr>
            <w:tcW w:w="27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5480" w:type="dxa"/>
            <w:vAlign w:val="bottom"/>
            <w:tcBorders>
              <w:bottom w:val="single" w:sz="8" w:color="auto"/>
            </w:tcBorders>
            <w:shd w:val="clear" w:color="auto" w:fill="CCEEFF"/>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rPr>
              <w:t>3%</w:t>
            </w: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w:t>
            </w:r>
          </w:p>
        </w:tc>
      </w:tr>
      <w:tr>
        <w:trPr>
          <w:trHeight w:val="230"/>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80" w:type="dxa"/>
            <w:vAlign w:val="bottom"/>
            <w:tcBorders>
              <w:bottom w:val="single" w:sz="8" w:color="auto"/>
            </w:tcBorders>
          </w:tcPr>
          <w:p>
            <w:pPr>
              <w:jc w:val="center"/>
              <w:ind w:left="3710"/>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81" w:lineRule="exact"/>
        <w:rPr>
          <w:sz w:val="20"/>
          <w:szCs w:val="20"/>
          <w:color w:val="auto"/>
        </w:rPr>
      </w:pPr>
    </w:p>
    <w:p>
      <w:pPr>
        <w:ind w:left="180" w:right="340" w:hanging="154"/>
        <w:spacing w:after="0" w:line="245" w:lineRule="auto"/>
        <w:tabs>
          <w:tab w:leader="none" w:pos="1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uses net sales as its measure of revenues from external customers at the segment level. For more business segment information, see Note 12 “Business Segments” to the Consolidated Financial Statements included in Item 15 of this Form 10-K.</w:t>
      </w:r>
    </w:p>
    <w:p>
      <w:pPr>
        <w:spacing w:after="0" w:line="173"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In 2025, 2024 and 2023, Aluminum Extrusions net sales accounted for approximately 86%, 82% and 86% of Tredegar’s consolidated net sales, respectively.</w:t>
      </w:r>
    </w:p>
    <w:p>
      <w:pPr>
        <w:spacing w:after="0" w:line="3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Open Orders</w:t>
      </w:r>
      <w:r>
        <w:rPr>
          <w:rFonts w:ascii="Times New Roman" w:cs="Times New Roman" w:eastAsia="Times New Roman" w:hAnsi="Times New Roman"/>
          <w:sz w:val="18"/>
          <w:szCs w:val="18"/>
          <w:color w:val="auto"/>
        </w:rPr>
        <w:t>. Overall open orders in Aluminum Extrusions were approximately $70.4 million, or 17 million pounds, at December 31, 2025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$55.0 million, or 17 million pounds, at December 31, 2024, an increase of $15.4 million, or approximately 28%. This level of open orders falls below the normalized level that is typically associated with stable demand patterns and healthy market dynamics. Sales volume for Aluminum Extrusions, which the Company believes is cyclical and seasonal in nature due to its end-use markets, was 157.1 million pounds in 2025, 139.2 million pounds in 2024 and 138.5 million pounds in 2023.</w:t>
      </w:r>
    </w:p>
    <w:p>
      <w:pPr>
        <w:spacing w:after="0" w:line="44" w:lineRule="exact"/>
        <w:rPr>
          <w:sz w:val="20"/>
          <w:szCs w:val="20"/>
          <w:color w:val="auto"/>
        </w:rPr>
      </w:pPr>
    </w:p>
    <w:p>
      <w:pPr>
        <w:ind w:right="18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Aluminum Extrusions consist of aluminum ingot, aluminum scrap and various alloys,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purchased from domestic and foreign producers in open-market purchases and under annual contracts. Refer to Item 7A. "Quantitative and Qualitative Disclosures About Market Risk” of this Form 10-K (“Item 7A”) for additional information on aluminum price trends. Given recent increased geopolitical tensions in the Middle East, Aluminum Extrusions is monitoring potential implications for the availability of certain aluminum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raw materials in 2026 and evaluating whether diversifying its sourcing may be warranted. Aluminum Extrusions maintains robust supply agreements that support the continuity of aluminum and other key cost components.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 Performance Films</w:t>
      </w:r>
    </w:p>
    <w:p>
      <w:pPr>
        <w:spacing w:after="0" w:line="108"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High Performance Films produces surface protection films, advanced packaging films and films for other markets. Tredegar’s Surface Protection unit produces single- and multi-layer surface protection films sold under the UltraMask®, ForceField™, ForceField PEARL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Pearl A™ and Obsidian™ brand names. These films, which are manufactured at facilities in the U.S. and China, support manufacturers of optical and other specialty substrates used in high-technology applications, most notably protecting high-value components of flat panel and flexible displays used in televisions, monitors, notebooks, smartphones, tablets, e-readers, electronic shelf labels, automobiles and flexible solar panels during the manufacturing and transportation processes. The Obsidian™ series of products is designed for usage in automotive applications. In 2025, 2024 and 2023, High Performance Films accounted for approximately 14%, 18% and 14% of Tredegar’s consolidated net sales, respectively.</w:t>
      </w:r>
    </w:p>
    <w:p>
      <w:pPr>
        <w:spacing w:after="0" w:line="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Raw Materials</w:t>
      </w:r>
      <w:r>
        <w:rPr>
          <w:rFonts w:ascii="Times New Roman" w:cs="Times New Roman" w:eastAsia="Times New Roman" w:hAnsi="Times New Roman"/>
          <w:sz w:val="18"/>
          <w:szCs w:val="18"/>
          <w:color w:val="auto"/>
        </w:rPr>
        <w:t>. The primary raw materials used by High Performance Films are polyethylene and polypropylene resins. These raw materials are obtained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domestic and foreign suppliers at competitive prices. Refer to Item 7A for additional information on resin price trends. High Performance Films believes that there will be an adequate supply of polyethylene and polypropylene resins in the foreseeable future.</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Customers. </w:t>
      </w:r>
      <w:r>
        <w:rPr>
          <w:rFonts w:ascii="Times New Roman" w:cs="Times New Roman" w:eastAsia="Times New Roman" w:hAnsi="Times New Roman"/>
          <w:sz w:val="18"/>
          <w:szCs w:val="18"/>
          <w:color w:val="auto"/>
        </w:rPr>
        <w:t>High Performance Films’ products are sold primarily in the U.S. and Asia, with the top four customers, collectively, comprising 88% of its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in 2025 and in 2024 and 87% in 2023. No single High Performance Films customer exceeds 10% of Tredegar’s consolidated net sales. For additional information, see Item 1A. “Risk Factors” of this Form 10-K (“Item 1A”).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Tredegar considers patents, licenses and trademarks to be material to High Performance Films. On December 31, 2025,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Films held 30 patents (including 6 U.S. patents), and 12 registered trademarks (including 5 U.S. registered trademarks). As of December 31, 2025, these patents had remaining terms of 5 to 16 years.</w:t>
      </w:r>
    </w:p>
    <w:p>
      <w:pPr>
        <w:spacing w:after="0" w:line="49"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operations are subject to various local, state, federal and foreign government regulations,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environmental, privacy and anti-corruption and anti-bribery laws and regulations.</w:t>
      </w:r>
    </w:p>
    <w:p>
      <w:pPr>
        <w:spacing w:after="0" w:line="2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U.S. laws concerning the environment to which the Company’s domestic operations are or may be subject to include the Clean Water Act, the Clean Air Act, the Resource Conservation and Recovery Act, the Occupational Safety and Health Act, the National Environmental Policy Act, the Toxic Substances Control Act, the Comprehensive Environmental Response, Compensation and Liability Act (“CERCLA”), regulations promulgated under these acts, and other federal, state or local laws or regulations governing environmental matters. Compliance with these laws is an important consideration because Tredegar uses hazardous materials in some of its operations, is a generator of hazardous waste, and wastewater from the Company’s operations is discharged to various types of wastewater management systems. Under CERCLA and other laws, Tredegar may be subject to financial exposure for costs associated with waste management and disposal, even if the Company fully complies with applicable environmental laws.</w:t>
      </w:r>
    </w:p>
    <w:p>
      <w:pPr>
        <w:spacing w:after="0" w:line="6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U.S. Environmental Protection Agency has adopted regulations under the Clean Air Act relating to emissions of carbon dioxide and other greenhouse gases (“GHG”), including mandatory reporting and permitting requirements. Several of the Company’s manufacturing operations result in emissions of carbon dioxide or GHG and are subject to the current GHG regulations. The Company’s compliance with environmental regulations has yet to require significant capital expenditures; however, environmental standards tend to become more stringent over time. In addition, in this time of increased accountability in supply chains, some customers are requesting that the Company demonstrate alignment with the customer’s own sustainability commitments. Therefore, in order to comply with current or future environmental legislation or regulations and customer requirements, the Company may be subject to additional capital expenditures, operating expenses or other compliance costs, the amounts and timing of which are not presently determinable, but which could be significant, including constructing new facilities or modifying existing facilities.</w:t>
      </w:r>
    </w:p>
    <w:p>
      <w:pPr>
        <w:spacing w:after="0" w:line="70"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Like environmental regulations, current or future workplace safety, privacy and anti-corruption and anti-bribery legislation or regulations may subject the Company to additional capital expenditures, operating expenses or other compliance costs, the amounts and timing of which are not presently determinable but could be significant. Any failure to comply with current or future laws and regulations, including environmental, workplace safety, privacy and anti-corruption and anti-bribery laws and regulations, could subject Tredegar to substantial penalties, fines, costs and expenses. For further discussion regarding certain environmental, health and safety, privacy and anti-corruption and anti-bribery laws and regulations to which the Company is subject, see Item 1A below.</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Tredegar had approximately 1,700 employees at December 31, 2025 located in the U.S. and Asia, of which 96% are located in the U.S. Approximately 19% of the Company’s employees are represented by labor unions located in the U.S. under two collective bargaining agreements with varying durations and expiration dates. The labor union representing employees at Bonnell Aluminum’s Newnan Plant ratified a new collective bargaining agreement in January 2025. Similarly, the labor union representing employees in High Performance Films’s Pottsville Plant ratified a new collective bargaining agreement in November 2025.</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0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Tredegar has continuously exceeded the industry standards for safety in each of its respective manufacturing sectors. The Company uses various forms of employee safety metrics to assess the health and safety performance of its Aluminum Extrusion and High Performance Films operations, including employee safety data which is available on the Company’s website at </w:t>
      </w:r>
      <w:r>
        <w:rPr>
          <w:rFonts w:ascii="Times New Roman" w:cs="Times New Roman" w:eastAsia="Times New Roman" w:hAnsi="Times New Roman"/>
          <w:sz w:val="18"/>
          <w:szCs w:val="18"/>
          <w:u w:val="single" w:color="auto"/>
          <w:color w:val="auto"/>
        </w:rPr>
        <w:t>www.tredegar.com/about-tredegar/our-broader-commitments/committed-to-our-employees/</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Additionally, Aluminum Extrusions has on-site health clinics at its Carthage and Clearfield facilities. These clinics allow Aluminum Extrusions to invest in its people, provide more personal and more thorough healthcare to employees, and enhance the employer-employee relationship. Collectively, the Carthage and Clearfield clinics serve over 800 employees.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Talent and Development</w:t>
      </w:r>
    </w:p>
    <w:p>
      <w:pPr>
        <w:spacing w:after="0" w:line="9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believes its employees are its most valuable asset and are critical to the success of the Company. The Company seeks to retain employees by offering competitive wages, benefits and training opportunities. The objectives of our executive compensation programs are to attract, motivate and retain highly qualified executive officers. To accomplish these objectives, the Company relies on a pay strategy that emphasizes performance-based compensation through annual and long-term incentives. The Company believes that this pay strategy creates a strong link between pay and performance and aligns with our business strategy of generating strong operating results and shareholder value creation while controlling fixed costs.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is committed to holistically supporting our employees both at work and in their communities by:</w:t>
      </w:r>
    </w:p>
    <w:p>
      <w:pPr>
        <w:spacing w:after="0" w:line="10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Strictly following all applicable health, safety and non-discrimination laws in each country;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highest standards for employee health and safety through innovative programs;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opportunities for community outreach and supporting programs that enhance the lives of children and families.</w:t>
      </w:r>
    </w:p>
    <w:p>
      <w:pPr>
        <w:spacing w:after="0" w:line="10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Tredegar strictly complies with all applicable federal, state, local and international laws governing nondiscrimination in employment in every location where Tredegar and its businesses have facilities to ensure healthy and positive working conditions. This applies to all terms and conditions of employment, including recruiting, hiring, job assignments, promotion, termination, layoff, recall, transfer, leaves of absence, compensation and training. All applicants and employees are treated with the same high level of respect regardless of their race, creed, color, religion, sex, sexual orientation, gender identity, age, pregnancy, national origin, ethnicity, political affiliation, union membership, family status, citizenship status, veteran status, disability or other protected category. Employees who experience or witness discriminatory behavior are encouraged to report such behavior to their supervisor, Human Resources or Tredegar’s toll-free anonymous reporting hotline. Additionally, the Company spends significant resources in developing its employees. A core focus is building a team of motivated and engaged leaders at every level of the Company. Each business unit has identified specific action plans to promote leadership development among its employees. Action plans include talent development, skills training, reinforcement of strong cultural values, and robust systems to ensure a safe working environment.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Information About Our Executive Officers. </w:t>
      </w:r>
      <w:r>
        <w:rPr>
          <w:rFonts w:ascii="Times New Roman" w:cs="Times New Roman" w:eastAsia="Times New Roman" w:hAnsi="Times New Roman"/>
          <w:sz w:val="18"/>
          <w:szCs w:val="18"/>
          <w:color w:val="auto"/>
        </w:rPr>
        <w:t>See Item 10. “Directors, Executive Officers and Corporate Governance” of this Form 10-K.</w:t>
      </w:r>
    </w:p>
    <w:p>
      <w:pPr>
        <w:spacing w:after="0" w:line="10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Available Information and Corporate Governance Documents. </w:t>
      </w:r>
      <w:r>
        <w:rPr>
          <w:rFonts w:ascii="Times New Roman" w:cs="Times New Roman" w:eastAsia="Times New Roman" w:hAnsi="Times New Roman"/>
          <w:sz w:val="18"/>
          <w:szCs w:val="18"/>
          <w:color w:val="auto"/>
        </w:rPr>
        <w:t>Tredegar’s website address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 The Company makes available, through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its website, its annual report on Form 10-K, quarterly reports on Form 10-Q, current reports on Form 8-K and amendments to those reports filed or furnished pursuant to Section 13(a) or 15(d) of the Securities Exchange Act of 1934, as amended (the “Exchange Act”), as soon as reasonably practicable after such documents are electronically filed with, or furnished to, the Securities and Exchange Commission (“SEC”). Information filed electronically with the SEC can be accessed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In addition, the Company’s Corporate Governance Guidelines, Code of Conduct, the charters of the Audit, Executive Compensation, Nominating and Governance Committees and Climate Change Risk Assessment and many other corporate policies are available on Tredegar’s website and are available in print to any shareholder upon request by contacting Tredegar’s Corporate Secretary at 1100 Boulders Parkway, Richmond, Virginia 23225. The information on or that can be accessed through the Company’s website is not, and shall not be deemed to be, a part of this Form 10-K or incorporated into other filings it makes with the SEC.</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and Cautionary Statements</w:t>
      </w:r>
    </w:p>
    <w:p>
      <w:pPr>
        <w:spacing w:after="0" w:line="94" w:lineRule="exact"/>
        <w:rPr>
          <w:sz w:val="20"/>
          <w:szCs w:val="20"/>
          <w:color w:val="auto"/>
        </w:rPr>
      </w:pPr>
    </w:p>
    <w:p>
      <w:pPr>
        <w:ind w:right="80" w:firstLine="405"/>
        <w:spacing w:after="0" w:line="253" w:lineRule="auto"/>
        <w:rPr>
          <w:sz w:val="20"/>
          <w:szCs w:val="20"/>
          <w:color w:val="auto"/>
        </w:rPr>
      </w:pPr>
      <w:r>
        <w:rPr>
          <w:rFonts w:ascii="Times New Roman" w:cs="Times New Roman" w:eastAsia="Times New Roman" w:hAnsi="Times New Roman"/>
          <w:sz w:val="18"/>
          <w:szCs w:val="18"/>
          <w:color w:val="auto"/>
        </w:rPr>
        <w:t>Some of the information contained in this Form 10-K may constitute “forward-looking statements” within the meaning of the “safe harbor” provisions of the Private Securities Litigation Reform Act of 1995. When the Company uses the words “believe,” “estimate,” “anticipate,” “appear to,” “expect,” “project,” “plan,” “likely,” “may” and similar expressions, it does so to identify forward-looking statements. Such statements are based on the Company’s then current expectations and are subject to a number of risks and uncertainties that could cause actual results to differ materially from those addressed in the forward-looking statements. It is possible that the Company’s actual results and financial condition may differ, possibly materially, from the anticipated results and financial condition indicated in or implied by these forward-looking statements. Accordingly, you should not place undue reliance on these forward-looking statements. For risks and important factors that could cause actual results to differ from expectations, refer to the reports that Tredegar files with or furnishes the SEC from time-to-time, including the risks and important factors set forth in Item 1A. Readers are urged to review and consider carefully the disclosures Tredegar makes in the reports Tredegar files with or furnishes to the SEC. Tredegar does not undertake, and expressly disclaims any duty, to update any forward-looking statement to reflect any change in management’s expectations or any change in conditions, assumptions or circumstances on which such statements are based, except as required by applicable law.</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6" w:name="page7"/>
    <w:bookmarkEnd w:id="6"/>
    <w:p>
      <w:pPr>
        <w:ind w:left="6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94"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There are a number of risks and uncertainties that could have a material adverse effect on the Company’s businesses and its consolidated financial condition, results of operations or cash flows. The following risk factors should be considered, in addition to the other information included in this Form 10-K, when evaluating Tredegar and its businesses.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All of Tredegar’s Businesses</w:t>
      </w:r>
    </w:p>
    <w:p>
      <w:pPr>
        <w:spacing w:after="0" w:line="104" w:lineRule="exact"/>
        <w:rPr>
          <w:sz w:val="20"/>
          <w:szCs w:val="20"/>
          <w:color w:val="auto"/>
        </w:rPr>
      </w:pPr>
    </w:p>
    <w:p>
      <w:pPr>
        <w:ind w:left="420" w:right="160" w:hanging="412"/>
        <w:spacing w:after="0" w:line="254" w:lineRule="auto"/>
        <w:tabs>
          <w:tab w:leader="none" w:pos="415"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Trade policies and prolonged geopolitical conflicts could cause an increase in the cost of our products or otherwise negatively impact the Company. </w:t>
      </w:r>
      <w:r>
        <w:rPr>
          <w:rFonts w:ascii="Times New Roman" w:cs="Times New Roman" w:eastAsia="Times New Roman" w:hAnsi="Times New Roman"/>
          <w:sz w:val="18"/>
          <w:szCs w:val="18"/>
          <w:color w:val="auto"/>
        </w:rPr>
        <w:t>The primary raw materials used by Aluminum Extrusions consist of aluminum ingot, aluminum scrap and various alloys, which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purchased from domestic and foreign producers in open-market purchases and under short-term contracts. High Performance Film’s Surface Protection business involves imports to and from the U.S. and other countries where the Company produces and sells its products, including China. Trade tensions have been rising between the U.S. and other countries. An increase in tariffs and other trade barriers between the U.S. and other countries could cause disruption to supply chains and an increase in the cost of Aluminum Extrusions’ and High Performance Films’ products or otherwise negatively impact the production and sale of the Company’s products in global markets. Furthermore, prolonged geopolitical conflicts, including recent increased tensions in the Middle East, could result in increased pricing of raw materials and supply chain constraints, which could negatively affect our business, financial position, results of operations and cash flows. Refer to </w:t>
      </w:r>
      <w:r>
        <w:rPr>
          <w:rFonts w:ascii="Times New Roman" w:cs="Times New Roman" w:eastAsia="Times New Roman" w:hAnsi="Times New Roman"/>
          <w:sz w:val="18"/>
          <w:szCs w:val="18"/>
          <w:i w:val="1"/>
          <w:iCs w:val="1"/>
          <w:color w:val="auto"/>
        </w:rPr>
        <w:t>Risks Related to Aluminum Extrusions</w:t>
      </w:r>
      <w:r>
        <w:rPr>
          <w:rFonts w:ascii="Times New Roman" w:cs="Times New Roman" w:eastAsia="Times New Roman" w:hAnsi="Times New Roman"/>
          <w:sz w:val="18"/>
          <w:szCs w:val="18"/>
          <w:color w:val="auto"/>
        </w:rPr>
        <w:t xml:space="preserve"> for additional information about unfairly traded imports of aluminum extrusions.</w:t>
      </w:r>
    </w:p>
    <w:p>
      <w:pPr>
        <w:spacing w:after="0" w:line="49" w:lineRule="exact"/>
        <w:rPr>
          <w:rFonts w:ascii="Arial" w:cs="Arial" w:eastAsia="Arial" w:hAnsi="Arial"/>
          <w:sz w:val="18"/>
          <w:szCs w:val="18"/>
          <w:b w:val="1"/>
          <w:bCs w:val="1"/>
          <w:color w:val="auto"/>
        </w:rPr>
      </w:pPr>
    </w:p>
    <w:p>
      <w:pPr>
        <w:ind w:left="420" w:hanging="412"/>
        <w:spacing w:after="0" w:line="256"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Ongoing macroeconomic factors, including inflation, high interest rates and recession risks could cause downturns in key markets and create other commercial disruptions, which could adversely impact our businesses. </w:t>
      </w:r>
      <w:r>
        <w:rPr>
          <w:rFonts w:ascii="Times New Roman" w:cs="Times New Roman" w:eastAsia="Times New Roman" w:hAnsi="Times New Roman"/>
          <w:sz w:val="18"/>
          <w:szCs w:val="18"/>
          <w:color w:val="auto"/>
        </w:rPr>
        <w:t>Products sold to key end-use markets, including the B&amp;C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consumer electronics markets, represent a significant portion of our revenue. Because these markets are tied closely to overall economic performance, macroeconomic factors could cause changes to demand for our products. These factors include: (i) inflation; (ii) high interest rates; (iii) recession risks; and (iv) other interruptions of international and regional commerce. Price erosion may occur as competitors become more aggressive in pricing practices. To the extent that these factors reduce demand for our products, our business, financial position, results of operations and cash flows could be adversely impacted.</w:t>
      </w:r>
    </w:p>
    <w:p>
      <w:pPr>
        <w:spacing w:after="0" w:line="61" w:lineRule="exact"/>
        <w:rPr>
          <w:rFonts w:ascii="Times New Roman" w:cs="Times New Roman" w:eastAsia="Times New Roman" w:hAnsi="Times New Roman"/>
          <w:sz w:val="18"/>
          <w:szCs w:val="18"/>
          <w:color w:val="auto"/>
        </w:rPr>
      </w:pPr>
    </w:p>
    <w:p>
      <w:pPr>
        <w:ind w:left="420" w:hanging="412"/>
        <w:spacing w:after="0" w:line="273" w:lineRule="auto"/>
        <w:tabs>
          <w:tab w:leader="none" w:pos="415" w:val="left"/>
        </w:tabs>
        <w:numPr>
          <w:ilvl w:val="0"/>
          <w:numId w:val="6"/>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Tredegar’s performance is influenced by costs incurred by its operating companies, including the cost of raw materials and energy. </w:t>
      </w:r>
      <w:r>
        <w:rPr>
          <w:rFonts w:ascii="Times New Roman" w:cs="Times New Roman" w:eastAsia="Times New Roman" w:hAnsi="Times New Roman"/>
          <w:sz w:val="17"/>
          <w:szCs w:val="17"/>
          <w:color w:val="auto"/>
        </w:rPr>
        <w:t>These costs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include the cost of aluminum (the raw material on which Aluminum Extrusions primarily depends), resin (the raw material on which High Performance Films primarily depends), natural gas (the principal fuel necessary for Aluminum Extrusions’ plants to operate), electricity, diesel fuel, chemicals and paint. Aluminum, resin and natural gas prices are volatile as shown in the charts in Item 7A. The Company attempts to mitigate the effects of higher costs, which includes tariff driven cost increases, through price increases and contractual pass-through provisions, but there are no assurances that higher prices can effectively be passed through to customers or that Tredegar will be able to offset fully or on a timely basis the effects of higher costs. Further, the Company’s cost control efforts may not be sufficient to offset any increases in raw materials, energy or other input costs.</w:t>
      </w:r>
    </w:p>
    <w:p>
      <w:pPr>
        <w:spacing w:after="0" w:line="49" w:lineRule="exact"/>
        <w:rPr>
          <w:rFonts w:ascii="Times New Roman" w:cs="Times New Roman" w:eastAsia="Times New Roman" w:hAnsi="Times New Roman"/>
          <w:sz w:val="17"/>
          <w:szCs w:val="17"/>
          <w:b w:val="1"/>
          <w:bCs w:val="1"/>
          <w:i w:val="1"/>
          <w:iCs w:val="1"/>
          <w:color w:val="auto"/>
        </w:rPr>
      </w:pPr>
    </w:p>
    <w:p>
      <w:pPr>
        <w:ind w:left="420" w:right="20" w:hanging="412"/>
        <w:spacing w:after="0" w:line="257" w:lineRule="auto"/>
        <w:tabs>
          <w:tab w:leader="none" w:pos="41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Noncompliance with any of the covenants in the Company’s $125 million asset-based revolving credit facility (“ABL Facility”), which matures on May 6, 2030, could result in all debt outstanding thereunder becoming due and limiting the Company’s borrowing capacity, which could have a material adverse effect on its consolidated financial condition and liquidity. </w:t>
      </w:r>
      <w:r>
        <w:rPr>
          <w:rFonts w:ascii="Times New Roman" w:cs="Times New Roman" w:eastAsia="Times New Roman" w:hAnsi="Times New Roman"/>
          <w:sz w:val="18"/>
          <w:szCs w:val="18"/>
          <w:color w:val="auto"/>
        </w:rPr>
        <w:t>The credit agreement governing Tredegar’s ABL Facility contains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restrictions and financial covenants that, if violated, could restrict the Company’s operational and financial flexibility. Failure to comply with these covenants could result in an event of default, which if not cured or waived, would result in all outstanding debt under the credit facility at such time becoming due, which could have a material adverse effect on the Company’s consolidated financial condition and liquidity.</w:t>
      </w:r>
    </w:p>
    <w:p>
      <w:pPr>
        <w:spacing w:after="0" w:line="47" w:lineRule="exact"/>
        <w:rPr>
          <w:rFonts w:ascii="Times New Roman" w:cs="Times New Roman" w:eastAsia="Times New Roman" w:hAnsi="Times New Roman"/>
          <w:sz w:val="18"/>
          <w:szCs w:val="18"/>
          <w:b w:val="1"/>
          <w:bCs w:val="1"/>
          <w:i w:val="1"/>
          <w:iCs w:val="1"/>
          <w:color w:val="auto"/>
        </w:rPr>
      </w:pPr>
    </w:p>
    <w:p>
      <w:pPr>
        <w:ind w:left="420" w:right="80" w:hanging="412"/>
        <w:spacing w:after="0" w:line="259"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failure to continue to attract, develop and retain certain key officers or employees could adversely affect our businesses. </w:t>
      </w:r>
      <w:r>
        <w:rPr>
          <w:rFonts w:ascii="Times New Roman" w:cs="Times New Roman" w:eastAsia="Times New Roman" w:hAnsi="Times New Roman"/>
          <w:sz w:val="18"/>
          <w:szCs w:val="18"/>
          <w:color w:val="auto"/>
        </w:rPr>
        <w:t>Our success depends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upon the efforts and abilities of key personnel, many of whom are longstanding employees. The loss of any of these key personnel could deplete our institutional knowledge base and negatively affect our ability to efficiently operate our businesses. Certain roles have experienced high turnover in recent years, and we are experiencing an increasingly competitive labor market. Increased employee turnover could hinder our ability to execute our business strategy and adversely affect our business, financial condition, results of operations and cash flows.</w:t>
      </w:r>
    </w:p>
    <w:p>
      <w:pPr>
        <w:spacing w:after="0" w:line="57" w:lineRule="exact"/>
        <w:rPr>
          <w:rFonts w:ascii="Times New Roman" w:cs="Times New Roman" w:eastAsia="Times New Roman" w:hAnsi="Times New Roman"/>
          <w:sz w:val="18"/>
          <w:szCs w:val="18"/>
          <w:color w:val="auto"/>
        </w:rPr>
      </w:pPr>
    </w:p>
    <w:p>
      <w:pPr>
        <w:ind w:left="420" w:hanging="412"/>
        <w:spacing w:after="0" w:line="257"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Disruptions at one of the Company’s major manufacturing facilities could negatively impact financial results. </w:t>
      </w:r>
      <w:r>
        <w:rPr>
          <w:rFonts w:ascii="Times New Roman" w:cs="Times New Roman" w:eastAsia="Times New Roman" w:hAnsi="Times New Roman"/>
          <w:sz w:val="18"/>
          <w:szCs w:val="18"/>
          <w:color w:val="auto"/>
        </w:rPr>
        <w:t>Tredegar believes it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implemented measures to minimize the risks of disruption at its facilities. However, a disruption could occur as a result of any number of events: an equipment failure with repairs requiring long lead times, labor stoppages or shortages, cybersecurity attacks, utility disruptions, constraints on the supply or delivery of critical raw materials, and severe weather conditions, including potential flooding at the Aluminum Extrusions facility located in Carthage, TN, which is located in a 50-year flood plain. Refer to </w:t>
      </w:r>
      <w:r>
        <w:rPr>
          <w:rFonts w:ascii="Times New Roman" w:cs="Times New Roman" w:eastAsia="Times New Roman" w:hAnsi="Times New Roman"/>
          <w:sz w:val="18"/>
          <w:szCs w:val="18"/>
          <w:i w:val="1"/>
          <w:iCs w:val="1"/>
          <w:color w:val="auto"/>
        </w:rPr>
        <w:t>Risks Related to Aluminum Extrusions</w:t>
      </w:r>
      <w:r>
        <w:rPr>
          <w:rFonts w:ascii="Times New Roman" w:cs="Times New Roman" w:eastAsia="Times New Roman" w:hAnsi="Times New Roman"/>
          <w:sz w:val="18"/>
          <w:szCs w:val="18"/>
          <w:color w:val="auto"/>
        </w:rPr>
        <w:t xml:space="preserve"> for additional information related to aging equipment and systems. A material disruption in one of the Company’s operating locations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color w:val="auto"/>
        </w:rPr>
        <w:t>could negatively impact production and the Company’s consolidated financial condition, results of operations and cash flows.</w:t>
      </w:r>
    </w:p>
    <w:p>
      <w:pPr>
        <w:spacing w:after="0" w:line="86" w:lineRule="exact"/>
        <w:rPr>
          <w:sz w:val="20"/>
          <w:szCs w:val="20"/>
          <w:color w:val="auto"/>
        </w:rPr>
      </w:pPr>
    </w:p>
    <w:p>
      <w:pPr>
        <w:ind w:left="420" w:right="20" w:hanging="412"/>
        <w:spacing w:after="0" w:line="253" w:lineRule="auto"/>
        <w:tabs>
          <w:tab w:leader="none" w:pos="41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 failure in the Company’s information technology systems as a result of cybersecurity attacks or other causes could negatively affect Tredegar’s business. </w:t>
      </w:r>
      <w:r>
        <w:rPr>
          <w:rFonts w:ascii="Times New Roman" w:cs="Times New Roman" w:eastAsia="Times New Roman" w:hAnsi="Times New Roman"/>
          <w:sz w:val="18"/>
          <w:szCs w:val="18"/>
          <w:color w:val="auto"/>
        </w:rPr>
        <w:t>The Company depends on information technology (“IT”) to record and process customer orders, manufacture and ship products in a timely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manner, secure its production processes and know-how, maintain the financial accuracy of its business records and maintain personally identifiable information of its employees. An IT system failure due to computer viruses, internal or external security breaches, cybersecurity attacks or other malicious causes could disrupt our operations and prevent us from being able to process transactions with our customers, operate our manufacturing facilities and properly report transactions in a timely manner. Increased global IT security threats and cyber-crime pose a potential risk to the security and availability of the Company’s IT systems, networks and services, including those that are managed, hosted, provided or used by third parties, as well as to the confidentiality, availability and integrity of the Company’s data. Additionally, increased cybersecurity risk arises due to certain employees working remotely. To date, interruptions of the Company’s IT systems have been infrequent, and Tredegar has not experienced a material cybersecurity incident. A significant prolonged failure of or security breach of the IT systems, networks or service providers the Company relies upon, or a loss or disclosure of business or other sensitive information, or personally identifiable information, as a result of a cybersecurity incident or other cause, could result in substantial costs to the Company, damage to the Company’s reputation, regulatory enforcement actions and lawsuits and could adversely affect the Company’s business, results of operations, financial condition or cash flows.</w:t>
      </w:r>
    </w:p>
    <w:p>
      <w:pPr>
        <w:spacing w:after="0" w:line="65" w:lineRule="exact"/>
        <w:rPr>
          <w:rFonts w:ascii="Times New Roman" w:cs="Times New Roman" w:eastAsia="Times New Roman" w:hAnsi="Times New Roman"/>
          <w:sz w:val="18"/>
          <w:szCs w:val="18"/>
          <w:b w:val="1"/>
          <w:bCs w:val="1"/>
          <w:i w:val="1"/>
          <w:iCs w:val="1"/>
          <w:color w:val="auto"/>
        </w:rPr>
      </w:pPr>
    </w:p>
    <w:p>
      <w:pPr>
        <w:ind w:left="420" w:right="20" w:hanging="412"/>
        <w:spacing w:after="0" w:line="255" w:lineRule="auto"/>
        <w:tabs>
          <w:tab w:leader="none" w:pos="41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Company’s results of operations, financial condition and cash flows could be impacted by the macroeconomic effects of a pandemic.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outbreak of a public health emergency, such as a pandemic or epidemic, could have multiple adverse effects on the global economy, including short-term impacts affecting labor supply and causing supply chain disruptions which can lead to inflationary pressures. In addition, a pandemic may result in certain after-shocks and structural shifts, which could adversely impact Tredegar’s markets. Preventive or protective actions taken by governmental authorities could have a material adverse effect on our businesses, our suppliers, contractors and third-party logistic providers, including facility closures, labor constraints, supply chain disruptions and other challenges. These challenges could impact our ability to maintain sufficient inventory and to accurately predict demand or lead times, which could inhibit our ability to service customer demand. Additionally, a future pandemic could heighten other risks described herein.</w:t>
      </w:r>
    </w:p>
    <w:p>
      <w:pPr>
        <w:spacing w:after="0" w:line="63" w:lineRule="exact"/>
        <w:rPr>
          <w:rFonts w:ascii="Times New Roman" w:cs="Times New Roman" w:eastAsia="Times New Roman" w:hAnsi="Times New Roman"/>
          <w:sz w:val="18"/>
          <w:szCs w:val="18"/>
          <w:b w:val="1"/>
          <w:bCs w:val="1"/>
          <w:i w:val="1"/>
          <w:iCs w:val="1"/>
          <w:color w:val="auto"/>
        </w:rPr>
      </w:pPr>
    </w:p>
    <w:p>
      <w:pPr>
        <w:ind w:left="420" w:right="260" w:hanging="412"/>
        <w:spacing w:after="0" w:line="254" w:lineRule="auto"/>
        <w:tabs>
          <w:tab w:leader="none" w:pos="41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Tredegar is subject to current and future government regulations, including environmental laws and regulations, and could become exposed to liabilities and costs associated with such regulations. </w:t>
      </w:r>
      <w:r>
        <w:rPr>
          <w:rFonts w:ascii="Times New Roman" w:cs="Times New Roman" w:eastAsia="Times New Roman" w:hAnsi="Times New Roman"/>
          <w:sz w:val="18"/>
          <w:szCs w:val="18"/>
          <w:color w:val="auto"/>
        </w:rPr>
        <w:t>The Company is subject to regulation by local, state, federal and foreign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Additionally, some customers are requesting that the Company demonstrate alignment with the customer’s own sustainability commitments. New laws and regulations, or changes to existing laws, including those relating to environmental matters (including global climate change and plastic products), customer sustainability commitments and privacy matters, could subject Tredegar to significant additional capital expenditures, operating expenses or other compliance costs. Moreover, future developments in federal, state, local and international laws and regulations, including environmental laws, and future customer sustainability initiatives are difficult to predict. Environmental laws, customer sustainability initiatives and privacy restrictions have become and are expected to continue to become increasingly strict. As a result, Tredegar expects to be subject to new environmental and privacy laws and regulations and new customer sustainability commitments. However, any such changes are uncertain and, therefore, it is not possible for the Company to predict with certainty the amount of additional capital expenditures or operating expenses that could be necessary for compliance with respect to any such changes.</w:t>
      </w:r>
    </w:p>
    <w:p>
      <w:pPr>
        <w:spacing w:after="0" w:line="51" w:lineRule="exact"/>
        <w:rPr>
          <w:rFonts w:ascii="Times New Roman" w:cs="Times New Roman" w:eastAsia="Times New Roman" w:hAnsi="Times New Roman"/>
          <w:sz w:val="18"/>
          <w:szCs w:val="18"/>
          <w:b w:val="1"/>
          <w:bCs w:val="1"/>
          <w:i w:val="1"/>
          <w:iCs w:val="1"/>
          <w:color w:val="auto"/>
        </w:rPr>
      </w:pPr>
    </w:p>
    <w:p>
      <w:pPr>
        <w:ind w:left="42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is subject to the U.S. Foreign Corrupt Practices Act, anti-corruption laws and similar anti-bribery laws in other jurisdictions, which generally prohibit companies and their intermediaries from making improper payments to foreign officials for the purpose of obtaining or retaining business. Although we have policies and procedures designed to facilitate compliance with these laws and regulations, our employees, contractors and agents may take actions in violation of our policies. Any such violation, even if prohibited by our policies, could adversely affect our business and/or our reputation.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Aluminum Extrusions</w:t>
      </w:r>
    </w:p>
    <w:p>
      <w:pPr>
        <w:spacing w:after="0" w:line="104" w:lineRule="exact"/>
        <w:rPr>
          <w:sz w:val="20"/>
          <w:szCs w:val="20"/>
          <w:color w:val="auto"/>
        </w:rPr>
      </w:pPr>
    </w:p>
    <w:p>
      <w:pPr>
        <w:ind w:left="420" w:right="280" w:hanging="412"/>
        <w:spacing w:after="0" w:line="286" w:lineRule="auto"/>
        <w:tabs>
          <w:tab w:leader="none" w:pos="4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Unfairly traded imports of aluminum extrusions could injure or threaten with injury America’s domestic aluminum extrusions industry, which could have an adverse effect on the financial condition, results of operations and cash flows of Aluminum Extrusions.</w:t>
      </w:r>
    </w:p>
    <w:p>
      <w:pPr>
        <w:spacing w:after="0" w:line="23" w:lineRule="exact"/>
        <w:rPr>
          <w:rFonts w:ascii="Times New Roman" w:cs="Times New Roman" w:eastAsia="Times New Roman" w:hAnsi="Times New Roman"/>
          <w:sz w:val="18"/>
          <w:szCs w:val="18"/>
          <w:color w:val="auto"/>
        </w:rPr>
      </w:pPr>
    </w:p>
    <w:p>
      <w:pPr>
        <w:ind w:left="4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Chinese and other foreign manufacturers continue to attempt to evade the antidumping and countervailing orders to avoid duties. In October 2022, the U.S. International Trade Commission extended the antidumping and countervailing duty orders against aluminum extrusions from China for a period of five years.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340" w:right="420"/>
        <w:spacing w:after="0" w:line="261" w:lineRule="auto"/>
        <w:rPr>
          <w:sz w:val="20"/>
          <w:szCs w:val="20"/>
          <w:color w:val="auto"/>
        </w:rPr>
      </w:pPr>
      <w:r>
        <w:rPr>
          <w:rFonts w:ascii="Times New Roman" w:cs="Times New Roman" w:eastAsia="Times New Roman" w:hAnsi="Times New Roman"/>
          <w:sz w:val="18"/>
          <w:szCs w:val="18"/>
          <w:color w:val="auto"/>
        </w:rPr>
        <w:t>In March 2018, the U.S. imposed tariffs of 10% on aluminum ingot and semi-finished aluminum imported into the U.S. from certain countries (“Section 232 tariffs”). In December 2020, the Department of Commerce introduced general approved exclusions, allowing importers to bypass individual exclusion requests and import items without Section 232 tariffs. All general approved exclusions were terminated effective March 12, 2025.</w:t>
      </w:r>
    </w:p>
    <w:p>
      <w:pPr>
        <w:spacing w:after="0" w:line="45" w:lineRule="exact"/>
        <w:rPr>
          <w:sz w:val="20"/>
          <w:szCs w:val="20"/>
          <w:color w:val="auto"/>
        </w:rPr>
      </w:pPr>
    </w:p>
    <w:p>
      <w:pPr>
        <w:ind w:left="340" w:right="200"/>
        <w:spacing w:after="0" w:line="261" w:lineRule="auto"/>
        <w:rPr>
          <w:sz w:val="20"/>
          <w:szCs w:val="20"/>
          <w:color w:val="auto"/>
        </w:rPr>
      </w:pPr>
      <w:r>
        <w:rPr>
          <w:rFonts w:ascii="Times New Roman" w:cs="Times New Roman" w:eastAsia="Times New Roman" w:hAnsi="Times New Roman"/>
          <w:sz w:val="18"/>
          <w:szCs w:val="18"/>
          <w:color w:val="auto"/>
        </w:rPr>
        <w:t>Unfairly traded imports of aluminum extrusions continue to pose a significant threat to the U.S. aluminum extrusion industry and to our Aluminum Extrusions segment. Effective June 4, 2025, the Section 232 tariffs were increased to 50%, except for the United Kingdom, after previously being increased from 10% to 25%, effective March 12, 2025. These measures are in addition to existing antidumping and countervailing duties. There are no country-specific or product-specific exclusions occurring to date, except for an alternative arrangement with the United Kingdom.</w:t>
      </w:r>
    </w:p>
    <w:p>
      <w:pPr>
        <w:spacing w:after="0" w:line="58"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Despite these actions, weekly net new orders declined approximately 23.6% after the tariff increase to 50%, from an average of 3.4 million pounds per week in the first half of 2025 to 2.6 million pounds per week in the period from June 2025 through early March 2026.</w:t>
      </w:r>
    </w:p>
    <w:p>
      <w:pPr>
        <w:spacing w:after="0" w:line="40" w:lineRule="exact"/>
        <w:rPr>
          <w:sz w:val="20"/>
          <w:szCs w:val="20"/>
          <w:color w:val="auto"/>
        </w:rPr>
      </w:pPr>
    </w:p>
    <w:p>
      <w:pPr>
        <w:ind w:left="340" w:right="60"/>
        <w:spacing w:after="0" w:line="256" w:lineRule="auto"/>
        <w:rPr>
          <w:sz w:val="20"/>
          <w:szCs w:val="20"/>
          <w:color w:val="auto"/>
        </w:rPr>
      </w:pPr>
      <w:r>
        <w:rPr>
          <w:rFonts w:ascii="Times New Roman" w:cs="Times New Roman" w:eastAsia="Times New Roman" w:hAnsi="Times New Roman"/>
          <w:sz w:val="18"/>
          <w:szCs w:val="18"/>
          <w:color w:val="auto"/>
        </w:rPr>
        <w:t>We believe this decline in net new orders after the step-up in the tariff to 50% is due to a combination of lower demand for extrusions in the U.S., tariffs not resulting in the expected favorable shift of market share to domestic producers due to the undervaluation of imported fabricated aluminum products and customers pausing orders to evaluate the permanency of the new higher tariff. Due to the persistent undervaluation problem, the Section 232 framework has created a tariff inversion and price distortions that has created a disadvantage for U.S. extruders and fabricators, allowing foreign finished goods to enter the market at prices domestic manufacturers cannot match. These domestic industry structural issues have reduced the effectiveness of recent tariff increases and have contributed to renewed import surges, despite the intended Section 232 measures.</w:t>
      </w:r>
    </w:p>
    <w:p>
      <w:pPr>
        <w:spacing w:after="0" w:line="52" w:lineRule="exact"/>
        <w:rPr>
          <w:sz w:val="20"/>
          <w:szCs w:val="20"/>
          <w:color w:val="auto"/>
        </w:rPr>
      </w:pPr>
    </w:p>
    <w:p>
      <w:pPr>
        <w:ind w:left="340" w:right="60"/>
        <w:spacing w:after="0" w:line="261" w:lineRule="auto"/>
        <w:rPr>
          <w:sz w:val="20"/>
          <w:szCs w:val="20"/>
          <w:color w:val="auto"/>
        </w:rPr>
      </w:pPr>
      <w:r>
        <w:rPr>
          <w:rFonts w:ascii="Times New Roman" w:cs="Times New Roman" w:eastAsia="Times New Roman" w:hAnsi="Times New Roman"/>
          <w:sz w:val="18"/>
          <w:szCs w:val="18"/>
          <w:color w:val="auto"/>
        </w:rPr>
        <w:t>Although the initial strengthening of the Section 232 program resulted in market share gains for U.S. producers, those gains have diminished, and imports from certain countries have again begun to increase share at the expense of the domestic industry. If these conditions persist, particularly the tariff inversion and continued undervaluation of imported fabricated aluminum productions, they could have a material adverse effect on the financial condition, results of operations, and cash flows of our Aluminum Extrusions segment.</w:t>
      </w:r>
    </w:p>
    <w:p>
      <w:pPr>
        <w:spacing w:after="0" w:line="54" w:lineRule="exact"/>
        <w:rPr>
          <w:sz w:val="20"/>
          <w:szCs w:val="20"/>
          <w:color w:val="auto"/>
        </w:rPr>
      </w:pPr>
    </w:p>
    <w:p>
      <w:pPr>
        <w:ind w:left="340" w:right="60" w:hanging="331"/>
        <w:spacing w:after="0" w:line="259"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Our business is capital intensive, and the inability to replace aging equipment could have an adverse effect on our growth and profitability.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rely heavily on manufacturing equipment and information technology (“IT”) systems that, in certain cases, are aging or approaching obsolescence. Many of our production assets have been in service for decades and, while maintained, are more susceptible to mechanical failure, inefficiency, or downtime compared to modern equipment. Unexpected breakdowns or extended outages could disrupt production schedules, increase maintenance costs, and impair our ability to meet customer demand.</w:t>
      </w:r>
    </w:p>
    <w:p>
      <w:pPr>
        <w:spacing w:after="0" w:line="61" w:lineRule="exact"/>
        <w:rPr>
          <w:rFonts w:ascii="Times New Roman" w:cs="Times New Roman" w:eastAsia="Times New Roman" w:hAnsi="Times New Roman"/>
          <w:sz w:val="18"/>
          <w:szCs w:val="18"/>
          <w:color w:val="auto"/>
        </w:rPr>
      </w:pPr>
    </w:p>
    <w:p>
      <w:pPr>
        <w:ind w:left="340"/>
        <w:spacing w:after="0" w:line="218"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Similarly, portions of our IT infrastructure, including enterprise resource planning and manufacturing execution systems (ERP/MES), are based on legacy platforms that may lack the flexibility and scalability features of newer technologies. These limitations increase the risk of system failures, security and operational inefficiencies. In addition, reliance on outdated systems hinders our ability to integrate emerging technologies, automate processes, or respond quickly to evolving regulatory and market requirements. A new ERP/MES project for all locations of the Aluminum Extrusions business commenced in 2022, with capitalized spending to-date of approximately $21 million related to assets not yet placed in service. As the project progressed, certain implementation phases proved more complex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than originally anticipated, requiring a redesign of key elements of the system. During the second quarter of 2023, this project was reorganized to increase the utilization of existing dedicated internal resources for system design in lieu of more costly external consultants. The Company expects that in late 2026 the Board will evaluate the new project design and capital needed for implementation based on the Company’s earnings, financial position, expected cash needs, and other relevant considerations.</w:t>
      </w:r>
    </w:p>
    <w:p>
      <w:pPr>
        <w:spacing w:after="0" w:line="67" w:lineRule="exact"/>
        <w:rPr>
          <w:rFonts w:ascii="Times New Roman" w:cs="Times New Roman" w:eastAsia="Times New Roman" w:hAnsi="Times New Roman"/>
          <w:sz w:val="18"/>
          <w:szCs w:val="18"/>
          <w:color w:val="auto"/>
        </w:rPr>
      </w:pPr>
    </w:p>
    <w:p>
      <w:pPr>
        <w:ind w:left="340"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Furthermore, significant capital expenditures are required to modernize our infrastructure, and delays or difficulties in implementing such upgrades could exacerbate these risks. Although we currently finance most of our capital expenditures through cash provided by operations, we also may depend on increased borrowing or other financing arrangements to fund future capital expenditures. If we are unable to obtain suitable financing on favorable terms or at all, we may not be able to complete future capital projects and our ability to maintain or expand our operations may be limited. If we are unable to timely upgrade or replace aging equipment and obsolete IT systems, our business could face higher operating costs, reduced competitiveness, or experience non-cash asset impairments.</w:t>
      </w:r>
    </w:p>
    <w:p>
      <w:pPr>
        <w:spacing w:after="0" w:line="61" w:lineRule="exact"/>
        <w:rPr>
          <w:rFonts w:ascii="Times New Roman" w:cs="Times New Roman" w:eastAsia="Times New Roman" w:hAnsi="Times New Roman"/>
          <w:sz w:val="18"/>
          <w:szCs w:val="18"/>
          <w:color w:val="auto"/>
        </w:rPr>
      </w:pPr>
    </w:p>
    <w:p>
      <w:pPr>
        <w:ind w:left="340" w:right="20" w:hanging="331"/>
        <w:spacing w:after="0" w:line="282" w:lineRule="auto"/>
        <w:tabs>
          <w:tab w:leader="none" w:pos="335" w:val="left"/>
        </w:tabs>
        <w:numPr>
          <w:ilvl w:val="0"/>
          <w:numId w:val="9"/>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Sales volume and profitability of Aluminum Extrusions is cyclical and seasonal and highly dependent on economic conditions of end-use markets in the U.S., particularly in the construction sector. </w:t>
      </w:r>
      <w:r>
        <w:rPr>
          <w:rFonts w:ascii="Times New Roman" w:cs="Times New Roman" w:eastAsia="Times New Roman" w:hAnsi="Times New Roman"/>
          <w:sz w:val="17"/>
          <w:szCs w:val="17"/>
          <w:color w:val="auto"/>
        </w:rPr>
        <w:t>Aluminum Extrusions’ end-use markets can be cyclical and subject to seasonal swings in volume.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addition, changes in architectural design, demographic, and remote work trends could negatively impact the overall commercial construction industry. Because of the capital-intensive nature and level of fixed costs inherent in the aluminum extrusions business, the percentage drop in</w:t>
      </w:r>
    </w:p>
    <w:p>
      <w:pPr>
        <w:spacing w:after="0" w:line="200" w:lineRule="exact"/>
        <w:rPr>
          <w:sz w:val="20"/>
          <w:szCs w:val="20"/>
          <w:color w:val="auto"/>
        </w:rPr>
      </w:pPr>
    </w:p>
    <w:p>
      <w:pPr>
        <w:spacing w:after="0" w:line="3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985" w:right="339" w:bottom="1440" w:gutter="0" w:footer="0" w:header="0"/>
        </w:sectPr>
      </w:pPr>
    </w:p>
    <w:bookmarkStart w:id="9" w:name="page10"/>
    <w:bookmarkEnd w:id="9"/>
    <w:p>
      <w:pPr>
        <w:ind w:left="420" w:right="40"/>
        <w:spacing w:after="0" w:line="258" w:lineRule="auto"/>
        <w:rPr>
          <w:sz w:val="20"/>
          <w:szCs w:val="20"/>
          <w:color w:val="auto"/>
        </w:rPr>
      </w:pPr>
      <w:r>
        <w:rPr>
          <w:rFonts w:ascii="Times New Roman" w:cs="Times New Roman" w:eastAsia="Times New Roman" w:hAnsi="Times New Roman"/>
          <w:sz w:val="18"/>
          <w:szCs w:val="18"/>
          <w:color w:val="auto"/>
        </w:rPr>
        <w:t>earnings before interest, taxes, depreciation and amortization (“EBITDA”) from ongoing operations in a cyclical downturn will likely exceed the percentage drop in volume. In addition, during an economic slowdown, excess industry capacity often drives increased pricing pressure in many end-use markets as competitors seek to maintain or increase their position with key customers. Benefits associated with cost reductions and productivity improvements may not be sufficient to offset the adverse effects on profitability from pricing and margin pressure and higher bad debts (including a greater chance of loss associated with customers defaulting on fixed-price forward sales contracts) that usually accompany a downturn.</w:t>
      </w:r>
    </w:p>
    <w:p>
      <w:pPr>
        <w:spacing w:after="0" w:line="44" w:lineRule="exact"/>
        <w:rPr>
          <w:sz w:val="20"/>
          <w:szCs w:val="20"/>
          <w:color w:val="auto"/>
        </w:rPr>
      </w:pPr>
    </w:p>
    <w:p>
      <w:pPr>
        <w:ind w:left="420" w:right="140" w:hanging="412"/>
        <w:spacing w:after="0" w:line="256" w:lineRule="auto"/>
        <w:tabs>
          <w:tab w:leader="none" w:pos="41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The markets for Aluminum Extrusions’ products are highly competitive with product quality, service, delivery performance and price being the principal competitive factors. </w:t>
      </w:r>
      <w:r>
        <w:rPr>
          <w:rFonts w:ascii="Times New Roman" w:cs="Times New Roman" w:eastAsia="Times New Roman" w:hAnsi="Times New Roman"/>
          <w:sz w:val="18"/>
          <w:szCs w:val="18"/>
          <w:color w:val="auto"/>
        </w:rPr>
        <w:t>Aluminum Extrusions has approximately 1,100 customers that are in a variety of end-use markets within the broad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categories of building and construction, automotive, transportation, consumer durables, electrical, renewable energy, machinery and equipment, and distribution. No single Aluminum Extrusions’ customer exceeds 4% of consolidated net sales. Future success and prospects depend on Aluminum Extrusions’ ability to provide superior service, high quality products, timely delivery and competitive pricing to retain existing customers and participate in overall industry cross-cycle growth. Failure in any of these areas could lead to a loss of customers, which could have an adverse effect on the business, financial condition, results of operations and cash flows of Aluminum Extrusions.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High Performance Films</w:t>
      </w:r>
    </w:p>
    <w:p>
      <w:pPr>
        <w:spacing w:after="0" w:line="104" w:lineRule="exact"/>
        <w:rPr>
          <w:sz w:val="20"/>
          <w:szCs w:val="20"/>
          <w:color w:val="auto"/>
        </w:rPr>
      </w:pPr>
    </w:p>
    <w:p>
      <w:pPr>
        <w:ind w:left="420" w:right="80" w:hanging="412"/>
        <w:spacing w:after="0" w:line="262" w:lineRule="auto"/>
        <w:tabs>
          <w:tab w:leader="none" w:pos="415"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High Performance Films is highly dependent on sales associated with relatively few large customers. </w:t>
      </w:r>
      <w:r>
        <w:rPr>
          <w:rFonts w:ascii="Times New Roman" w:cs="Times New Roman" w:eastAsia="Times New Roman" w:hAnsi="Times New Roman"/>
          <w:sz w:val="18"/>
          <w:szCs w:val="18"/>
          <w:color w:val="auto"/>
        </w:rPr>
        <w:t>High Performance Films’ top four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comprised in total approximately 13%, 16% and 12% of Tredegar’s consolidated net sales in 2025, 2024 and 2023, respectively. The loss or significant reduction of sales associated with one or more of these customers without replacement by new business could have an adverse effect on the Company.</w:t>
      </w:r>
    </w:p>
    <w:p>
      <w:pPr>
        <w:spacing w:after="0" w:line="44" w:lineRule="exact"/>
        <w:rPr>
          <w:rFonts w:ascii="Arial" w:cs="Arial" w:eastAsia="Arial" w:hAnsi="Arial"/>
          <w:sz w:val="18"/>
          <w:szCs w:val="18"/>
          <w:b w:val="1"/>
          <w:bCs w:val="1"/>
          <w:color w:val="auto"/>
        </w:rPr>
      </w:pPr>
    </w:p>
    <w:p>
      <w:pPr>
        <w:ind w:left="420" w:right="240"/>
        <w:spacing w:after="0" w:line="282" w:lineRule="auto"/>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While High Performance Films is undertaking efforts to expand its customer base, there can be no assurance that such efforts will be successful, or that they will offset any loss of sales and profits associated with large customer declines.</w:t>
      </w:r>
    </w:p>
    <w:p>
      <w:pPr>
        <w:spacing w:after="0" w:line="36" w:lineRule="exact"/>
        <w:rPr>
          <w:rFonts w:ascii="Arial" w:cs="Arial" w:eastAsia="Arial" w:hAnsi="Arial"/>
          <w:sz w:val="18"/>
          <w:szCs w:val="18"/>
          <w:b w:val="1"/>
          <w:bCs w:val="1"/>
          <w:color w:val="auto"/>
        </w:rPr>
      </w:pPr>
    </w:p>
    <w:p>
      <w:pPr>
        <w:ind w:left="420" w:right="40" w:hanging="412"/>
        <w:spacing w:after="0" w:line="257"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failure of our customers to achieve success or maintain market share, shifts in customer strategies, and changes in consumer preferences could adversely impact High Performance Films’ sale and operating margins. </w:t>
      </w:r>
      <w:r>
        <w:rPr>
          <w:rFonts w:ascii="Times New Roman" w:cs="Times New Roman" w:eastAsia="Times New Roman" w:hAnsi="Times New Roman"/>
          <w:sz w:val="18"/>
          <w:szCs w:val="18"/>
          <w:color w:val="auto"/>
        </w:rPr>
        <w:t>Our specialized protection and thin-gauge advanced packaging films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used in the production of various consumer products sold worldwide. Our business relies heavily on a few large customers and the markets they operate in. Failure by a key customer to maintain market share or changes in customer strategies or preferences could reduce orders and significantly affect our operating results. Cyclical downturns, disruptive technologies, shifting consumer preferences, and operational decisions by a key customer that result in component substitution all pose risks to our business.</w:t>
      </w:r>
    </w:p>
    <w:p>
      <w:pPr>
        <w:spacing w:after="0" w:line="60" w:lineRule="exact"/>
        <w:rPr>
          <w:rFonts w:ascii="Times New Roman" w:cs="Times New Roman" w:eastAsia="Times New Roman" w:hAnsi="Times New Roman"/>
          <w:sz w:val="18"/>
          <w:szCs w:val="18"/>
          <w:color w:val="auto"/>
        </w:rPr>
      </w:pPr>
    </w:p>
    <w:p>
      <w:pPr>
        <w:ind w:left="420" w:hanging="412"/>
        <w:spacing w:after="0" w:line="256" w:lineRule="auto"/>
        <w:tabs>
          <w:tab w:leader="none" w:pos="4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The Company’s inability to protect its intellectual property rights or its infringement of the intellectual property rights of others could have an adverse impact on High Performance Films. </w:t>
      </w:r>
      <w:r>
        <w:rPr>
          <w:rFonts w:ascii="Times New Roman" w:cs="Times New Roman" w:eastAsia="Times New Roman" w:hAnsi="Times New Roman"/>
          <w:sz w:val="18"/>
          <w:szCs w:val="18"/>
          <w:color w:val="auto"/>
        </w:rPr>
        <w:t>The continued success of High Performance Films’ business depends on its ability not only to protect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its own technologies and trade secrets, but also to develop and sell new products that do not infringe upon existing patents. Intellectual property litigation is very costly and could result in substantial expense and diversions of Company resources, both of which could adversely affect its consolidated financial condition, results of operations and cash flows. In addition, there may be no effective legal recourse against infringement of the Company’s intellectual property by third parties, whether due to limitations on enforcement of rights in foreign jurisdictions or as a result of other factors.</w:t>
      </w:r>
    </w:p>
    <w:p>
      <w:pPr>
        <w:spacing w:after="0" w:line="47" w:lineRule="exact"/>
        <w:rPr>
          <w:rFonts w:ascii="Times New Roman" w:cs="Times New Roman" w:eastAsia="Times New Roman" w:hAnsi="Times New Roman"/>
          <w:sz w:val="18"/>
          <w:szCs w:val="18"/>
          <w:color w:val="auto"/>
        </w:rPr>
      </w:pPr>
    </w:p>
    <w:p>
      <w:pPr>
        <w:ind w:left="420" w:right="180" w:hanging="412"/>
        <w:spacing w:after="0" w:line="262" w:lineRule="auto"/>
        <w:tabs>
          <w:tab w:leader="none" w:pos="41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Our international operations expose us to risks associated with fluctuations in foreign currency exchange rates. </w:t>
      </w:r>
      <w:r>
        <w:rPr>
          <w:rFonts w:ascii="Times New Roman" w:cs="Times New Roman" w:eastAsia="Times New Roman" w:hAnsi="Times New Roman"/>
          <w:sz w:val="18"/>
          <w:szCs w:val="18"/>
          <w:color w:val="auto"/>
        </w:rPr>
        <w:t>Because we compete against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protective films companies who produce and supply films within Japan and price their products in yen, changes in exchange rates, which result in a strong U.S. dollar versus the Japanese yen, can adversely affect the competitiveness of our products in foreign markets and our reported results of operations.</w:t>
      </w:r>
    </w:p>
    <w:p>
      <w:pPr>
        <w:spacing w:after="0" w:line="12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Tredegar’s business model depends on the efficiency and reliability of its information systems, networks, and essential assets, with a portion of these systems and networks being administered by third-party service providers. Tredegar’s Cybersecurity Program (the “Program”), which was designed utilizing a risk-based approach, was developed to not only prevent, identify, investigate, resolve, and mitigate potential cybersecurity vulnerabilities within Tredegar but also to enhance the information security posture of Tredegar’s operations involving third-party service providers.</w:t>
      </w:r>
    </w:p>
    <w:p>
      <w:pPr>
        <w:spacing w:after="0" w:line="58" w:lineRule="exact"/>
        <w:rPr>
          <w:sz w:val="20"/>
          <w:szCs w:val="20"/>
          <w:color w:val="auto"/>
        </w:rPr>
      </w:pPr>
    </w:p>
    <w:p>
      <w:pPr>
        <w:ind w:right="920" w:firstLine="405"/>
        <w:spacing w:after="0" w:line="282" w:lineRule="auto"/>
        <w:rPr>
          <w:sz w:val="20"/>
          <w:szCs w:val="20"/>
          <w:color w:val="auto"/>
        </w:rPr>
      </w:pPr>
      <w:r>
        <w:rPr>
          <w:rFonts w:ascii="Times New Roman" w:cs="Times New Roman" w:eastAsia="Times New Roman" w:hAnsi="Times New Roman"/>
          <w:sz w:val="18"/>
          <w:szCs w:val="18"/>
          <w:color w:val="auto"/>
        </w:rPr>
        <w:t>Tredegar entrusts its third-party service providers with the responsibility to institute security measure protocols that are appropriately and proportionally tailored to the corresponding risks. However, Tredegar also periodically conducts assessments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0" w:name="page11"/>
    <w:bookmarkEnd w:id="10"/>
    <w:p>
      <w:pPr>
        <w:ind w:right="620"/>
        <w:spacing w:after="0" w:line="282" w:lineRule="auto"/>
        <w:rPr>
          <w:sz w:val="20"/>
          <w:szCs w:val="20"/>
          <w:color w:val="auto"/>
        </w:rPr>
      </w:pPr>
      <w:r>
        <w:rPr>
          <w:rFonts w:ascii="Times New Roman" w:cs="Times New Roman" w:eastAsia="Times New Roman" w:hAnsi="Times New Roman"/>
          <w:sz w:val="18"/>
          <w:szCs w:val="18"/>
          <w:color w:val="auto"/>
        </w:rPr>
        <w:t>of the third-party service providers’ security frameworks to verify the implementation of adequate security measures, to safeguard Tredegar against potential vulnerabilities.</w:t>
      </w:r>
    </w:p>
    <w:p>
      <w:pPr>
        <w:spacing w:after="0" w:line="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Program leverages a blend of automated systems, manual operations, and external evaluations to proactively identify and mitigate potential cybersecurity threats. Key components of the Program include Tredegar’s Cybersecurity Incident Response Plan and Cyber Crisis Management Plan. These plans encompass a strategic approach that includes: (i) detection of threats, thorough analysis of cybersecurity incidents to determine whether timely notification to Tredegar’s Board of Directors (“Board”) is necessary; (ii) containment of incidents; (iii) eradication or mitigation of threats; (iv) recovery processes; and (v) a comprehensive post-incident review.</w:t>
      </w:r>
    </w:p>
    <w:p>
      <w:pPr>
        <w:spacing w:after="0" w:line="62"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To further strengthen its cybersecurity posture, Tredegar employs third-party consultants who work with the internal audit and information technology (“IT”) functions to assess Tredegar’s information security program and practices, including incident management, service continuity, and information security compliance programs, and identify areas for improvement. The results of such an assessment are regularly presented to the Audit Committee. Notably, these assessments include periodic penetration tests, which allow Tredegar to identify vulnerabilities, refine procedures, and enhance its crisis management and recovery capabilities. The Program is also supported by an organizational structure, involving collaboration across various business sectors and an interdisciplinary Global Data Protection and Cybersecurity Oversight Team that meets regularly to identify information security risks and appropriate risk mitigation strategies. Additionally, because Tredegar recognizes the significant role that its employees play in information security, it provides annual formal information security training to all of its employees that covers critical topics such as phishing and email security best practices. Furthermore, periodic simulated phishing exercises are conducted to reinforce these practices.</w:t>
      </w:r>
    </w:p>
    <w:p>
      <w:pPr>
        <w:spacing w:after="0" w:line="67"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Tredegar’s IT Director and Bonnell’s Director of Information Security are responsible for managing the Program, including the prevention, mitigation, detection and remediation of cybersecurity incidents. Tredegar’s IT Director has over 10 years of cybersecurity expertise, including working in similar roles at other companies, has cybersecurity certifications from EC-Council and ODU Global and holds a degree in Computer Science from Universidade Catolica de Pernambuco and an MBA in IT Management from Universidade Federal de Pernambuco. Bonnell’s Director of Information Security has over 30 years of cybersecurity experience, including working in similar roles at other companies, has cybersecurity certifications from EC-Council and ISC^2 and holds a degree in Mechanical Engineering from the Georgia Institute of Technology. Tredegar’s IT Director and Bonnell’s Director of Information Security also regularly collaborate closely with key management, including the Chief Financial Officer, General Counsel, Compliance Manager, and Human Resources Executive Director, to foster effective communication regarding the Program within Tredegar.</w:t>
      </w:r>
    </w:p>
    <w:p>
      <w:pPr>
        <w:spacing w:after="0" w:line="57" w:lineRule="exact"/>
        <w:rPr>
          <w:sz w:val="20"/>
          <w:szCs w:val="20"/>
          <w:color w:val="auto"/>
        </w:rPr>
      </w:pPr>
    </w:p>
    <w:p>
      <w:pPr>
        <w:jc w:val="both"/>
        <w:ind w:right="420" w:firstLine="405"/>
        <w:spacing w:after="0" w:line="261" w:lineRule="auto"/>
        <w:rPr>
          <w:sz w:val="20"/>
          <w:szCs w:val="20"/>
          <w:color w:val="auto"/>
        </w:rPr>
      </w:pPr>
      <w:r>
        <w:rPr>
          <w:rFonts w:ascii="Times New Roman" w:cs="Times New Roman" w:eastAsia="Times New Roman" w:hAnsi="Times New Roman"/>
          <w:sz w:val="18"/>
          <w:szCs w:val="18"/>
          <w:color w:val="auto"/>
        </w:rPr>
        <w:t>The Board is responsible for risk management, with specific oversight of cybersecurity risks being delegated to the Audit Committee. The Audit Committee receives updates from Tredegar’s and Bonnell’s IT Directors at each of its quarterly meetings. These updates encompass an assessment of Tredegar’s cybersecurity risk profile, including the efficacy of Tredegar’s cybersecurity policies, procedures, strategies, and areas of emerging risk. Additionally, the Board receives annual, but often more frequent, updates on Tredegar’s cybersecurity systems.</w:t>
      </w:r>
    </w:p>
    <w:p>
      <w:pPr>
        <w:spacing w:after="0" w:line="58"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Based on the information we have as of the date of this Form 10-K, we do not believe any risks from cybersecurity threats, including as a result of any previous cybersecurity incidents, have materially affected us, including our business strategy, results of operations or financial condition. See Item 1A. </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for further information.</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u w:val="single" w:color="auto"/>
          <w:color w:val="auto"/>
        </w:rPr>
        <w:t>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8" w:lineRule="exact"/>
        <w:rPr>
          <w:sz w:val="20"/>
          <w:szCs w:val="20"/>
          <w:color w:val="auto"/>
        </w:rPr>
      </w:pPr>
    </w:p>
    <w:p>
      <w:pPr>
        <w:ind w:right="40" w:firstLine="405"/>
        <w:spacing w:after="0" w:line="312" w:lineRule="auto"/>
        <w:rPr>
          <w:sz w:val="20"/>
          <w:szCs w:val="20"/>
          <w:color w:val="auto"/>
        </w:rPr>
      </w:pPr>
      <w:r>
        <w:rPr>
          <w:rFonts w:ascii="Times New Roman" w:cs="Times New Roman" w:eastAsia="Times New Roman" w:hAnsi="Times New Roman"/>
          <w:sz w:val="17"/>
          <w:szCs w:val="17"/>
          <w:color w:val="auto"/>
        </w:rPr>
        <w:t>Most of the improved real property and the other assets used in the Company’s operations are owned. Certain of the owned property is subject to an encumbrance under the ABL Facility. See Note 7 “Debt and Credit Agreements” to the Consolidated Financial Statements in Item 15 for more information.</w:t>
      </w:r>
    </w:p>
    <w:p>
      <w:pPr>
        <w:spacing w:after="0" w:line="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Tredegar considers the manufacturing facilities, warehouses and other properties and assets that it owns or leases to be in generally good condition. Capacity utilization at its various manufacturing facilities can vary with product mix and normal fluctuations in sales levels. The Company believes that its Bonnell Aluminum and High Performance Films manufacturing facilities have sufficient capacity to meet current production requirements. Tredegar’s corporate headquarters, which is leased, is located at 1100 Boulders Parkway, Richmond, Virginia 23225.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color w:val="auto"/>
        </w:rPr>
        <w:t>The Company’s principal manufacturing plants and facilities as of December 31, 2025 are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Aluminum Extrusions</w:t>
            </w:r>
          </w:p>
        </w:tc>
        <w:tc>
          <w:tcPr>
            <w:tcW w:w="25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1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3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98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220" w:type="dxa"/>
            <w:vAlign w:val="bottom"/>
            <w:gridSpan w:val="4"/>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Carthage, Tennessee</w:t>
            </w:r>
          </w:p>
        </w:tc>
        <w:tc>
          <w:tcPr>
            <w:tcW w:w="3020" w:type="dxa"/>
            <w:vAlign w:val="bottom"/>
            <w:gridSpan w:val="4"/>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None</w:t>
            </w:r>
          </w:p>
        </w:tc>
        <w:tc>
          <w:tcPr>
            <w:tcW w:w="3980" w:type="dxa"/>
            <w:vAlign w:val="bottom"/>
            <w:gridSpan w:val="3"/>
            <w:shd w:val="clear" w:color="auto" w:fill="CCEEFF"/>
          </w:tcPr>
          <w:p>
            <w:pPr>
              <w:ind w:left="1040"/>
              <w:spacing w:after="0" w:line="184" w:lineRule="exact"/>
              <w:rPr>
                <w:sz w:val="20"/>
                <w:szCs w:val="20"/>
                <w:color w:val="auto"/>
              </w:rPr>
            </w:pPr>
            <w:r>
              <w:rPr>
                <w:rFonts w:ascii="Times New Roman" w:cs="Times New Roman" w:eastAsia="Times New Roman" w:hAnsi="Times New Roman"/>
                <w:sz w:val="18"/>
                <w:szCs w:val="18"/>
                <w:color w:val="auto"/>
              </w:rPr>
              <w:t>Production of aluminum extrusions,</w:t>
            </w:r>
          </w:p>
        </w:tc>
      </w:tr>
      <w:tr>
        <w:trPr>
          <w:trHeight w:val="180"/>
        </w:trPr>
        <w:tc>
          <w:tcPr>
            <w:tcW w:w="20" w:type="dxa"/>
            <w:vAlign w:val="bottom"/>
            <w:shd w:val="clear" w:color="auto" w:fill="CCEEFF"/>
          </w:tcPr>
          <w:p>
            <w:pPr>
              <w:spacing w:after="0"/>
              <w:rPr>
                <w:sz w:val="15"/>
                <w:szCs w:val="15"/>
                <w:color w:val="auto"/>
              </w:rPr>
            </w:pPr>
          </w:p>
        </w:tc>
        <w:tc>
          <w:tcPr>
            <w:tcW w:w="422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Clearfield, Utah (leased)</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980" w:type="dxa"/>
            <w:vAlign w:val="bottom"/>
            <w:gridSpan w:val="3"/>
            <w:shd w:val="clear" w:color="auto" w:fill="CCEEFF"/>
          </w:tcPr>
          <w:p>
            <w:pPr>
              <w:ind w:left="1040"/>
              <w:spacing w:after="0" w:line="181" w:lineRule="exact"/>
              <w:rPr>
                <w:sz w:val="20"/>
                <w:szCs w:val="20"/>
                <w:color w:val="auto"/>
              </w:rPr>
            </w:pPr>
            <w:r>
              <w:rPr>
                <w:rFonts w:ascii="Times New Roman" w:cs="Times New Roman" w:eastAsia="Times New Roman" w:hAnsi="Times New Roman"/>
                <w:sz w:val="18"/>
                <w:szCs w:val="18"/>
                <w:color w:val="auto"/>
              </w:rPr>
              <w:t>fabrication and finishing</w:t>
            </w:r>
          </w:p>
        </w:tc>
      </w:tr>
      <w:tr>
        <w:trPr>
          <w:trHeight w:val="176"/>
        </w:trPr>
        <w:tc>
          <w:tcPr>
            <w:tcW w:w="20" w:type="dxa"/>
            <w:vAlign w:val="bottom"/>
            <w:shd w:val="clear" w:color="auto" w:fill="CCEEFF"/>
          </w:tcPr>
          <w:p>
            <w:pPr>
              <w:spacing w:after="0"/>
              <w:rPr>
                <w:sz w:val="15"/>
                <w:szCs w:val="15"/>
                <w:color w:val="auto"/>
              </w:rPr>
            </w:pPr>
          </w:p>
        </w:tc>
        <w:tc>
          <w:tcPr>
            <w:tcW w:w="42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Elkhart, Indiana</w:t>
            </w:r>
          </w:p>
        </w:tc>
        <w:tc>
          <w:tcPr>
            <w:tcW w:w="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4"/>
        </w:trPr>
        <w:tc>
          <w:tcPr>
            <w:tcW w:w="20" w:type="dxa"/>
            <w:vAlign w:val="bottom"/>
            <w:shd w:val="clear" w:color="auto" w:fill="CCEEFF"/>
          </w:tcPr>
          <w:p>
            <w:pPr>
              <w:spacing w:after="0"/>
              <w:rPr>
                <w:sz w:val="16"/>
                <w:szCs w:val="16"/>
                <w:color w:val="auto"/>
              </w:rPr>
            </w:pPr>
          </w:p>
        </w:tc>
        <w:tc>
          <w:tcPr>
            <w:tcW w:w="4220" w:type="dxa"/>
            <w:vAlign w:val="bottom"/>
            <w:gridSpan w:val="4"/>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Newnan, Georgia</w:t>
            </w:r>
          </w:p>
        </w:tc>
        <w:tc>
          <w:tcPr>
            <w:tcW w:w="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r>
      <w:tr>
        <w:trPr>
          <w:trHeight w:val="234"/>
        </w:trPr>
        <w:tc>
          <w:tcPr>
            <w:tcW w:w="20" w:type="dxa"/>
            <w:vAlign w:val="bottom"/>
            <w:shd w:val="clear" w:color="auto" w:fill="CCEEFF"/>
          </w:tcPr>
          <w:p>
            <w:pPr>
              <w:spacing w:after="0"/>
              <w:rPr>
                <w:sz w:val="20"/>
                <w:szCs w:val="20"/>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Niles, Michigan</w:t>
            </w:r>
          </w:p>
        </w:tc>
        <w:tc>
          <w:tcPr>
            <w:tcW w:w="2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r>
        <w:trPr>
          <w:trHeight w:val="432"/>
        </w:trPr>
        <w:tc>
          <w:tcPr>
            <w:tcW w:w="4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High Performance Films</w:t>
            </w:r>
          </w:p>
        </w:tc>
        <w:tc>
          <w:tcPr>
            <w:tcW w:w="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2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Locations in the U.S.</w:t>
            </w:r>
          </w:p>
        </w:tc>
        <w:tc>
          <w:tcPr>
            <w:tcW w:w="2340" w:type="dxa"/>
            <w:vAlign w:val="bottom"/>
          </w:tcPr>
          <w:p>
            <w:pPr>
              <w:spacing w:after="0"/>
              <w:rPr>
                <w:sz w:val="24"/>
                <w:szCs w:val="24"/>
                <w:color w:val="auto"/>
              </w:rPr>
            </w:pPr>
          </w:p>
        </w:tc>
        <w:tc>
          <w:tcPr>
            <w:tcW w:w="30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Locations Outside the U.S.</w:t>
            </w:r>
          </w:p>
        </w:tc>
        <w:tc>
          <w:tcPr>
            <w:tcW w:w="3980" w:type="dxa"/>
            <w:vAlign w:val="bottom"/>
            <w:gridSpan w:val="3"/>
          </w:tcPr>
          <w:p>
            <w:pPr>
              <w:ind w:left="1040"/>
              <w:spacing w:after="0"/>
              <w:rPr>
                <w:sz w:val="20"/>
                <w:szCs w:val="20"/>
                <w:color w:val="auto"/>
              </w:rPr>
            </w:pPr>
            <w:r>
              <w:rPr>
                <w:rFonts w:ascii="Times New Roman" w:cs="Times New Roman" w:eastAsia="Times New Roman" w:hAnsi="Times New Roman"/>
                <w:sz w:val="18"/>
                <w:szCs w:val="18"/>
                <w:b w:val="1"/>
                <w:bCs w:val="1"/>
                <w:i w:val="1"/>
                <w:iCs w:val="1"/>
                <w:color w:val="auto"/>
              </w:rPr>
              <w:t>Principal Operations</w:t>
            </w: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Pottsville, Pennsylvania</w:t>
            </w:r>
          </w:p>
        </w:tc>
        <w:tc>
          <w:tcPr>
            <w:tcW w:w="3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Guangzhou, China</w:t>
            </w:r>
          </w:p>
        </w:tc>
        <w:tc>
          <w:tcPr>
            <w:tcW w:w="3980" w:type="dxa"/>
            <w:vAlign w:val="bottom"/>
            <w:gridSpan w:val="3"/>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Production of plastic films</w:t>
            </w:r>
          </w:p>
        </w:tc>
      </w:tr>
    </w:tbl>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17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legal proceedings that arise in the ordinary course of our business. We do not believe there are any pending legal proceedings that, individually or in the aggregate, will have a material adverse effect on the Company’s financial condition, results of operations or cash flows. The outcome of litigation is inherently uncertain. If one or more legal matters were resolved against the Company in a reporting period for amounts above management’s expectations, the Company’s financial condition and operating results for that reporting period could be materially adversely affected. For additional information, see Note 14 "Contingencies" to the Consolidated Financial Statements in Item 15.</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left="720" w:right="340" w:hanging="971"/>
        <w:spacing w:after="0" w:line="286" w:lineRule="auto"/>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105"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Tredegar’s common stock is traded on the New York Stock Exchange (“NYSE”) under the ticker symbol “TG”. There were 34,756,980 shares of common stock held by 1,449 shareholders of record on March 6, 2026. The shares of common stock held includes voting and dividend-participating unvested restricted stock granted to employees of 678,763 shares.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Information</w:t>
      </w:r>
    </w:p>
    <w:p>
      <w:pPr>
        <w:spacing w:after="0" w:line="108"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Prior to the third quarter of 2023, Tredegar paid a regular cash dividend every quarter since becoming a public company in July 1989. All decisions with respect to the declaration and payment for future dividends will be made by the Board in its sole discretion based upon earnings, financial condition, anticipated cash needs, compliance with the covenants under the ABL Facility and other such considerations as the Board deems relevant.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10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January 2008, Tredegar announced that the Board approved a share repurchase program whereby management is authorized at its discretion to purchase, in the open market or in privately negotiated transactions, up to 5 million shares of the Company’s outstanding common stock. The authorization has no time limit. Tredegar did not repurchase any shares in the open market or otherwise in 2025, 2024 or 2023 under this standing authorization. The maximum number of shares remaining under this standing authorization was 1,732,003 at December 31, 2025. All decisions with respect to the declaration and payment for future share repurchases will be made by the Board in its sole discretion based upon earnings, financial condition, anticipated cash needs, compliance with the covenants under the ABL Facility and other such considerations as the Board deems relevant.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Performance Graph</w:t>
      </w:r>
    </w:p>
    <w:p>
      <w:pPr>
        <w:spacing w:after="0" w:line="9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graph compares cumulative total shareholder returns for Tredegar, the S&amp;P SmallCap 600 Stock Index (an index comprised of companies with market capitalizations similar to Tredegar) and the Russell 2000 Index for the five years ended December 31, 2025.</w:t>
      </w:r>
    </w:p>
    <w:p>
      <w:pPr>
        <w:spacing w:after="0" w:line="35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2"/>
          <w:szCs w:val="22"/>
          <w:b w:val="1"/>
          <w:bCs w:val="1"/>
          <w:color w:val="auto"/>
        </w:rPr>
        <w:t>COMPARISON OF 5 YEAR CUMULATIVE TOTAL RETURN*</w:t>
      </w:r>
    </w:p>
    <w:p>
      <w:pPr>
        <w:spacing w:after="0" w:line="3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color w:val="auto"/>
        </w:rPr>
        <w:t>Among Tredegar Corporation, the S&amp;P SmallCap 600 Index, and the Russell 2000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4445</wp:posOffset>
            </wp:positionV>
            <wp:extent cx="5709285" cy="2400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928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*$100 invested on 12/31/20 in stock or index, including reinvestment of dividends.</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Fiscal year ending December 31.</w:t>
      </w:r>
    </w:p>
    <w:p>
      <w:pPr>
        <w:spacing w:after="0" w:line="2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2026 Standard &amp; Poor's, a division of S&amp;P Global. All rights reserved.</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Copyright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2026 Russell Investment Group. All rights reserved.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981" w:right="999" w:bottom="1440" w:gutter="0" w:footer="0" w:header="0"/>
        </w:sectPr>
      </w:pPr>
    </w:p>
    <w:bookmarkStart w:id="13" w:name="page14"/>
    <w:bookmarkEnd w:id="1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u w:val="single" w:color="auto"/>
          <w:color w:val="auto"/>
        </w:rPr>
        <w:t>[RESERVED]</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focuses on and is intended to clarify the results of our operations, certain changes in our financial position, liquidity, capital structure and business developments for the periods covered by the consolidated financial statements included in this Form 10-K. This discussion should be read in conjunction with, and is qualified by reference to, the other related information including, but not limited to, the audited consolidated financial statements (including the notes thereto) and the description of our business, all as set forth in this Form 10-K, as well as the risk factors discussed above in Item 1A.</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section provides discussion and a year-to-year comparison for the years ended December 31, 2025 and 2024.</w:t>
      </w:r>
    </w:p>
    <w:p>
      <w:pPr>
        <w:spacing w:after="0" w:line="8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Overview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08"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Tredegar Corporation is an industrial manufacturer with two primary businesses: custom aluminum extrusions for the B&amp;C, automotive and specialty end-use markets in the United States through its Aluminum Extrusions segment (with exports comprising less than 5% of total sales volume) and surface protection films for high-end technology applications in the global electronics industry and packaging films for consumer and industrial products through its High Performance Films segment. With approximately 1,700 employees, the Company operates manufacturing facilities in the U.S. and China.</w:t>
      </w:r>
    </w:p>
    <w:p>
      <w:pPr>
        <w:spacing w:after="0" w:line="4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EBITDA from ongoing operations is the measure of segment profit and loss used by Tredegar’s chief operating decision maker (“CODM”) for purposes of assessing financial performance. The Company uses sales less freight (“net sales”) as its measure of revenues from external customers at the segment level. This measure is separately included in the financial information regularly provided to the CODM.</w:t>
      </w:r>
    </w:p>
    <w:p>
      <w:pPr>
        <w:spacing w:after="0" w:line="5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Earnings before interest and taxes (“EBIT”) from ongoing operations is a non-GAAP financial measure included in the reconciliation of segment financial information to consolidated results for the Company in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 EBIT is not intended to represent the stand-alone results for Tredegar's ongoing operations under GAAP and should not be considered as an alternative to net income (loss) as defined by GAAP. We believe that EBIT is a widely understood and utilized metric that is meaningful to certain investors and that including this financial metric in the reconciliation of management’s performance metric, EBITDA from ongoing operations, provides useful information to those investors that primarily utilize EBIT to analyze the Company’s core operations.</w:t>
      </w:r>
    </w:p>
    <w:p>
      <w:pPr>
        <w:spacing w:after="0" w:line="6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Sales were $722.9 million in 2025 compared to $598.0 million in 2024. Net income (loss) from continuing operations was $24.1 million ($0.69 per diluted share) in 2025, compared with net income (loss) from continuing operations of $1.0 million ($0.03 per diluted share) in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Results Highlights</w:t>
      </w:r>
    </w:p>
    <w:p>
      <w:pPr>
        <w:spacing w:after="0" w:line="10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Aluminum Extrusions of $51.0 million was $9.6 million higher than the year of 2024.</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from ongoing operations for High Performance Films of $27.1 million was $3.3 million lower than the year of 2024.</w:t>
      </w:r>
    </w:p>
    <w:p>
      <w:pPr>
        <w:spacing w:after="0" w:line="90"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 xml:space="preserve">Gains and losses associated with exit and disposal activities, plant shutdowns, asset impairments, restructurings and other items are described in </w:t>
      </w:r>
      <w:r>
        <w:rPr>
          <w:rFonts w:ascii="Times New Roman" w:cs="Times New Roman" w:eastAsia="Times New Roman" w:hAnsi="Times New Roman"/>
          <w:sz w:val="18"/>
          <w:szCs w:val="18"/>
          <w:b w:val="1"/>
          <w:bCs w:val="1"/>
          <w:i w:val="1"/>
          <w:iCs w:val="1"/>
          <w:color w:val="auto"/>
        </w:rPr>
        <w:t xml:space="preserve">Results of Operations </w:t>
      </w: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versus 2024</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a bridge of consolidated net income (loss) from continuing operations from the year of 2024 to the year of 2025 with related management’s discussion and analysis below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2024</w:t>
            </w:r>
          </w:p>
        </w:tc>
        <w:tc>
          <w:tcPr>
            <w:tcW w:w="16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9"/>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2024</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r>
      <w:tr>
        <w:trPr>
          <w:trHeight w:val="229"/>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124,839</w:t>
            </w:r>
          </w:p>
        </w:tc>
      </w:tr>
      <w:tr>
        <w:trPr>
          <w:trHeight w:val="230"/>
        </w:trPr>
        <w:tc>
          <w:tcPr>
            <w:tcW w:w="87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w:t>
            </w:r>
          </w:p>
        </w:tc>
      </w:tr>
      <w:tr>
        <w:trPr>
          <w:trHeight w:val="223"/>
        </w:trPr>
        <w:tc>
          <w:tcPr>
            <w:tcW w:w="8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127,190</w:t>
            </w:r>
          </w:p>
        </w:tc>
      </w:tr>
      <w:tr>
        <w:trPr>
          <w:trHeight w:val="230"/>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income (loss) from (increases) decreases in the following items:</w:t>
            </w:r>
          </w:p>
        </w:tc>
        <w:tc>
          <w:tcPr>
            <w:tcW w:w="16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goods sold</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(108,363)</w:t>
            </w:r>
          </w:p>
        </w:tc>
      </w:tr>
      <w:tr>
        <w:trPr>
          <w:trHeight w:val="229"/>
        </w:trPr>
        <w:tc>
          <w:tcPr>
            <w:tcW w:w="8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Freight</w:t>
            </w: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r>
      <w:tr>
        <w:trPr>
          <w:trHeight w:val="230"/>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29"/>
        </w:trPr>
        <w:tc>
          <w:tcPr>
            <w:tcW w:w="8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30"/>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OPEB termination gain</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29"/>
        </w:trPr>
        <w:tc>
          <w:tcPr>
            <w:tcW w:w="8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29"/>
        </w:trPr>
        <w:tc>
          <w:tcPr>
            <w:tcW w:w="87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(97,401)</w:t>
            </w:r>
          </w:p>
        </w:tc>
      </w:tr>
      <w:tr>
        <w:trPr>
          <w:trHeight w:val="229"/>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for the year ended December 31, 2025</w:t>
            </w:r>
          </w:p>
        </w:tc>
        <w:tc>
          <w:tcPr>
            <w:tcW w:w="1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30,669</w:t>
            </w:r>
          </w:p>
        </w:tc>
      </w:tr>
      <w:tr>
        <w:trPr>
          <w:trHeight w:val="230"/>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6,584</w:t>
            </w:r>
          </w:p>
        </w:tc>
      </w:tr>
      <w:tr>
        <w:trPr>
          <w:trHeight w:val="230"/>
        </w:trPr>
        <w:tc>
          <w:tcPr>
            <w:tcW w:w="8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for the year ended December 31, 2025</w:t>
            </w:r>
          </w:p>
        </w:tc>
        <w:tc>
          <w:tcPr>
            <w:tcW w:w="16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24,085</w:t>
            </w:r>
          </w:p>
        </w:tc>
      </w:tr>
    </w:tbl>
    <w:p>
      <w:pPr>
        <w:spacing w:after="0" w:line="157"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Sales in 2025 increased by 20.9% compared with 2024. Net sales increased 27.0% in Aluminum Extrusions primarily due to higher sales volume and the pass-through of higher metal costs. Net sales decreased 5.2% in High Performance Films primarily due to lower net sales in Surface Protection and advanced packaging films. For more information on changes in net sales and volume,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54"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Other income (expense), net was $1.4 million in 2025 compared to $(1.0) million in 2024. The amount in other income (expense), net for 2025 was primarily related to a gain on the sale of corporate-owned land of $1.5 million. The amount in other income (expense), net for 2024 was primarily related to $1.3 million of deferred and discretionary incentive payments made in 2024 subsequent to the sale of Terphane.</w:t>
      </w:r>
    </w:p>
    <w:p>
      <w:pPr>
        <w:spacing w:after="0" w:line="4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Consolidated gross profit (sales minus cost of goods sold and freight) as a percentage of sales (gross profit margin) was 15.1% in 2025 versus 16.1% in 2024.</w:t>
      </w:r>
    </w:p>
    <w:p>
      <w:pPr>
        <w:spacing w:after="0" w:line="40" w:lineRule="exact"/>
        <w:rPr>
          <w:sz w:val="20"/>
          <w:szCs w:val="20"/>
          <w:color w:val="auto"/>
        </w:rPr>
      </w:pPr>
    </w:p>
    <w:p>
      <w:pPr>
        <w:ind w:left="660" w:right="60" w:hanging="328"/>
        <w:spacing w:after="0" w:line="253"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Aluminum Extrusions remained flat primarily due to higher volume, favorable pricing and lower manufacturing costs associated with material yield, offset by higher labor rates, unfavorable productivity, higher maintenance and supply expense, partially due to the impact of tariffs and severe weather and downed equipment in the first half of 2025, higher expense for externally produced billet associated with the increase in volume and higher die expense associated with timing of purchases and increasing volume. Additionally, inventories accounted for under the last-in first-out (“LIFO”) inventory method resulted in a net benefit of $2.6 million in 2025 compared to a net benefit of $0.1 million in 2024 due to a favorable current cost adjustment associated with higher metal prices ($9.3 million benefit in 2025 and $1.3 million benefit 2024), partially offset by a corresponding increase in the LIFO reserve, which resulted in a charge of $6.7 million in the fourth quarter 2025 versus a charge of $1.2 million in the fourth quarter 2024. The timing of the flow-through under the first-in first-out (“FIFO”) method of aluminum raw material costs, which were previously acquired in a quickly changing commodity pricing environment, causing a temporary mismatch in the change in the cost of raw materials included in variable costs and the pass through to customers included in sales, resulted in a benefit of $8.7 million in 2025 versus a benefit of $0.1 million in 2024.</w:t>
      </w:r>
    </w:p>
    <w:p>
      <w:pPr>
        <w:spacing w:after="0" w:line="7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margin in High Performance Films slightly decreased primarily due to lower contribution margin (net sales less variable costs) from Surface Protection associated with lower volume, unfavorable mix, partially offset by favorable pricing, variable cost savings and operating efficiencies. Inventories accounted for under the LIFO method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left="660" w:right="120"/>
        <w:spacing w:after="0" w:line="282" w:lineRule="auto"/>
        <w:rPr>
          <w:sz w:val="20"/>
          <w:szCs w:val="20"/>
          <w:color w:val="auto"/>
        </w:rPr>
      </w:pPr>
      <w:r>
        <w:rPr>
          <w:rFonts w:ascii="Times New Roman" w:cs="Times New Roman" w:eastAsia="Times New Roman" w:hAnsi="Times New Roman"/>
          <w:sz w:val="18"/>
          <w:szCs w:val="18"/>
          <w:color w:val="auto"/>
        </w:rPr>
        <w:t>resulted in a charge of $0.2 million in 2025 versus a benefit of $0.2 million in 2024, and the pass-through lag associated with resin costs resulted in a charge of $0.3 million in 2025 versus a charge of $1.0 million in 2024.</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For more information on changes in operating costs and expenses, see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section below.</w:t>
      </w:r>
    </w:p>
    <w:p>
      <w:pPr>
        <w:spacing w:after="0" w:line="108" w:lineRule="exact"/>
        <w:rPr>
          <w:sz w:val="20"/>
          <w:szCs w:val="20"/>
          <w:color w:val="auto"/>
        </w:rPr>
      </w:pPr>
    </w:p>
    <w:p>
      <w:pPr>
        <w:ind w:right="300" w:firstLine="405"/>
        <w:spacing w:after="0" w:line="261"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and research and development (“R&amp;D”) expenses were 11.0% in 2025 compared with 12.3% in 2024. While SG&amp;A expense increased 8.3% and R&amp;D remained flat year-over-year, sales increased $124.8 million or 20.9% compared with the prior year period. Higher SG&amp;A spending was primarily due to higher employee-related compensation and higher professional fees associated with business development activities.</w:t>
      </w:r>
    </w:p>
    <w:p>
      <w:pPr>
        <w:spacing w:after="0" w:line="5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2025, the Company terminated the Other Post-Retirement Benefits (“OPEB”) program. The OPEB total obligation and unrecognized pre-tax actuarial gain reported in the consolidated balance sheets was $5.0 million and $1.3 million, respectively, which was realized in the income statement during the fourth quarter of 2025. See Note 8 “Retirement Benefits and Other Postretirement Benefits” to the Consolidated Financial Statements in Item 15 for more information.</w:t>
      </w:r>
    </w:p>
    <w:p>
      <w:pPr>
        <w:spacing w:after="0" w:line="4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During 2024, a non-cash goodwill impairment of $13.3 million was recognized associated with the Clearfield, Utah operation reporting unit in Aluminum Extrusions. See Note 1 “Nature of Operations and Summary of Significant Accounting Policies” to the Consolidated Financial Statements in Item 15 for more information.</w:t>
      </w:r>
    </w:p>
    <w:p>
      <w:pPr>
        <w:spacing w:after="0" w:line="54"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effective tax rate from continuing operations for 2025 was 21.5%, compared to (18.8)% in 2024. The increase in the effective tax rate was primarily due to higher pre-tax income from continuing operations in 2025 than in 2024. The tax rate in 2024 was impacted by the release of valuation allowance on deferred taxes. See Note 11 “Income Taxes” to the Consolidated Financial Statements in Item 15 for additional information.</w:t>
      </w:r>
    </w:p>
    <w:p>
      <w:pPr>
        <w:spacing w:after="0" w:line="5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Pre-tax gains and losses associated with plant shutdowns, asset impairments, restructurings and other items in 2025 detailed below are shown in the reconciliation of net sales and EBITDA from ongoing operations by segment in the </w:t>
      </w:r>
      <w:r>
        <w:rPr>
          <w:rFonts w:ascii="Times New Roman" w:cs="Times New Roman" w:eastAsia="Times New Roman" w:hAnsi="Times New Roman"/>
          <w:sz w:val="18"/>
          <w:szCs w:val="18"/>
          <w:b w:val="1"/>
          <w:bCs w:val="1"/>
          <w:i w:val="1"/>
          <w:iCs w:val="1"/>
          <w:color w:val="auto"/>
        </w:rPr>
        <w:t>Segment Operations Review</w:t>
      </w:r>
      <w:r>
        <w:rPr>
          <w:rFonts w:ascii="Times New Roman" w:cs="Times New Roman" w:eastAsia="Times New Roman" w:hAnsi="Times New Roman"/>
          <w:sz w:val="18"/>
          <w:szCs w:val="18"/>
          <w:color w:val="auto"/>
        </w:rPr>
        <w:t xml:space="preserve"> below and are included in “Asset impairments and costs associated with exit and disposal activities, net of adjustments” in the consolidated statements of income, unless otherwise noted.</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6"/>
        </w:trPr>
        <w:tc>
          <w:tcPr>
            <w:tcW w:w="7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Q1</w:t>
            </w: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w:t>
            </w:r>
          </w:p>
        </w:tc>
        <w:tc>
          <w:tcPr>
            <w:tcW w:w="2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Q3</w:t>
            </w:r>
          </w:p>
        </w:tc>
        <w:tc>
          <w:tcPr>
            <w:tcW w:w="22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Q4</w:t>
            </w:r>
          </w:p>
        </w:tc>
        <w:tc>
          <w:tcPr>
            <w:tcW w:w="1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Aluminum Extrusions:</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associated with plant shutdowns, asset impairments and restructurings: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(Gains) losses from sale of assets, investment writedowns and other items: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Consulting expenses for ERP/MES project</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Storm damage to the Newnan, Georgia plant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Legal fees associated with the Aluminum Extruders Trade Case and other matters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Aluminum extrusion press fire at Newnan, Georgia Plant</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720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Aluminum premium charge as a result of unplanned maintenance interruptions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196"/>
        </w:trPr>
        <w:tc>
          <w:tcPr>
            <w:tcW w:w="720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for Aluminum Extrusions</w:t>
            </w:r>
          </w:p>
        </w:tc>
        <w:tc>
          <w:tcPr>
            <w:tcW w:w="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0"/>
        </w:trPr>
        <w:tc>
          <w:tcPr>
            <w:tcW w:w="7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losses from sale of assets, investment writedowns and other items:</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business development activities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76"/>
        </w:trPr>
        <w:tc>
          <w:tcPr>
            <w:tcW w:w="720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Professional fees associated with remediation activities related to internal control over financial</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43"/>
        </w:trPr>
        <w:tc>
          <w:tcPr>
            <w:tcW w:w="720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reporting</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transition to the ABL Facility</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Professional fees associated with the OPEB termination</w:t>
            </w:r>
            <w:r>
              <w:rPr>
                <w:rFonts w:ascii="Times New Roman" w:cs="Times New Roman" w:eastAsia="Times New Roman" w:hAnsi="Times New Roman"/>
                <w:sz w:val="23"/>
                <w:szCs w:val="23"/>
                <w:color w:val="auto"/>
                <w:vertAlign w:val="superscript"/>
              </w:rPr>
              <w:t>4</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20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Group annuity contract premium adjustment</w:t>
            </w:r>
            <w:r>
              <w:rPr>
                <w:rFonts w:ascii="Times New Roman" w:cs="Times New Roman" w:eastAsia="Times New Roman" w:hAnsi="Times New Roman"/>
                <w:sz w:val="23"/>
                <w:szCs w:val="23"/>
                <w:color w:val="auto"/>
                <w:vertAlign w:val="superscript"/>
              </w:rPr>
              <w:t>2,4</w:t>
            </w: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20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Proceeds on the sale of corporate-owned land</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6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720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OPEB termination gain</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for Corporate</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7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ind w:left="180" w:hanging="154"/>
        <w:spacing w:after="0" w:line="234" w:lineRule="auto"/>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“Selling, general and administrative expenses” in the consolidated statements of income.</w:t>
      </w:r>
    </w:p>
    <w:p>
      <w:pPr>
        <w:ind w:left="180" w:hanging="154"/>
        <w:spacing w:after="0" w:line="211" w:lineRule="auto"/>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“Other income (expense), net” in the consolidated statements of income.</w:t>
      </w:r>
    </w:p>
    <w:p>
      <w:pPr>
        <w:ind w:left="180" w:hanging="154"/>
        <w:spacing w:after="0" w:line="211" w:lineRule="auto"/>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“Cost of good sold” in the consolidated statements of income.</w:t>
      </w:r>
    </w:p>
    <w:p>
      <w:pPr>
        <w:ind w:left="180" w:hanging="154"/>
        <w:spacing w:after="0"/>
        <w:tabs>
          <w:tab w:leader="none" w:pos="1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more information, see Note 8 “Retirement Plans and Other Postretirement Benefits” to the Consolidated Financial Statements in Item 15.</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Average total debt outstanding and interest rates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5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Floating-rate debt with interest charged on a rollover basis plus a credit spread:</w:t>
            </w:r>
          </w:p>
        </w:tc>
        <w:tc>
          <w:tcPr>
            <w:tcW w:w="1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Average total outstanding debt balance</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54.8</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117.7</w:t>
            </w:r>
          </w:p>
        </w:tc>
      </w:tr>
      <w:tr>
        <w:trPr>
          <w:trHeight w:val="229"/>
        </w:trPr>
        <w:tc>
          <w:tcPr>
            <w:tcW w:w="68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interest rate</w:t>
            </w:r>
          </w:p>
        </w:tc>
        <w:tc>
          <w:tcPr>
            <w:tcW w:w="1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4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7" w:name="page18"/>
    <w:bookmarkEnd w:id="17"/>
    <w:p>
      <w:pPr>
        <w:jc w:val="center"/>
        <w:ind w:left="4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Operations Review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versus 2024</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operating results for 2025 versus 2024 for both of the Company’s reporting segments is shown below.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Aluminum Extrusions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Aluminum Extrusions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14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7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157,071</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139,152</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598,975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471,815</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454,249</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354,397</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(28.2)%</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Last-in first-out inventory adjustment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6,741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30"/>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46,402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40,123</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38,461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(14.3)%</w:t>
            </w:r>
          </w:p>
        </w:tc>
      </w:tr>
      <w:tr>
        <w:trPr>
          <w:trHeight w:val="229"/>
        </w:trPr>
        <w:tc>
          <w:tcPr>
            <w:tcW w:w="752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2,164</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50,958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41,357</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(16,640)</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6.1%</w:t>
            </w:r>
          </w:p>
        </w:tc>
      </w:tr>
      <w:tr>
        <w:trPr>
          <w:trHeight w:val="230"/>
        </w:trPr>
        <w:tc>
          <w:tcPr>
            <w:tcW w:w="752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34,318</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23,635</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45.2%</w:t>
            </w:r>
          </w:p>
        </w:tc>
      </w:tr>
      <w:tr>
        <w:trPr>
          <w:trHeight w:val="230"/>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15,392</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480" w:type="dxa"/>
            <w:vAlign w:val="bottom"/>
            <w:tcBorders>
              <w:bottom w:val="single" w:sz="8" w:color="auto"/>
            </w:tcBorders>
            <w:shd w:val="clear" w:color="auto" w:fill="CCEEFF"/>
          </w:tcPr>
          <w:p>
            <w:pPr>
              <w:spacing w:after="0"/>
              <w:rPr>
                <w:sz w:val="19"/>
                <w:szCs w:val="19"/>
                <w:color w:val="auto"/>
              </w:rPr>
            </w:pPr>
          </w:p>
        </w:tc>
      </w:tr>
    </w:tbl>
    <w:p>
      <w:pPr>
        <w:ind w:left="180" w:hanging="154"/>
        <w:spacing w:after="0" w:line="234" w:lineRule="auto"/>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20" w:right="2800" w:firstLine="6"/>
        <w:spacing w:after="0" w:line="231" w:lineRule="auto"/>
        <w:tabs>
          <w:tab w:leader="none" w:pos="182"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63" w:lineRule="exact"/>
        <w:rPr>
          <w:sz w:val="20"/>
          <w:szCs w:val="20"/>
          <w:color w:val="auto"/>
        </w:rPr>
      </w:pPr>
    </w:p>
    <w:p>
      <w:pPr>
        <w:ind w:right="600" w:firstLine="405"/>
        <w:spacing w:after="0" w:line="282" w:lineRule="auto"/>
        <w:rPr>
          <w:sz w:val="20"/>
          <w:szCs w:val="20"/>
          <w:color w:val="auto"/>
        </w:rPr>
      </w:pPr>
      <w:r>
        <w:rPr>
          <w:rFonts w:ascii="Times New Roman" w:cs="Times New Roman" w:eastAsia="Times New Roman" w:hAnsi="Times New Roman"/>
          <w:sz w:val="18"/>
          <w:szCs w:val="18"/>
          <w:color w:val="auto"/>
        </w:rPr>
        <w:t>Net sales in 2025 increased 27.0% versus 2024 primarily due to higher sales volume and the pass-through of higher metal costs. Sales volume increased 12.9% versus 2024.</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increased $9.6 million in 2025 versus 2024, primarily due to:</w:t>
      </w:r>
    </w:p>
    <w:p>
      <w:pPr>
        <w:spacing w:after="0" w:line="104"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$27.3 million increase in contribution margin associated with:</w:t>
      </w:r>
    </w:p>
    <w:p>
      <w:pPr>
        <w:spacing w:after="0" w:line="90" w:lineRule="exact"/>
        <w:rPr>
          <w:rFonts w:ascii="Times New Roman" w:cs="Times New Roman" w:eastAsia="Times New Roman" w:hAnsi="Times New Roman"/>
          <w:sz w:val="18"/>
          <w:szCs w:val="18"/>
          <w:color w:val="auto"/>
        </w:rPr>
      </w:pPr>
    </w:p>
    <w:p>
      <w:pPr>
        <w:ind w:left="1300" w:right="60" w:hanging="320"/>
        <w:spacing w:after="0" w:line="256"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 ($14.6 million), favorable pricing ($5.6 million) and lower manufacturing costs associated with material yield ($0.8 million favorable in 2025 versus $0.5 million favorable in 2024), partially offset by: higher labor rates ($3.1 million); unfavorable productivity ($1.2 million); higher maintenance and supply expense, partially due to the impact of tariffs and severe weather and downed equipment in the first half of 2025 ($2.2 million); higher expense for externally produced billet associated with the increase in volume ($0.9 million); higher die expense associated with timing of purchases and increasing volumes ($1.0 million), and higher utilities ($0.9 million); and</w:t>
      </w:r>
    </w:p>
    <w:p>
      <w:pPr>
        <w:spacing w:after="0" w:line="65" w:lineRule="exact"/>
        <w:rPr>
          <w:rFonts w:ascii="Times New Roman" w:cs="Times New Roman" w:eastAsia="Times New Roman" w:hAnsi="Times New Roman"/>
          <w:sz w:val="18"/>
          <w:szCs w:val="18"/>
          <w:color w:val="auto"/>
        </w:rPr>
      </w:pPr>
    </w:p>
    <w:p>
      <w:pPr>
        <w:ind w:left="1300" w:right="140" w:hanging="320"/>
        <w:spacing w:after="0" w:line="261"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flow-through under the FIFO method of aluminum raw material costs, which were previously acquired in a quickly changing commodity pricing environment, causing a temporary mismatch in the change in the cost of raw materials included in variable costs and the pass through to customers included in sales, resulted in a benefit of $8.7 million in 2025 versus a benefit of $0.1 million in 2024.</w:t>
      </w:r>
    </w:p>
    <w:p>
      <w:pPr>
        <w:spacing w:after="0" w:line="5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resulted in a net benefit of $2.6 million in 2025 compared to a net benefit of $0.1 million in</w:t>
      </w:r>
    </w:p>
    <w:p>
      <w:pPr>
        <w:spacing w:after="0" w:line="2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due to a favorable current cost adjustment associated with higher metal prices ($9.3 million benefit in 2025 and $1.3 million benefit in 2024), partially offset by a corresponding increase in the LIFO reserve, which resulted in a charge of $6.7 million in 2025 versus a charge of $1.2 million in 2024.</w:t>
      </w:r>
    </w:p>
    <w:p>
      <w:pPr>
        <w:spacing w:after="0" w:line="50"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primarily associated with wage increases and compensation-related costs ($2.9 million), higher maintenance and utilities expenses ($1.5 million) and added resources to support increasing volume ($1.2 million).</w:t>
      </w:r>
    </w:p>
    <w:p>
      <w:pPr>
        <w:spacing w:after="0" w:line="4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SG&amp;A expenses primarily due to employee-related compensation ($3.2 million), employee training and onboarding expense ($0.5 million) and routine environmental compliance expense ($0.3 million).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 w:name="page19"/>
    <w:bookmarkEnd w:id="18"/>
    <w:p>
      <w:pPr>
        <w:ind w:left="660" w:right="80" w:hanging="328"/>
        <w:spacing w:after="0" w:line="306" w:lineRule="auto"/>
        <w:tabs>
          <w:tab w:leader="none" w:pos="65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other expense for employee-related medical costs caused by an increase in the number of high-cost medical claims versus favorable experience in recent years ($1.1 million). The Company is self-insured for medical claims with stop loss coverage for claims of over $0.3 million.</w:t>
      </w:r>
    </w:p>
    <w:p>
      <w:pPr>
        <w:spacing w:after="0" w:line="1" w:lineRule="exact"/>
        <w:rPr>
          <w:sz w:val="20"/>
          <w:szCs w:val="20"/>
          <w:color w:val="auto"/>
        </w:rPr>
      </w:pPr>
    </w:p>
    <w:p>
      <w:pPr>
        <w:ind w:right="20" w:firstLine="405"/>
        <w:spacing w:after="0" w:line="211" w:lineRule="exact"/>
        <w:rPr>
          <w:sz w:val="20"/>
          <w:szCs w:val="20"/>
          <w:color w:val="auto"/>
        </w:rPr>
      </w:pPr>
      <w:r>
        <w:rPr>
          <w:rFonts w:ascii="Times New Roman" w:cs="Times New Roman" w:eastAsia="Times New Roman" w:hAnsi="Times New Roman"/>
          <w:sz w:val="18"/>
          <w:szCs w:val="18"/>
          <w:color w:val="auto"/>
        </w:rPr>
        <w:t>Given recent increased geopolitical tensions in the Middle East, Aluminum Extrusions is monitoring potential implications for the availability of certain aluminum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raw materials in 2026 and evaluating whether diversifying its sourcing may be warranted. Aluminum Extrusions maintains robust supply agreements that support the continuity of aluminum and other key cost components. See discussion of quantitative and qualitative disclosures about market risk in Item 7A in this Form 10-K for additional information on aluminum price trends.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79"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Capital expenditures for Bonnell Aluminum are projected to be $20 million in 2026, including $7 million for productivity projects and $13 million for capital expenditures required to support continuity of operations. Depreciation expense is projected to be $14 million in 2026. Amortization expense is projected to be $2 million in 2026. The Company anticipates capital spending to increase from the levels of the past two years and return to a pattern more closely aligned with depreciation and amortization, consistent with long-term historical patterns. This approach supports ongoing maintenance and efficiency initiatives while maintaining disciplined capital allocation.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 Performance Films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results for High Performance Films is provided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5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Year Ended</w:t>
            </w:r>
          </w:p>
        </w:tc>
        <w:tc>
          <w:tcPr>
            <w:tcW w:w="14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Favorable/</w:t>
            </w:r>
          </w:p>
        </w:tc>
      </w:tr>
      <w:tr>
        <w:trPr>
          <w:trHeight w:val="234"/>
        </w:trPr>
        <w:tc>
          <w:tcPr>
            <w:tcW w:w="7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December 31,</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(Unfavorable)</w:t>
            </w:r>
          </w:p>
        </w:tc>
      </w:tr>
      <w:tr>
        <w:trPr>
          <w:trHeight w:val="27"/>
        </w:trPr>
        <w:tc>
          <w:tcPr>
            <w:tcW w:w="7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volume (lbs)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38,328</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39,324</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99,756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105,199</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(5.2)%</w:t>
            </w:r>
          </w:p>
        </w:tc>
      </w:tr>
      <w:tr>
        <w:trPr>
          <w:trHeight w:val="229"/>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46,596</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50,289</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7.3%</w:t>
            </w: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NM*</w:t>
            </w:r>
          </w:p>
        </w:tc>
      </w:tr>
      <w:tr>
        <w:trPr>
          <w:trHeight w:val="230"/>
        </w:trPr>
        <w:tc>
          <w:tcPr>
            <w:tcW w:w="75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14,134</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(6.7)%</w:t>
            </w:r>
          </w:p>
        </w:tc>
      </w:tr>
      <w:tr>
        <w:trPr>
          <w:trHeight w:val="229"/>
        </w:trPr>
        <w:tc>
          <w:tcPr>
            <w:tcW w:w="75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14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(3.3)%</w:t>
            </w:r>
          </w:p>
        </w:tc>
      </w:tr>
      <w:tr>
        <w:trPr>
          <w:trHeight w:val="230"/>
        </w:trPr>
        <w:tc>
          <w:tcPr>
            <w:tcW w:w="752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43.8%</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27,137</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14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(11.0)%</w:t>
            </w:r>
          </w:p>
        </w:tc>
      </w:tr>
      <w:tr>
        <w:trPr>
          <w:trHeight w:val="230"/>
        </w:trPr>
        <w:tc>
          <w:tcPr>
            <w:tcW w:w="75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5.9%</w:t>
            </w:r>
          </w:p>
        </w:tc>
      </w:tr>
      <w:tr>
        <w:trPr>
          <w:trHeight w:val="230"/>
        </w:trPr>
        <w:tc>
          <w:tcPr>
            <w:tcW w:w="752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EBIT from ongoing operations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22,242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25,286</w:t>
            </w:r>
          </w:p>
        </w:tc>
        <w:tc>
          <w:tcPr>
            <w:tcW w:w="14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7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1,849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480" w:type="dxa"/>
            <w:vAlign w:val="bottom"/>
            <w:tcBorders>
              <w:bottom w:val="single" w:sz="8" w:color="auto"/>
            </w:tcBorders>
            <w:shd w:val="clear" w:color="auto" w:fill="CCEEFF"/>
          </w:tcPr>
          <w:p>
            <w:pPr>
              <w:spacing w:after="0"/>
              <w:rPr>
                <w:sz w:val="19"/>
                <w:szCs w:val="19"/>
                <w:color w:val="auto"/>
              </w:rPr>
            </w:pPr>
          </w:p>
        </w:tc>
      </w:tr>
    </w:tbl>
    <w:p>
      <w:pPr>
        <w:ind w:left="180" w:hanging="154"/>
        <w:spacing w:after="0" w:line="234" w:lineRule="auto"/>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related depreciation and amortization</w:t>
      </w:r>
    </w:p>
    <w:p>
      <w:pPr>
        <w:ind w:left="180" w:hanging="154"/>
        <w:spacing w:after="0" w:line="211" w:lineRule="auto"/>
        <w:tabs>
          <w:tab w:leader="none" w:pos="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segment allocated employee compensation benefit expenses</w:t>
      </w:r>
    </w:p>
    <w:p>
      <w:pPr>
        <w:ind w:left="20" w:right="2800" w:firstLine="6"/>
        <w:spacing w:after="0" w:line="231" w:lineRule="auto"/>
        <w:tabs>
          <w:tab w:leader="none" w:pos="182"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reconciliation below of this non-GAAP measure to the most comparable measure calculated in accordance with GAAP. *Not meaningful (“NM”)</w:t>
      </w:r>
    </w:p>
    <w:p>
      <w:pPr>
        <w:spacing w:after="0" w:line="163"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Net sales in 2025 decreased 5.2% versus 2024 due to a decrease of 4% in sales volume in 2025 for surface protection films versus 2024. Advanced packaging films volume decreased 1%.</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EBITDA from ongoing operations in 2025 decreased $3.3 million versus 2024 primarily due to:</w:t>
      </w:r>
    </w:p>
    <w:p>
      <w:pPr>
        <w:spacing w:after="0" w:line="104"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contribution margin of $1.8 million resulting from:</w:t>
      </w:r>
    </w:p>
    <w:p>
      <w:pPr>
        <w:spacing w:after="0" w:line="90"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2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million decrease from Surface Protection associated with lower volume, unfavorable mix and favorable pricing ($4.5 million), partially offset by variable cost savings and operating efficiencies ($3.1 million) and the pass-through lag associated with resin costs (a charge of $0.2 million in 2025 versus a charge of $0.7 in 2024); and</w:t>
      </w:r>
    </w:p>
    <w:p>
      <w:pPr>
        <w:spacing w:after="0" w:line="54" w:lineRule="exact"/>
        <w:rPr>
          <w:rFonts w:ascii="Times New Roman" w:cs="Times New Roman" w:eastAsia="Times New Roman" w:hAnsi="Times New Roman"/>
          <w:sz w:val="18"/>
          <w:szCs w:val="18"/>
          <w:color w:val="auto"/>
        </w:rPr>
      </w:pPr>
    </w:p>
    <w:p>
      <w:pPr>
        <w:ind w:left="1300" w:hanging="320"/>
        <w:spacing w:after="0" w:line="266" w:lineRule="auto"/>
        <w:tabs>
          <w:tab w:leader="none" w:pos="129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$0.8 million decrease from advanced packaging films associated with lower volume, unfavorable shift in sales mix and unfavorable pricing ($1.0 million) and unfavorable operating efficiencies ($0.5 million), partially offset by variable cost savings ($0.5 million) and the pass-through lag associated with resin costs (a charge of $0.1 million in 2025 versus a charge of $0.3 million in 2024).</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accounted for under the LIFO method that resulted in a charge of $0.2 million in 2025 versus a benefit of $0.2 million in 2024.</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primarily associated with wage increases and compensation-related costs ($0.9 million).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SG&amp;A of $0.2 million primarily due to lower administrative costs.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transaction loss of $0.3 million in 2025 versus a gain of $0.3 million in 2024.</w:t>
      </w:r>
    </w:p>
    <w:p>
      <w:pPr>
        <w:spacing w:after="0" w:line="90"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See discussion of quantitative and qualitative disclosures about market risk in Item 7A in this Form 10-K for additional information on resin price trends.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Projected Capital Expenditures and Depreciation &amp; Amortization</w:t>
      </w:r>
    </w:p>
    <w:p>
      <w:pPr>
        <w:spacing w:after="0" w:line="106"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Capital expenditures for High Performance Films are projected to be $3 million in 2026, including $1 million for productivity projects and $2 million for capital expenditures required to support continuity of current operations. Depreciation expense is projected to be $4 million in 2026. There is no amortization expense for High Performance Films.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Expenses and Interest</w:t>
      </w:r>
    </w:p>
    <w:p>
      <w:pPr>
        <w:spacing w:after="0" w:line="108" w:lineRule="exact"/>
        <w:rPr>
          <w:sz w:val="20"/>
          <w:szCs w:val="20"/>
          <w:color w:val="auto"/>
        </w:rPr>
      </w:pPr>
    </w:p>
    <w:p>
      <w:pPr>
        <w:ind w:right="380" w:firstLine="405"/>
        <w:spacing w:after="0" w:line="256" w:lineRule="auto"/>
        <w:rPr>
          <w:sz w:val="20"/>
          <w:szCs w:val="20"/>
          <w:color w:val="auto"/>
        </w:rPr>
      </w:pPr>
      <w:r>
        <w:rPr>
          <w:rFonts w:ascii="Times New Roman" w:cs="Times New Roman" w:eastAsia="Times New Roman" w:hAnsi="Times New Roman"/>
          <w:sz w:val="18"/>
          <w:szCs w:val="18"/>
          <w:color w:val="auto"/>
        </w:rPr>
        <w:t>Corporate expenses, net in 2025 increased by $0.9 million compared to 2024, primarily due to higher professional fees associated with business development activities ($5.9 million) and higher stock based compensation ($0.5 million), partially offset by lower employee-related incentive compensation ($2.1 million), a gain on the sale of corporate owned land ($1.5 million), lower internal and external audit fees ($0.9 million), lower professional fees associated with remediation activities related to internal control over financial reporting ($0.3 million) and lower professional fees associated with the transition to the ABL Facility (as defined below) ($0.2 million). The Company does not expect significant expenses from business development activities in 2026.</w:t>
      </w:r>
    </w:p>
    <w:p>
      <w:pPr>
        <w:spacing w:after="0" w:line="66"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Interest expense was $4.0 million in 2025 in comparison to $4.7 million in 2024, primarily due to lower weighted average total debt outstanding and lower interest rates, partially offset by the write-off of deferred financing fees related to the May 2025 amendment to the ABL Facility of $0.8 million.</w:t>
      </w: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Net Sales and EBITDA from Ongoing Operations by Segment</w:t>
      </w:r>
    </w:p>
    <w:p>
      <w:pPr>
        <w:spacing w:after="0" w:line="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 reconciliation of segment financial information to consolidated results for the Company for the years ended December 31, 2025, 2024 and 2023 is shown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4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5"/>
              </w:rPr>
              <w:t>Year Ended</w:t>
            </w:r>
          </w:p>
        </w:tc>
        <w:tc>
          <w:tcPr>
            <w:tcW w:w="3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r>
      <w:tr>
        <w:trPr>
          <w:trHeight w:val="234"/>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December 31,</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598,975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471,815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474,803</w:t>
            </w:r>
          </w:p>
        </w:tc>
      </w:tr>
      <w:tr>
        <w:trPr>
          <w:trHeight w:val="229"/>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99,756</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105,199</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76,763</w:t>
            </w:r>
          </w:p>
        </w:tc>
      </w:tr>
      <w:tr>
        <w:trPr>
          <w:trHeight w:val="223"/>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698,731</w:t>
            </w:r>
          </w:p>
        </w:tc>
        <w:tc>
          <w:tcPr>
            <w:tcW w:w="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577,014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551,566</w:t>
            </w:r>
          </w:p>
        </w:tc>
      </w:tr>
      <w:tr>
        <w:trPr>
          <w:trHeight w:val="229"/>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24,133</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r>
      <w:tr>
        <w:trPr>
          <w:trHeight w:val="230"/>
        </w:trPr>
        <w:tc>
          <w:tcPr>
            <w:tcW w:w="7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 as shown in the condensed consolidated statements of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722,864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598,025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573,323</w:t>
            </w:r>
          </w:p>
        </w:tc>
      </w:tr>
      <w:tr>
        <w:trPr>
          <w:trHeight w:val="94"/>
        </w:trPr>
        <w:tc>
          <w:tcPr>
            <w:tcW w:w="74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from Ongoing Operations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4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50,958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41,357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r>
      <w:tr>
        <w:trPr>
          <w:trHeight w:val="229"/>
        </w:trPr>
        <w:tc>
          <w:tcPr>
            <w:tcW w:w="742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(16,640)</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(17,927)</w:t>
            </w:r>
          </w:p>
        </w:tc>
      </w:tr>
      <w:tr>
        <w:trPr>
          <w:trHeight w:val="223"/>
        </w:trPr>
        <w:tc>
          <w:tcPr>
            <w:tcW w:w="74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34,318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23,635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20,049</w:t>
            </w:r>
          </w:p>
        </w:tc>
      </w:tr>
      <w:tr>
        <w:trPr>
          <w:trHeight w:val="229"/>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(2,803)</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Ongoing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27,137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11,217</w:t>
            </w:r>
          </w:p>
        </w:tc>
      </w:tr>
      <w:tr>
        <w:trPr>
          <w:trHeight w:val="230"/>
        </w:trPr>
        <w:tc>
          <w:tcPr>
            <w:tcW w:w="74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(4,895)</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r>
      <w:tr>
        <w:trPr>
          <w:trHeight w:val="223"/>
        </w:trPr>
        <w:tc>
          <w:tcPr>
            <w:tcW w:w="7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EBIT</w:t>
            </w:r>
          </w:p>
        </w:tc>
        <w:tc>
          <w:tcPr>
            <w:tcW w:w="2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22,242</w:t>
            </w:r>
          </w:p>
        </w:tc>
        <w:tc>
          <w:tcPr>
            <w:tcW w:w="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25,286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30"/>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Plant shutdowns, asset impairments, restructurings and other</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w:t>
            </w:r>
          </w:p>
        </w:tc>
      </w:tr>
      <w:tr>
        <w:trPr>
          <w:trHeight w:val="230"/>
        </w:trPr>
        <w:tc>
          <w:tcPr>
            <w:tcW w:w="7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w:t>
            </w:r>
          </w:p>
        </w:tc>
      </w:tr>
      <w:tr>
        <w:trPr>
          <w:trHeight w:val="223"/>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53,770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29,884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(18,676)</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4,003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4,664</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option-based compensation costs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OPEB termination gain</w:t>
            </w:r>
          </w:p>
        </w:tc>
        <w:tc>
          <w:tcPr>
            <w:tcW w:w="260" w:type="dxa"/>
            <w:vAlign w:val="bottom"/>
          </w:tcPr>
          <w:p>
            <w:pPr>
              <w:spacing w:after="0"/>
              <w:rPr>
                <w:sz w:val="19"/>
                <w:szCs w:val="19"/>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6,265</w:t>
            </w:r>
          </w:p>
        </w:tc>
        <w:tc>
          <w:tcPr>
            <w:tcW w:w="2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 loss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92,291</w:t>
            </w:r>
          </w:p>
        </w:tc>
      </w:tr>
      <w:tr>
        <w:trPr>
          <w:trHeight w:val="229"/>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25,399</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24,520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33,727</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30,669</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(150,465)</w:t>
            </w:r>
          </w:p>
        </w:tc>
      </w:tr>
      <w:tr>
        <w:trPr>
          <w:trHeight w:val="230"/>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6,584</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(51,300)</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24,085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(99,165)</w:t>
            </w:r>
          </w:p>
        </w:tc>
      </w:tr>
      <w:tr>
        <w:trPr>
          <w:trHeight w:val="230"/>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9,391</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33,476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(105,905)</w:t>
            </w:r>
          </w:p>
        </w:tc>
      </w:tr>
    </w:tbl>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 Resources</w:t>
      </w:r>
    </w:p>
    <w:p>
      <w:pPr>
        <w:spacing w:after="0" w:line="108"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The Company continues to focus on working capital management. Measures such as days sales outstanding (“DSO”), days inventory outstanding (“DIO”) and days payables outstanding (“DPO”) are used to evaluate changes in working capital. Changes in operating assets and liabilities from December 31, 2024 to December 31, 2025 are summarized below. Cash flows for discontinued operations have not been separately disclosed in the consolidated statements of cash flows.</w:t>
      </w:r>
    </w:p>
    <w:p>
      <w:pPr>
        <w:spacing w:after="0" w:line="58" w:lineRule="exact"/>
        <w:rPr>
          <w:sz w:val="20"/>
          <w:szCs w:val="20"/>
          <w:color w:val="auto"/>
        </w:rPr>
      </w:pPr>
    </w:p>
    <w:p>
      <w:pPr>
        <w:ind w:left="400" w:hanging="392"/>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increased $17.0 million or 26.2%.</w:t>
      </w:r>
    </w:p>
    <w:p>
      <w:pPr>
        <w:spacing w:after="0" w:line="90" w:lineRule="exact"/>
        <w:rPr>
          <w:rFonts w:ascii="Times New Roman" w:cs="Times New Roman" w:eastAsia="Times New Roman" w:hAnsi="Times New Roman"/>
          <w:sz w:val="18"/>
          <w:szCs w:val="18"/>
          <w:color w:val="auto"/>
        </w:rPr>
      </w:pPr>
    </w:p>
    <w:p>
      <w:pPr>
        <w:ind w:left="740" w:right="260" w:hanging="327"/>
        <w:spacing w:after="0" w:line="282" w:lineRule="auto"/>
        <w:tabs>
          <w:tab w:leader="none" w:pos="7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Aluminum Extrusions increased $17.3 million primarily due to higher sales volume and the pass-through of higher metal costs. DSO (computed using trailing 12 months net sales and a rolling 12-</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21" w:name="page22"/>
    <w:bookmarkEnd w:id="21"/>
    <w:p>
      <w:pPr>
        <w:ind w:left="740"/>
        <w:spacing w:after="0"/>
        <w:rPr>
          <w:sz w:val="20"/>
          <w:szCs w:val="20"/>
          <w:color w:val="auto"/>
        </w:rPr>
      </w:pPr>
      <w:r>
        <w:rPr>
          <w:rFonts w:ascii="Times New Roman" w:cs="Times New Roman" w:eastAsia="Times New Roman" w:hAnsi="Times New Roman"/>
          <w:sz w:val="18"/>
          <w:szCs w:val="18"/>
          <w:color w:val="auto"/>
        </w:rPr>
        <w:t>month average of accounts and other receivables balances) was approximately 44.8 days in 2025 and 44.7 days in 2024.</w:t>
      </w:r>
    </w:p>
    <w:p>
      <w:pPr>
        <w:spacing w:after="0" w:line="90" w:lineRule="exact"/>
        <w:rPr>
          <w:sz w:val="20"/>
          <w:szCs w:val="20"/>
          <w:color w:val="auto"/>
        </w:rPr>
      </w:pPr>
    </w:p>
    <w:p>
      <w:pPr>
        <w:ind w:left="740" w:right="380" w:hanging="327"/>
        <w:spacing w:after="0" w:line="282"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and other receivables in High Performance Films decreased $0.1 million primarily due to lower sales volume in surface protection films. DSO was approximately 25.4 days in 2025 and 24.9 days in 2024.</w:t>
      </w:r>
    </w:p>
    <w:p>
      <w:pPr>
        <w:spacing w:after="0" w:line="40"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increased $13.6 million or 26.4%.</w:t>
      </w:r>
    </w:p>
    <w:p>
      <w:pPr>
        <w:spacing w:after="0" w:line="103" w:lineRule="exact"/>
        <w:rPr>
          <w:rFonts w:ascii="Times New Roman" w:cs="Times New Roman" w:eastAsia="Times New Roman" w:hAnsi="Times New Roman"/>
          <w:sz w:val="18"/>
          <w:szCs w:val="18"/>
          <w:color w:val="auto"/>
        </w:rPr>
      </w:pPr>
    </w:p>
    <w:p>
      <w:pPr>
        <w:ind w:left="740" w:right="160" w:hanging="327"/>
        <w:spacing w:after="0" w:line="266"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Aluminum Extrusions increased $12.7 million primarily due to the timing of raw material purchases and higher metal costs. DIO (computed using trailing 12 months costs of goods sold calculated on a FIFO basis and a rolling 12-month average of inventory balances calculated on the FIFO basis) was approximately 48.8 days in 2025 and 47.4 days in 2024.</w:t>
      </w:r>
    </w:p>
    <w:p>
      <w:pPr>
        <w:spacing w:after="0" w:line="40" w:lineRule="exact"/>
        <w:rPr>
          <w:rFonts w:ascii="Times New Roman" w:cs="Times New Roman" w:eastAsia="Times New Roman" w:hAnsi="Times New Roman"/>
          <w:sz w:val="18"/>
          <w:szCs w:val="18"/>
          <w:color w:val="auto"/>
        </w:rPr>
      </w:pPr>
    </w:p>
    <w:p>
      <w:pPr>
        <w:ind w:left="740" w:right="100" w:hanging="327"/>
        <w:spacing w:after="0" w:line="282"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in High Performance Films increased $0.9 million due to higher raw materials and finished goods. The DIO was approximately 54.6 days in 2025 and 50.3 days in 2024.</w:t>
      </w:r>
    </w:p>
    <w:p>
      <w:pPr>
        <w:spacing w:after="0" w:line="40" w:lineRule="exact"/>
        <w:rPr>
          <w:rFonts w:ascii="Times New Roman" w:cs="Times New Roman" w:eastAsia="Times New Roman" w:hAnsi="Times New Roman"/>
          <w:sz w:val="18"/>
          <w:szCs w:val="18"/>
          <w:color w:val="auto"/>
        </w:rPr>
      </w:pPr>
    </w:p>
    <w:p>
      <w:pPr>
        <w:ind w:left="260" w:right="160" w:hanging="252"/>
        <w:spacing w:after="0" w:line="28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property, plant and equipment decreased by $4.1 million or 3.0% primarily due to depreciation expense ($20.0 million) and production equipment impairment ($0.8 million), partially offset by capital expenditures ($17.1 million).</w:t>
      </w:r>
    </w:p>
    <w:p>
      <w:pPr>
        <w:spacing w:after="0" w:line="40"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Identifiable intangible assets, net decreased by $1.8 million or 24.0% primarily due to amortization expense.</w:t>
      </w:r>
    </w:p>
    <w:p>
      <w:pPr>
        <w:spacing w:after="0" w:line="90" w:lineRule="exact"/>
        <w:rPr>
          <w:rFonts w:ascii="Times New Roman" w:cs="Times New Roman" w:eastAsia="Times New Roman" w:hAnsi="Times New Roman"/>
          <w:sz w:val="18"/>
          <w:szCs w:val="18"/>
          <w:color w:val="auto"/>
        </w:rPr>
      </w:pPr>
    </w:p>
    <w:p>
      <w:pPr>
        <w:ind w:left="260" w:right="40" w:hanging="252"/>
        <w:spacing w:after="0" w:line="289" w:lineRule="auto"/>
        <w:tabs>
          <w:tab w:leader="none" w:pos="25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income tax assets, net decreased $6.2 million or 18.9% primarily due to a decrease in tax credit carryforwards and a decrease in deferred tax assets related to divestitures and employee benefits. The decrease in these deferred tax assets was partially offset by a decrease in deferred tax liabilities related to property, plant and equipment. See Note 11 “Income Taxes” to the Consolidated Financial Statements in Item 15 for additional information.</w:t>
      </w:r>
    </w:p>
    <w:p>
      <w:pPr>
        <w:spacing w:after="0" w:line="36"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increased by $11.1 million or 17.1%.</w:t>
      </w:r>
    </w:p>
    <w:p>
      <w:pPr>
        <w:spacing w:after="0" w:line="103" w:lineRule="exact"/>
        <w:rPr>
          <w:rFonts w:ascii="Times New Roman" w:cs="Times New Roman" w:eastAsia="Times New Roman" w:hAnsi="Times New Roman"/>
          <w:sz w:val="18"/>
          <w:szCs w:val="18"/>
          <w:color w:val="auto"/>
        </w:rPr>
      </w:pPr>
    </w:p>
    <w:p>
      <w:pPr>
        <w:ind w:left="740" w:right="20" w:hanging="327"/>
        <w:spacing w:after="0" w:line="266"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Aluminum Extrusions increased $12.0 million, primarily due to the timing of payments and higher metal costs. DPO (computed using trailing 12 months costs of goods sold calculated on a FIFO basis and a rolling 12-month average of accounts payable balances) was approximately 46.6 days in 2025 and 44.5 days in 2024.</w:t>
      </w:r>
    </w:p>
    <w:p>
      <w:pPr>
        <w:spacing w:after="0" w:line="40" w:lineRule="exact"/>
        <w:rPr>
          <w:rFonts w:ascii="Times New Roman" w:cs="Times New Roman" w:eastAsia="Times New Roman" w:hAnsi="Times New Roman"/>
          <w:sz w:val="18"/>
          <w:szCs w:val="18"/>
          <w:color w:val="auto"/>
        </w:rPr>
      </w:pPr>
    </w:p>
    <w:p>
      <w:pPr>
        <w:ind w:left="740" w:right="20" w:hanging="327"/>
        <w:spacing w:after="0" w:line="282" w:lineRule="auto"/>
        <w:tabs>
          <w:tab w:leader="none" w:pos="73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in High Performance Films decreased $1.2 million, primarily due to the timing of payments. The DPO was approximately 40.6 days in 2025 and 41.3 days in 2024.</w:t>
      </w:r>
    </w:p>
    <w:p>
      <w:pPr>
        <w:spacing w:after="0" w:line="40"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$33.0 million in 2025 compared to net cash provided by operating activities of $25.5 million in 2024. The change in operating activities is primarily due to an increase in EBITDA from ongoing operations of the Company’s continuing business segments, partially offset by higher working capital.</w:t>
      </w:r>
    </w:p>
    <w:p>
      <w:pPr>
        <w:spacing w:after="0" w:line="54"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$5.5 million in 2025 compared to net cash provided by investing activities of $40.5 million in 2024. The change in investing activities is primarily due to lower net cash proceeds received for the sale of Terphane ($44.8 million) and higher capital expenditures ($2.9 million), partially offset by higher proceeds from the sale of assets ($1.9 million).</w:t>
      </w:r>
    </w:p>
    <w:p>
      <w:pPr>
        <w:spacing w:after="0" w:line="4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$28.2 million in 2025 compared to net cash used in financing activities of $65.0 million in 2024. The change in financing activities is primarily due to lower debt principal payments, net of borrowings ($37.5 million) under the ABL Facility, partially offset by higher debt financing fees ($0.7 million).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December 31, 2025, Tredegar had cash and cash equivalents of $6.7 million, including funds held in locations outside the U.S. of $1.9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Agreements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ABL Facility</w:t>
      </w:r>
    </w:p>
    <w:p>
      <w:pPr>
        <w:spacing w:after="0" w:line="10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May 2025, the Company entered into Amendment No. 5 (“Amendment No. 5”) to the Second Amended and Restated Credit Agreement (the "ABL Facility"), which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Amendment No. 5 extended the maturity date of the ABL Facility to May 6, 2030. As of December 31, 2025, funds available to borrow under the ABL Facility was $87.5 million, or 70.0% of the aggregate commitment of $125 million. During 2025, the Company's letters of credit have been reduced from approximately $12 million to $3 million, which directly increases the Company's borrowing availability.</w:t>
      </w:r>
    </w:p>
    <w:p>
      <w:pPr>
        <w:spacing w:after="0" w:line="57"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the greater of (x) 10% of the Line Cap (as defined in the ABL Facility) and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2" w:name="page23"/>
    <w:bookmarkEnd w:id="22"/>
    <w:p>
      <w:pPr>
        <w:ind w:right="120" w:firstLine="8"/>
        <w:spacing w:after="0" w:line="282"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and will continue until availability is equal to or greater than the greater of (x) 10% of the Line Cap and (y) $10 million for 30 consecutive days, as long as no events of default are continuing.</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computation of Credit EBITDA and fixed charge coverage ratio, as defined in the ABL Facility,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Computations of Credit EBITDA (as defined in the ABL Facility) as of and for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Twelve Months Ended December 31, 2025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Computations of Credit EBITDA for the twelve months ended December 31, 2025 (in thousands):</w:t>
            </w:r>
          </w:p>
        </w:tc>
        <w:tc>
          <w:tcPr>
            <w:tcW w:w="6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30"/>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33,476</w:t>
            </w:r>
          </w:p>
        </w:tc>
      </w:tr>
      <w:tr>
        <w:trPr>
          <w:trHeight w:val="229"/>
        </w:trPr>
        <w:tc>
          <w:tcPr>
            <w:tcW w:w="9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Plus:</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After-tax losses related to discontinued operations</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income tax expense for continuing operations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 for continuing operations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21,729</w:t>
            </w:r>
          </w:p>
        </w:tc>
      </w:tr>
      <w:tr>
        <w:trPr>
          <w:trHeight w:val="176"/>
        </w:trPr>
        <w:tc>
          <w:tcPr>
            <w:tcW w:w="95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losses and expenses, plus cash losses and expenses not to exceed $10,000, for continuing operations that are</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4"/>
        </w:trPr>
        <w:tc>
          <w:tcPr>
            <w:tcW w:w="9580" w:type="dxa"/>
            <w:vAlign w:val="bottom"/>
            <w:shd w:val="clear" w:color="auto" w:fill="CCEEFF"/>
          </w:tcPr>
          <w:p>
            <w:pPr>
              <w:ind w:left="680"/>
              <w:spacing w:after="0" w:line="184" w:lineRule="exact"/>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 (cash-</w:t>
            </w: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4"/>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related of $8,913)</w:t>
            </w: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9,756</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Charges related to stock option grants and awards accounted for under the fair value-based method</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Losses related to the application of the equity method of accounting</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Losses related to adjustments in the estimated fair value of assets accounted for under the fair value method of accounting</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3 “ABL Transition”)</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29"/>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Fees, costs and expenses incurred in connection with the amendment process (Amendment No. 5)</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Minus:</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After-tax income related to discontinued operations</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(9,391)</w:t>
            </w:r>
          </w:p>
        </w:tc>
      </w:tr>
      <w:tr>
        <w:trPr>
          <w:trHeight w:val="229"/>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income tax benefits for continuing operations</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9580" w:type="dxa"/>
            <w:vAlign w:val="bottom"/>
            <w:shd w:val="clear" w:color="auto" w:fill="CCEEFF"/>
          </w:tcPr>
          <w:p>
            <w:pPr>
              <w:ind w:left="680"/>
              <w:spacing w:after="0" w:line="176" w:lineRule="exact"/>
              <w:rPr>
                <w:sz w:val="20"/>
                <w:szCs w:val="20"/>
                <w:color w:val="auto"/>
              </w:rPr>
            </w:pPr>
            <w:r>
              <w:rPr>
                <w:rFonts w:ascii="Times New Roman" w:cs="Times New Roman" w:eastAsia="Times New Roman" w:hAnsi="Times New Roman"/>
                <w:sz w:val="18"/>
                <w:szCs w:val="18"/>
                <w:color w:val="auto"/>
              </w:rPr>
              <w:t>All non-cash gains and income, plus cash gains and income in excess of $10,000, for continuing operations that are</w:t>
            </w:r>
          </w:p>
        </w:tc>
        <w:tc>
          <w:tcPr>
            <w:tcW w:w="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3"/>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classified as unusual, extraordinary or which are related to plant shutdowns, asset impairments and/or restructurings</w:t>
            </w:r>
          </w:p>
        </w:tc>
        <w:tc>
          <w:tcPr>
            <w:tcW w:w="6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changes in estimates for stock option grants and awards accounted for under the fair value-based method</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related to the application of the equity method of accounting</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related to adjustments in the estimated fair value of assets accounted for under the fair value method of accounting</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5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Plus or minus, as applicable, pro forma EBITDA adjustments associated with acquisitions and asset dispositions</w:t>
            </w: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Credit EBITDA</w:t>
            </w:r>
          </w:p>
        </w:tc>
        <w:tc>
          <w:tcPr>
            <w:tcW w:w="6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60,146</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EBITDA</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60,146</w:t>
            </w:r>
          </w:p>
        </w:tc>
      </w:tr>
      <w:tr>
        <w:trPr>
          <w:trHeight w:val="230"/>
        </w:trPr>
        <w:tc>
          <w:tcPr>
            <w:tcW w:w="9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Unfinanced capital expenditures</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w:t>
            </w:r>
          </w:p>
        </w:tc>
      </w:tr>
      <w:tr>
        <w:trPr>
          <w:trHeight w:val="229"/>
        </w:trPr>
        <w:tc>
          <w:tcPr>
            <w:tcW w:w="9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charges</w:t>
            </w:r>
          </w:p>
        </w:tc>
        <w:tc>
          <w:tcPr>
            <w:tcW w:w="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30"/>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bl>
    <w:p>
      <w:pPr>
        <w:ind w:left="260" w:right="80" w:hanging="234"/>
        <w:spacing w:after="0" w:line="222" w:lineRule="auto"/>
        <w:tabs>
          <w:tab w:leader="none" w:pos="2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EBITDA is not intended to represent net income (loss) or cash flow from operations as defined by GAAP and should not be considered as an alternative to either net income (loss) or to cash flow.</w:t>
      </w:r>
    </w:p>
    <w:p>
      <w:pPr>
        <w:spacing w:after="0" w:line="1" w:lineRule="exact"/>
        <w:rPr>
          <w:sz w:val="20"/>
          <w:szCs w:val="20"/>
          <w:color w:val="auto"/>
        </w:rPr>
      </w:pPr>
    </w:p>
    <w:p>
      <w:pPr>
        <w:ind w:left="220" w:hanging="194"/>
        <w:spacing w:after="0"/>
        <w:tabs>
          <w:tab w:leader="none" w:pos="2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Fixed Charge Coverage Ratio is computed as the ratio of (a) Credit EBITDA minus Unfinanced Capital Expenditures to (b) Fixed Charges.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95"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High Performance Films Guangzhou Loan</w:t>
      </w:r>
    </w:p>
    <w:p>
      <w:pPr>
        <w:spacing w:after="0" w:line="92" w:lineRule="exact"/>
        <w:rPr>
          <w:sz w:val="20"/>
          <w:szCs w:val="20"/>
          <w:color w:val="auto"/>
        </w:rPr>
      </w:pPr>
    </w:p>
    <w:p>
      <w:pPr>
        <w:ind w:left="80" w:firstLine="405"/>
        <w:spacing w:after="0" w:line="256" w:lineRule="auto"/>
        <w:rPr>
          <w:sz w:val="20"/>
          <w:szCs w:val="20"/>
          <w:color w:val="auto"/>
        </w:rPr>
      </w:pPr>
      <w:r>
        <w:rPr>
          <w:rFonts w:ascii="Times New Roman" w:cs="Times New Roman" w:eastAsia="Times New Roman" w:hAnsi="Times New Roman"/>
          <w:sz w:val="18"/>
          <w:szCs w:val="18"/>
          <w:color w:val="auto"/>
        </w:rPr>
        <w:t>In October 2025, High Performance Films' business location in Guangzhou, China, Guangzhou Tredegar Film Products Co., Ltd. (“Guangzhou Tredegar”), entered into a 3.5 million Chinese Yuan, which is equivalent to $0.5 million as of December 31, 2025, unsecured revolving loan with the Industrial and Commercial Bank of China. The loan matures on October 20, 2026. The interest rate is the one-year loan prime rate published by the National Interbank Funding Center for the working day immediately preceding the drawdown date, minus 0.55%. As of December 31, 2025, the National Interbank Funding Center rate was 3.00%. The financial covenants require that the total amount of Guangzhou Tredegar’s current liabilities cannot exceed 50% of the total amount of current assets and the short-term financing amount cannot exceed 50% of Guangzhou Tredegar’s total sales.</w:t>
      </w:r>
    </w:p>
    <w:p>
      <w:pPr>
        <w:spacing w:after="0" w:line="6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In June 2024, Guangzhou Tredegar entered into a 9.5 million Chinese Yuan revolving loan with the Industrial and Commercial Bank of China. This loan matured on July 3, 2025. The interest rate was the one year loan prime rate published by the National Interbank Funding Center for the working day immediately preceding the drawdown date, minus 0.45%. As of December 31, 2025, there was no outstanding loan balance. The revolving loan was secured by a mortgage contract listing the Guangzhou Tredegar factory building as collateral. The mortgage was cancelled during the fourth quarter of 2025.</w:t>
      </w:r>
    </w:p>
    <w:p>
      <w:pPr>
        <w:spacing w:after="0" w:line="62"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Each Guangzhou Tredegar loan, as applicable, was presented as current debt on the consolidated balance sheet for the years ended December 31, 2025 and 2024.</w:t>
      </w:r>
    </w:p>
    <w:p>
      <w:pPr>
        <w:spacing w:after="0" w:line="27"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For more information on the ABL Facility and the High Performance Films Guangzhou Loan, see Note 7 “Debt and Credit Agreements” to the consolidated Financial Statements in Item 15.</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the Company was in compliance with all debt covenants.</w:t>
      </w:r>
    </w:p>
    <w:p>
      <w:pPr>
        <w:spacing w:after="0" w:line="104" w:lineRule="exact"/>
        <w:rPr>
          <w:sz w:val="20"/>
          <w:szCs w:val="20"/>
          <w:color w:val="auto"/>
        </w:rPr>
      </w:pPr>
    </w:p>
    <w:p>
      <w:pPr>
        <w:ind w:left="80" w:right="240" w:firstLine="405"/>
        <w:spacing w:after="0" w:line="261" w:lineRule="auto"/>
        <w:rPr>
          <w:sz w:val="20"/>
          <w:szCs w:val="20"/>
          <w:color w:val="auto"/>
        </w:rPr>
      </w:pPr>
      <w:r>
        <w:rPr>
          <w:rFonts w:ascii="Times New Roman" w:cs="Times New Roman" w:eastAsia="Times New Roman" w:hAnsi="Times New Roman"/>
          <w:sz w:val="18"/>
          <w:szCs w:val="18"/>
          <w:color w:val="auto"/>
        </w:rPr>
        <w:t>The Company believes that existing borrowing availability, current cash balances and cash flow from operations will be sufficient to satisfy short term material cash requirements related to working capital, capital expenditure, and debt repayments for at least the next 12 months. In the longer term, liquidity will depend on many factors, including the results of operations, the timing and extent of capital expenditures, changes in operating plans, or other events that would cause the Company to seek additional financing in future periods.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Cash Requirements for Known Contractual and Other Obligations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material cash requirements from known contractual and other obligations as of December 31, 2025 were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interest payments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the Company had outstanding debt under the ABL Facility of $34.6 million with contractual payments due in May 2030.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interest payments associated with the ABL Facility total $8.4 million, with $1.9 million payable within the next 12 months.</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High Performance Films had outstanding debt of $0.5 million under the High Performance Films Guangzhou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future interest payments associated with the High Performance Films Guangzhou Loan payable within the next 12 months are immaterial.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commitments</w:t>
      </w:r>
    </w:p>
    <w:p>
      <w:pPr>
        <w:spacing w:after="0" w:line="90" w:lineRule="exact"/>
        <w:rPr>
          <w:sz w:val="20"/>
          <w:szCs w:val="20"/>
          <w:color w:val="auto"/>
        </w:rPr>
      </w:pPr>
    </w:p>
    <w:p>
      <w:pPr>
        <w:ind w:right="40" w:firstLine="405"/>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Projected Capital Expenditures and Depreciation &amp; Amortization</w:t>
      </w:r>
      <w:r>
        <w:rPr>
          <w:rFonts w:ascii="Times New Roman" w:cs="Times New Roman" w:eastAsia="Times New Roman" w:hAnsi="Times New Roman"/>
          <w:sz w:val="18"/>
          <w:szCs w:val="18"/>
          <w:color w:val="auto"/>
        </w:rPr>
        <w:t>” within “</w:t>
      </w:r>
      <w:r>
        <w:rPr>
          <w:rFonts w:ascii="Times New Roman" w:cs="Times New Roman" w:eastAsia="Times New Roman" w:hAnsi="Times New Roman"/>
          <w:sz w:val="18"/>
          <w:szCs w:val="18"/>
          <w:b w:val="1"/>
          <w:bCs w:val="1"/>
          <w:i w:val="1"/>
          <w:iCs w:val="1"/>
          <w:color w:val="auto"/>
        </w:rPr>
        <w:t>Segment Operations Overview</w:t>
      </w:r>
      <w:r>
        <w:rPr>
          <w:rFonts w:ascii="Times New Roman" w:cs="Times New Roman" w:eastAsia="Times New Roman" w:hAnsi="Times New Roman"/>
          <w:sz w:val="18"/>
          <w:szCs w:val="18"/>
          <w:color w:val="auto"/>
        </w:rPr>
        <w:t>” above in this Item 7 for discussion of the Company’s planned investment in capital expenditures in 2025, of which $15.8 million are contractual commitments that existed as of December 31,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08"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Company enters into various operating leases primarily for real estate, office equipment and vehicles. See Note 4 “Leases” to the Consolidated Financial Statements in Item 15 for additional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08"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no unrecognized tax benefits on uncertain tax positions. See Note 11 “Income Taxes” to the Consolidated Financial Statements in Item 15 for additional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Company has no material off-balance sheet arrangements that have had or are reasonably likely to have a material current or future effect on its financial condition, changes in financial condition, revenues or expenses, results of operations, liquidity, capital expenditures or capital resources.</w:t>
      </w:r>
    </w:p>
    <w:p>
      <w:pPr>
        <w:spacing w:after="0" w:line="40"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third parties in connection with the sale of assets or businesses in which it agrees to indemnify the buyers or third parties involved in the transaction, or the sellers or third parties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t>involved in the transaction agree to indemnify Tredegar, for certain liabilities or risks related to the assets or business. Also, in the ordinary course of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Further, any indemnification payments may be limited or barred by a monetary cap, a time limitation, or a deductible or basket. For these reasons, the Company is unable to estimate the maximum potential amount of the potential future liability under the indemnity provisions of these agreements. Tredegar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material.</w:t>
      </w:r>
    </w:p>
    <w:p>
      <w:pPr>
        <w:spacing w:after="0" w:line="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Critical Accounting Policies and Estimates</w:t>
      </w:r>
    </w:p>
    <w:p>
      <w:pPr>
        <w:spacing w:after="0" w:line="108"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the Company to make estimates and assumptions that affect the reported amounts of assets, liabilities, revenues, expenses and related disclosures. Certain accounting policies, as described below, are considered "critical accounting policies" because they are particularly dependent on estimates made by management about matters that are inherently uncertain and could have a material impact on the Company’s consolidated financial statements. Estimates and judgments are based on historical experience, forecasted events and various other assumptions that management believes are reasonable under the circumstances. Actual results could differ significantly from those estimates under different assumptions and conditions. A summary of all of our significant accounting policies is included in Note 1 “Nature of Operations and Summary of Significant Accounting Policies” to the Consolidated Financial Statements in Item 15.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Goodwill</w:t>
      </w:r>
    </w:p>
    <w:p>
      <w:pPr>
        <w:spacing w:after="0" w:line="9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6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reporting unit with goodwill was Surface Protection in High Performance Films. The Company’s Step 0 analysis as of December 1, 2025 of this reporting unit concluded that it was not more likely than not that the fair value of the reporting unit was less than its carrying amount. Therefore, the Step 1 quantitative goodwill impairment test for this reporting unit was not necessary as of December 1, 2025.</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and 2024, Surface Protection had goodwill of $22.4 million.</w:t>
      </w:r>
    </w:p>
    <w:p>
      <w:pPr>
        <w:spacing w:after="0" w:line="9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During 2024, customers of the Aluminum Extrusions’ Clearfield, Utah operation ("Clearfield") acquired as “Futura” in February 2017 continued to seek supply from other sources to meet their demand, including imports. However, in 2024, Clearfield continued to experience a resurgence in customer volumes that had declined due to the pandemic, albeit not at the speed and profit level that was previously projected. The recovery has been slower than previously anticipated, and is not trending back to previous Company expectations to replicate the EBITDA and net cash flow generation that existed prior to the pandemic-related disruptions and influx of imports.</w:t>
      </w:r>
    </w:p>
    <w:p>
      <w:pPr>
        <w:spacing w:after="0" w:line="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As a consequence, the Company performed a goodwill impairment analysis during the fourth quarter of 2024 using Clearfield projections that assume the continuation of lower margin business. Since the estimated fair value of Clearfield fell below its carrying value by more than the amount of goodwill, the Company recognized a non-cash write-off of goodwill of $13.3 million ($10.4 million after deferred income tax benefits) associated with Clearfield.</w:t>
      </w:r>
    </w:p>
    <w:p>
      <w:pPr>
        <w:spacing w:after="0" w:line="54" w:lineRule="exact"/>
        <w:rPr>
          <w:sz w:val="20"/>
          <w:szCs w:val="20"/>
          <w:color w:val="auto"/>
        </w:rPr>
      </w:pPr>
    </w:p>
    <w:p>
      <w:pPr>
        <w:jc w:val="both"/>
        <w:ind w:right="40"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Clearfield by: (i) computing an estimated enterprise value (“EV”) utilizing the discounted cash flow method (the “DCF Method”), and (ii) adding cash and cash equivalents. Key financial assumptions utilized to determine the fair value of the reporting unit include sales volume and sales price growth projections.</w:t>
      </w:r>
    </w:p>
    <w:p>
      <w:pPr>
        <w:spacing w:after="0" w:line="41"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See Note 1 “Nature of Operations and Summary of Significant Accounting Policies” to the Consolidated Financial Statements in Item 15 for additional information on the analysis of goodwill impairment.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94"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5" w:name="page26"/>
    <w:bookmarkEnd w:id="25"/>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Tredegar may be required to change its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45" w:lineRule="exact"/>
        <w:rPr>
          <w:sz w:val="20"/>
          <w:szCs w:val="20"/>
          <w:color w:val="auto"/>
        </w:rPr>
      </w:pPr>
    </w:p>
    <w:p>
      <w:pPr>
        <w:ind w:right="1800" w:firstLine="405"/>
        <w:spacing w:after="0" w:line="438" w:lineRule="auto"/>
        <w:rPr>
          <w:sz w:val="20"/>
          <w:szCs w:val="20"/>
          <w:color w:val="auto"/>
        </w:rPr>
      </w:pPr>
      <w:r>
        <w:rPr>
          <w:rFonts w:ascii="Times New Roman" w:cs="Times New Roman" w:eastAsia="Times New Roman" w:hAnsi="Times New Roman"/>
          <w:sz w:val="18"/>
          <w:szCs w:val="18"/>
          <w:color w:val="auto"/>
        </w:rPr>
        <w:t xml:space="preserve">See Note 11 “Income Taxes” to the Consolidated Financial Statements in Item 15 for additional information on income taxes. </w:t>
      </w: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 xml:space="preserve">Tredegar has exposure to the volatility of interest rates, polyethylene resin prices, aluminum ingot and scrap prices, energy prices, foreign currencies and emerging markets. See </w:t>
      </w:r>
      <w:r>
        <w:rPr>
          <w:rFonts w:ascii="Times New Roman" w:cs="Times New Roman" w:eastAsia="Times New Roman" w:hAnsi="Times New Roman"/>
          <w:sz w:val="18"/>
          <w:szCs w:val="18"/>
          <w:b w:val="1"/>
          <w:bCs w:val="1"/>
          <w:i w:val="1"/>
          <w:iCs w:val="1"/>
          <w:color w:val="auto"/>
        </w:rPr>
        <w:t>Liquidity and Capital Resources</w:t>
      </w:r>
      <w:r>
        <w:rPr>
          <w:rFonts w:ascii="Times New Roman" w:cs="Times New Roman" w:eastAsia="Times New Roman" w:hAnsi="Times New Roman"/>
          <w:sz w:val="18"/>
          <w:szCs w:val="18"/>
          <w:color w:val="auto"/>
        </w:rPr>
        <w:t xml:space="preserve"> regarding interest rate exposures related to borrowings under the ABL Facility.</w:t>
      </w:r>
    </w:p>
    <w:p>
      <w:pPr>
        <w:spacing w:after="0" w:line="4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Profit margins in Aluminum Extrusions are sensitive to fluctuations in aluminum ingot and scrap prices as well as natural gas prices (natural gas is the principal energy source used to operate its casting furnaces). Changes in polyethylene resin prices and the timing of those changes could have a significant impact on profit margins in High Performance Films. There is no assurance of the Company’s ability to pass through higher raw material and energy costs to its customers.</w:t>
      </w:r>
    </w:p>
    <w:p>
      <w:pPr>
        <w:spacing w:after="0" w:line="58"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purchase price of raw materials fluctuates on a monthly basis; therefore, Aluminum Extrusions pricing policies generally allow the Company to pass the underlying index cost of aluminum and certain alloys through to the vast majority of our customers so that we remain substantially neutral to metal pricing. In the normal course of business, Aluminum Extrusions enters into fixed-price forward sales contracts with certain customers for the sale of fixed quantities of aluminum extrusions at scheduled intervals. In order to hedge its exposure to aluminum price volatility (see the chart below) under these fixed-price arrangements, which generally have a duration of not more than 12 months, the Company enters into a combination of forward purchase commitments and futures contracts to acquire or hedge aluminum, based on the scheduled deliveries. See Note 9 “Derivatives” to the Consolidated Financial Statements in Item 15 for additional information.</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aluminum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77470</wp:posOffset>
            </wp:positionV>
            <wp:extent cx="5760720" cy="25374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Source: Quarterly averages computed by the Company using daily Midwest average prices provided by Platts.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color w:val="auto"/>
        </w:rPr>
        <w:t>The volatility of quarterly average natural gas prices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68580</wp:posOffset>
            </wp:positionV>
            <wp:extent cx="5760720" cy="25374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6072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Source: Quarterly averages computed by Tredegar using monthly NYMEX settlement prices.</w:t>
      </w:r>
    </w:p>
    <w:p>
      <w:pPr>
        <w:spacing w:after="0" w:line="18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volatility of average quarterly prices of polyethylene resin in the U.S. (a primary raw material for High Performance Films products) is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36830</wp:posOffset>
            </wp:positionV>
            <wp:extent cx="5768975" cy="254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6897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20" w:right="1060"/>
        <w:spacing w:after="0" w:line="235" w:lineRule="auto"/>
        <w:rPr>
          <w:sz w:val="20"/>
          <w:szCs w:val="20"/>
          <w:color w:val="auto"/>
        </w:rPr>
      </w:pPr>
      <w:r>
        <w:rPr>
          <w:rFonts w:ascii="Times New Roman" w:cs="Times New Roman" w:eastAsia="Times New Roman" w:hAnsi="Times New Roman"/>
          <w:sz w:val="12"/>
          <w:szCs w:val="12"/>
          <w:color w:val="auto"/>
        </w:rPr>
        <w:t>Source: Quarterly averages computed by Tredegar using monthly data provided by IHS, Inc. In January 2023, IHS reflected a 41 cents per pound non-market adjustment based on their estimate of the growth of discounts in the prior periods. The 4th quarter 2022 average rate of $0.60 per pound is shown on a pro forma basis as if the non-market adjustment</w:t>
      </w:r>
    </w:p>
    <w:p>
      <w:pPr>
        <w:ind w:left="1120"/>
        <w:spacing w:after="0"/>
        <w:rPr>
          <w:sz w:val="20"/>
          <w:szCs w:val="20"/>
          <w:color w:val="auto"/>
        </w:rPr>
      </w:pPr>
      <w:r>
        <w:rPr>
          <w:rFonts w:ascii="Times New Roman" w:cs="Times New Roman" w:eastAsia="Times New Roman" w:hAnsi="Times New Roman"/>
          <w:sz w:val="13"/>
          <w:szCs w:val="13"/>
          <w:color w:val="auto"/>
        </w:rPr>
        <w:t>was made in the fourth quarter of 2022.</w:t>
      </w:r>
    </w:p>
    <w:p>
      <w:pPr>
        <w:spacing w:after="0" w:line="93"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price of resin is driven by several factors, including supply and demand and the price of oil, ethylene and natural gas. Selling prices to customers are set considering numerous factors, including the expected volatility of resin prices. In certain situations, High Performance Films has index-based pass-through raw material cost arrangements with customers. However, under certain agreements, changes in resin prices are not passed through for a period of 90 days or more. In response to unprecedented cost increases and supply issues for polyethylene and polypropylene resin, Tredegar Surface Protection implemented a quarterly resin cost pass-through mechanism, effective July 1, 2021, for all products and customers not previously covered by such arrangements. Pricing on the remainder of the business is based upon raw material costs and supply/demand dynamics within the markets in which the Company competes.</w:t>
      </w:r>
    </w:p>
    <w:p>
      <w:pPr>
        <w:sectPr>
          <w:pgSz w:w="11900" w:h="16838" w:orient="portrait"/>
          <w:cols w:equalWidth="0" w:num="1">
            <w:col w:w="11160"/>
          </w:cols>
          <w:pgMar w:left="320" w:top="985" w:right="41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type w:val="continuous"/>
        </w:sectPr>
      </w:pPr>
    </w:p>
    <w:bookmarkStart w:id="27" w:name="page28"/>
    <w:bookmarkEnd w:id="27"/>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sells to customers in foreign markets through its foreign operations and through exports from U.S. plants. The percentage of sales and total assets for manufacturing operations related to foreign markets for 2025, 2024 and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Tredegar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Consolidated Net Sales and Total Assets Related to Foreign Markets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4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of Total</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 of Total</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of Total</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4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 Total</w:t>
            </w:r>
          </w:p>
        </w:tc>
        <w:tc>
          <w:tcPr>
            <w:tcW w:w="2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Net Sales</w:t>
            </w:r>
          </w:p>
        </w:tc>
        <w:tc>
          <w:tcPr>
            <w:tcW w:w="13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 Total</w:t>
            </w:r>
          </w:p>
        </w:tc>
        <w:tc>
          <w:tcPr>
            <w:tcW w:w="200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8"/>
                <w:szCs w:val="18"/>
                <w:color w:val="auto"/>
              </w:rPr>
              <w:t>Net Sales</w:t>
            </w:r>
          </w:p>
        </w:tc>
        <w:tc>
          <w:tcPr>
            <w:tcW w:w="12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 Total</w:t>
            </w:r>
          </w:p>
        </w:tc>
        <w:tc>
          <w:tcPr>
            <w:tcW w:w="0" w:type="dxa"/>
            <w:vAlign w:val="bottom"/>
          </w:tcPr>
          <w:p>
            <w:pPr>
              <w:spacing w:after="0"/>
              <w:rPr>
                <w:sz w:val="1"/>
                <w:szCs w:val="1"/>
                <w:color w:val="auto"/>
              </w:rPr>
            </w:pPr>
          </w:p>
        </w:tc>
      </w:tr>
      <w:tr>
        <w:trPr>
          <w:trHeight w:val="183"/>
        </w:trPr>
        <w:tc>
          <w:tcPr>
            <w:tcW w:w="1440" w:type="dxa"/>
            <w:vAlign w:val="bottom"/>
          </w:tcPr>
          <w:p>
            <w:pPr>
              <w:spacing w:after="0"/>
              <w:rPr>
                <w:sz w:val="15"/>
                <w:szCs w:val="15"/>
                <w:color w:val="auto"/>
              </w:rPr>
            </w:pPr>
          </w:p>
        </w:tc>
        <w:tc>
          <w:tcPr>
            <w:tcW w:w="88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Exports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32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Assets -</w:t>
            </w:r>
          </w:p>
        </w:tc>
        <w:tc>
          <w:tcPr>
            <w:tcW w:w="8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Exports</w:t>
            </w: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gridSpan w:val="2"/>
          </w:tcPr>
          <w:p>
            <w:pPr>
              <w:jc w:val="center"/>
              <w:spacing w:after="0" w:line="182" w:lineRule="exact"/>
              <w:rPr>
                <w:sz w:val="20"/>
                <w:szCs w:val="20"/>
                <w:color w:val="auto"/>
              </w:rPr>
            </w:pPr>
            <w:r>
              <w:rPr>
                <w:rFonts w:ascii="Times New Roman" w:cs="Times New Roman" w:eastAsia="Times New Roman" w:hAnsi="Times New Roman"/>
                <w:sz w:val="18"/>
                <w:szCs w:val="18"/>
                <w:color w:val="auto"/>
              </w:rPr>
              <w:t>Assets -</w:t>
            </w:r>
          </w:p>
        </w:tc>
        <w:tc>
          <w:tcPr>
            <w:tcW w:w="900" w:type="dxa"/>
            <w:vAlign w:val="bottom"/>
          </w:tcPr>
          <w:p>
            <w:pPr>
              <w:jc w:val="center"/>
              <w:ind w:right="10"/>
              <w:spacing w:after="0" w:line="182" w:lineRule="exact"/>
              <w:rPr>
                <w:sz w:val="20"/>
                <w:szCs w:val="20"/>
                <w:color w:val="auto"/>
              </w:rPr>
            </w:pPr>
            <w:r>
              <w:rPr>
                <w:rFonts w:ascii="Times New Roman" w:cs="Times New Roman" w:eastAsia="Times New Roman" w:hAnsi="Times New Roman"/>
                <w:sz w:val="18"/>
                <w:szCs w:val="18"/>
                <w:color w:val="auto"/>
                <w:w w:val="99"/>
              </w:rPr>
              <w:t>Exports</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Foreign</w:t>
            </w:r>
          </w:p>
        </w:tc>
        <w:tc>
          <w:tcPr>
            <w:tcW w:w="1200" w:type="dxa"/>
            <w:vAlign w:val="bottom"/>
          </w:tcPr>
          <w:p>
            <w:pPr>
              <w:jc w:val="center"/>
              <w:ind w:left="10"/>
              <w:spacing w:after="0" w:line="182" w:lineRule="exact"/>
              <w:rPr>
                <w:sz w:val="20"/>
                <w:szCs w:val="20"/>
                <w:color w:val="auto"/>
              </w:rPr>
            </w:pPr>
            <w:r>
              <w:rPr>
                <w:rFonts w:ascii="Times New Roman" w:cs="Times New Roman" w:eastAsia="Times New Roman" w:hAnsi="Times New Roman"/>
                <w:sz w:val="18"/>
                <w:szCs w:val="18"/>
                <w:color w:val="auto"/>
              </w:rPr>
              <w:t>Assets -</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60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rPr>
              <w:t>From</w:t>
            </w:r>
          </w:p>
        </w:tc>
        <w:tc>
          <w:tcPr>
            <w:tcW w:w="2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3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Foreign</w:t>
            </w:r>
          </w:p>
        </w:tc>
        <w:tc>
          <w:tcPr>
            <w:tcW w:w="8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7"/>
              </w:rPr>
              <w:t>From</w:t>
            </w:r>
          </w:p>
        </w:tc>
        <w:tc>
          <w:tcPr>
            <w:tcW w:w="1120" w:type="dxa"/>
            <w:vAlign w:val="bottom"/>
            <w:vMerge w:val="continue"/>
          </w:tcPr>
          <w:p>
            <w:pPr>
              <w:spacing w:after="0"/>
              <w:rPr>
                <w:sz w:val="15"/>
                <w:szCs w:val="15"/>
                <w:color w:val="auto"/>
              </w:rPr>
            </w:pPr>
          </w:p>
        </w:tc>
        <w:tc>
          <w:tcPr>
            <w:tcW w:w="1300" w:type="dxa"/>
            <w:vAlign w:val="bottom"/>
            <w:gridSpan w:val="2"/>
          </w:tcPr>
          <w:p>
            <w:pPr>
              <w:jc w:val="center"/>
              <w:ind w:right="20"/>
              <w:spacing w:after="0" w:line="176" w:lineRule="exact"/>
              <w:rPr>
                <w:sz w:val="20"/>
                <w:szCs w:val="20"/>
                <w:color w:val="auto"/>
              </w:rPr>
            </w:pPr>
            <w:r>
              <w:rPr>
                <w:rFonts w:ascii="Times New Roman" w:cs="Times New Roman" w:eastAsia="Times New Roman" w:hAnsi="Times New Roman"/>
                <w:sz w:val="18"/>
                <w:szCs w:val="18"/>
                <w:color w:val="auto"/>
                <w:w w:val="99"/>
              </w:rPr>
              <w:t>Foreign</w:t>
            </w:r>
          </w:p>
        </w:tc>
        <w:tc>
          <w:tcPr>
            <w:tcW w:w="90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rPr>
              <w:t>From</w:t>
            </w:r>
          </w:p>
        </w:tc>
        <w:tc>
          <w:tcPr>
            <w:tcW w:w="1100" w:type="dxa"/>
            <w:vAlign w:val="bottom"/>
            <w:vMerge w:val="continue"/>
          </w:tcPr>
          <w:p>
            <w:pPr>
              <w:spacing w:after="0"/>
              <w:rPr>
                <w:sz w:val="15"/>
                <w:szCs w:val="15"/>
                <w:color w:val="auto"/>
              </w:rPr>
            </w:pPr>
          </w:p>
        </w:tc>
        <w:tc>
          <w:tcPr>
            <w:tcW w:w="120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color w:val="auto"/>
                <w:w w:val="99"/>
              </w:rPr>
              <w:t>Foreign</w:t>
            </w:r>
          </w:p>
        </w:tc>
        <w:tc>
          <w:tcPr>
            <w:tcW w:w="0" w:type="dxa"/>
            <w:vAlign w:val="bottom"/>
          </w:tcPr>
          <w:p>
            <w:pPr>
              <w:spacing w:after="0"/>
              <w:rPr>
                <w:sz w:val="1"/>
                <w:szCs w:val="1"/>
                <w:color w:val="auto"/>
              </w:rPr>
            </w:pPr>
          </w:p>
        </w:tc>
      </w:tr>
      <w:tr>
        <w:trPr>
          <w:trHeight w:val="229"/>
        </w:trPr>
        <w:tc>
          <w:tcPr>
            <w:tcW w:w="14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U.S.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Operations</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Operations</w:t>
            </w: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U.S.</w:t>
            </w:r>
          </w:p>
        </w:tc>
        <w:tc>
          <w:tcPr>
            <w:tcW w:w="11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12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Operations</w:t>
            </w:r>
          </w:p>
        </w:tc>
        <w:tc>
          <w:tcPr>
            <w:tcW w:w="0" w:type="dxa"/>
            <w:vAlign w:val="bottom"/>
          </w:tcPr>
          <w:p>
            <w:pPr>
              <w:spacing w:after="0"/>
              <w:rPr>
                <w:sz w:val="1"/>
                <w:szCs w:val="1"/>
                <w:color w:val="auto"/>
              </w:rPr>
            </w:pPr>
          </w:p>
        </w:tc>
      </w:tr>
      <w:tr>
        <w:trPr>
          <w:trHeight w:val="223"/>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6</w:t>
            </w:r>
          </w:p>
        </w:tc>
        <w:tc>
          <w:tcPr>
            <w:tcW w:w="110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9</w:t>
            </w:r>
          </w:p>
        </w:tc>
        <w:tc>
          <w:tcPr>
            <w:tcW w:w="11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Tredegar attempts to match the pricing and cost of its products in the same currency and generally views the volatility of foreign currencies and the corresponding impact on earnings and cash flow as part of the overall risk of operating in a global environment (for additional information, see trends for the Chinese Yuan in the chart below). Exports from the U.S. are generally denominated in U.S. Dollars. The Company’s foreign currency exposure on income from continuing foreign operations relates to the Chinese Yuan.</w:t>
      </w:r>
    </w:p>
    <w:p>
      <w:pPr>
        <w:spacing w:after="0" w:line="4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High Performance Films is generally able to match the currency of its sales and costs for its product lines. Tredegar estimates that the change in the value of foreign currencies relative to the U.S. Dollar on High Performance Films had an unfavorable impact on EBITDA from ongoing operations in High Performance Films of $0.6 million in 2025 compared to 2024.</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Trends for the Chinese Yuan are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77470</wp:posOffset>
            </wp:positionV>
            <wp:extent cx="5709285" cy="29660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9285"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3"/>
          <w:szCs w:val="13"/>
          <w:color w:val="auto"/>
        </w:rPr>
        <w:t>Source: Quarterly averages computed by Tredegar using daily closing data provided by Bloomberg.</w:t>
      </w:r>
    </w:p>
    <w:p>
      <w:pPr>
        <w:spacing w:after="0" w:line="1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information required by this Item 8 is set forth in Item 15 and is hereby incorporated herein by reference.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9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 of Disclosure Controls and Procedures</w:t>
      </w:r>
    </w:p>
    <w:p>
      <w:pPr>
        <w:spacing w:after="0" w:line="108"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Form 10-K, pursuant to Rule 13a-15(b) under the Securities Exchange Act of 1934, as amended (the “Exchange Act”), the Company carried out an evaluation with the participation of its management, including its Chief Executive Officer (principal executive officer) and Chief Financial Officer (principal financial officer), of the effectiveness of the design and operation of the Company’s disclosure controls and procedures (as defined under Rule 13a-15(e) and 15d-15(e) under the Exchange Act) as of December 31, 2025.</w:t>
      </w:r>
    </w:p>
    <w:p>
      <w:pPr>
        <w:spacing w:after="0" w:line="5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2025, the Company’s Chief Executive Officer and Chief Financial Officer concluded that, as of such date, our disclosure controls and procedures were effective.</w:t>
      </w:r>
    </w:p>
    <w:p>
      <w:pPr>
        <w:spacing w:after="0" w:line="2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Management’s Report on Internal Control over Financial Reporting</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an adequate system of internal control over financial reporting, as defined in the Exchange Act Rule 13a-15(f). Management conducted an assessment of the Company’s internal control over financial reporting based on the framework established by the Committee of Sponsoring Organizations of the Treadway Commission in Internal Control — Integrated Framework (2013). Based on the assessment, management concluded that, as of December 31, 2025, the Company’s internal control over financial reporting is effective. The Company’s internal control over financial reporting as of December 31, 2025 has been audited by KPMG LLP, an independent registered public accounting firm, as stated in their report which is included herein, which expresses an unqualified opinion on the effectiveness of the Company’s internal control over financial reporting as of December 31, 2025.</w:t>
      </w:r>
    </w:p>
    <w:p>
      <w:pPr>
        <w:spacing w:after="0" w:line="6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9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during the quarter ended December 31, 2025, that has materially affected, or is reasonably likely to materially affect, its internal control over financial reporting (as defined in Rules 13a-15(f) and 15d-15(f) under the Exchange Act).</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Director and Officer Trading Arrangements</w:t>
      </w:r>
    </w:p>
    <w:p>
      <w:pPr>
        <w:spacing w:after="0" w:line="10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 director or officer of the Company adopted or terminated a "Rule 10b5-1 trading arrangement" or "non-Rule 10b5-1 trading arrangement," as each term is defined in Item 408(a) of Regulation S-K.</w:t>
      </w:r>
    </w:p>
    <w:p>
      <w:pPr>
        <w:spacing w:after="0" w:line="2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u w:val="single" w:color="auto"/>
          <w:color w:val="auto"/>
        </w:rPr>
        <w:t>DISCLOSURE REGARDING FOREIGN JURISDICTIONS THAT PREVENT INSPECTIONS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9" w:name="page30"/>
    <w:bookmarkEnd w:id="29"/>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DIRECTORS, EXECUTIVE OFFICERS AND CORPORATE GOVERNANCE</w:t>
      </w:r>
    </w:p>
    <w:p>
      <w:pPr>
        <w:spacing w:after="0" w:line="10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concerning directors and persons nominated to become directors of Tredegar to be included in the Proxy Statement under the headings “Proposal 1: Election of Directors” and “Tredegar’s Board of Directors” is incorporated herein by reference.</w:t>
      </w:r>
    </w:p>
    <w:p>
      <w:pPr>
        <w:spacing w:after="0" w:line="27" w:lineRule="exact"/>
        <w:rPr>
          <w:sz w:val="20"/>
          <w:szCs w:val="20"/>
          <w:color w:val="auto"/>
        </w:rPr>
      </w:pPr>
    </w:p>
    <w:p>
      <w:pPr>
        <w:ind w:right="820" w:firstLine="405"/>
        <w:spacing w:after="0" w:line="282" w:lineRule="auto"/>
        <w:rPr>
          <w:sz w:val="20"/>
          <w:szCs w:val="20"/>
          <w:color w:val="auto"/>
        </w:rPr>
      </w:pPr>
      <w:r>
        <w:rPr>
          <w:rFonts w:ascii="Times New Roman" w:cs="Times New Roman" w:eastAsia="Times New Roman" w:hAnsi="Times New Roman"/>
          <w:sz w:val="18"/>
          <w:szCs w:val="18"/>
          <w:color w:val="auto"/>
        </w:rPr>
        <w:t>The information concerning corporate governance to be included in the Proxy Statement under the headings “Board Meetings, Meetings of Independent Directors and Board Committees” and “Corporate Governance and Risk Oversight” is incorporated herein by reference.</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Set forth below are the names, ages and titles of the Company’s executive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Age</w:t>
            </w: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Arijit (Bapi) DasGupta</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9"/>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Frasier W. Brickhouse, II</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77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C. Donnelly</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77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bl>
    <w:p>
      <w:pPr>
        <w:spacing w:after="0" w:line="15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Arijit (Bapi) DasGupta. </w:t>
      </w:r>
      <w:r>
        <w:rPr>
          <w:rFonts w:ascii="Times New Roman" w:cs="Times New Roman" w:eastAsia="Times New Roman" w:hAnsi="Times New Roman"/>
          <w:sz w:val="18"/>
          <w:szCs w:val="18"/>
          <w:color w:val="auto"/>
        </w:rPr>
        <w:t>Dr. DasGupta was appointed President and Chief Executive Officer of Tredegar effective January 1, 2026. Dr. DasGupta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continues to hold the position of President of Tredegar’s High Performance Films division, a role he has occupied since 2015 after previously serving as its Vice President. Prior to joining Tredegar in 2007, Dr. DasGupta held leadership positions at Johns Manville Corporation, Solutia, Inc. (acquired by Eastman Chemical Company) and Monsanto Company. Dr. DasGupta has a Ph.D. and Master of Science in polymer science from the University of Akron, Ohio, an Executive MBA from the Olin School of Business at Washington University, St. Louis and a Bachelor of Science in chemistry from the University of Bombay, India.</w:t>
      </w:r>
    </w:p>
    <w:p>
      <w:pPr>
        <w:spacing w:after="0" w:line="6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Frasier W. Brickhouse, II. </w:t>
      </w:r>
      <w:r>
        <w:rPr>
          <w:rFonts w:ascii="Times New Roman" w:cs="Times New Roman" w:eastAsia="Times New Roman" w:hAnsi="Times New Roman"/>
          <w:sz w:val="18"/>
          <w:szCs w:val="18"/>
          <w:color w:val="auto"/>
        </w:rPr>
        <w:t>Mr. Brickhouse was appointed Vice President, Chief Financial Officer and Treasurer, effective January 1, 2026.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Brickhouse joined Tredegar in 1993 and was appointed Corporate Controller in 2009 and Treasurer in 2016. He previously served in various treasury, accounting and financial planning roles within Tredegar. Prior to joining Tredegar, Mr. Brickhouse spent five years in various positions of increasing responsibility with Coopers &amp; Lybrand (predecessor to PricewaterhouseCoopers LLP). Mr. Brickhouse received a Master of Business Administration and a Bachelor of Science in Business Administration, Accounting, from the University of Richmond. He is a CPA licensed in Virginia.</w:t>
      </w:r>
    </w:p>
    <w:p>
      <w:pPr>
        <w:spacing w:after="0" w:line="4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Kevin C. Donnelly</w:t>
      </w:r>
      <w:r>
        <w:rPr>
          <w:rFonts w:ascii="Times New Roman" w:cs="Times New Roman" w:eastAsia="Times New Roman" w:hAnsi="Times New Roman"/>
          <w:sz w:val="18"/>
          <w:szCs w:val="18"/>
          <w:color w:val="auto"/>
        </w:rPr>
        <w:t>. Mr. Donnelly was elected Executive Vice President, General Counsel and Corporate Secretary effective January 1, 2025. He joined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Tredegar in 2010 as Assistant General Counsel. He was promoted to Associate General Counsel in 2013, and he served in that capacity until 2021, when he became Vice President, General Counsel and Corporate Secretary. Prior to joining Tredegar, Mr. Donnelly was an associate at Hunton &amp; Williams LLP (now Hunton Andrews Kurth LLP). He received a B.A. degree from the University of Richmond and a J.D. from the University of Virginia.</w:t>
      </w:r>
    </w:p>
    <w:p>
      <w:pPr>
        <w:spacing w:after="0" w:line="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Tredegar has a Code of Conduct that applies to all of its directors, officers and employees (including its chief executive officer, chief financial officer and principal accounting officer) and has posted the Code of Conduct on its website. All amendments to or waivers from any provision of the Company’s Code of Conduct applicable to the chief executive officer, chief financial officer or principal accounting officer or persons performing similar functions will be disclosed on the Company’s website. The Company’s internet address is </w:t>
      </w:r>
      <w:r>
        <w:rPr>
          <w:rFonts w:ascii="Times New Roman" w:cs="Times New Roman" w:eastAsia="Times New Roman" w:hAnsi="Times New Roman"/>
          <w:sz w:val="18"/>
          <w:szCs w:val="18"/>
          <w:u w:val="single" w:color="auto"/>
          <w:color w:val="auto"/>
        </w:rPr>
        <w:t>www.tredegar.com</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Tredegar has an insider trading policy governing the purchase, sale and other dispositions of Tredegar’s securities that applies to all personnel of Tredegar and its subsidiaries, including directors, officers and employees and other covered persons. Tredegar believes that its insider trading policy is reasonably designed to promote compliance with insider trading laws, rules and regulations, as well as applicable listing standards. A copy of Tredegar’s insider trading policy is filed as Exhibit 19 to this Form 10-K. In addition, with regard Tredegar’s trading in its own securities, it is Tredegar’s policy to comply with the federal securities laws and the applicable listing standards.</w:t>
      </w:r>
    </w:p>
    <w:p>
      <w:pPr>
        <w:spacing w:after="0" w:line="12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175"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“Compensation of Directors,” “Compensation Discussion and Analysis,” “Executive Compensation Committee Report,” “Compensation Committee Interlocks and Insider Participation” and “CEO Pay Ratio Disclosure” is incorporated herein by reference.</w:t>
      </w:r>
    </w:p>
    <w:p>
      <w:pPr>
        <w:spacing w:after="0" w:line="118" w:lineRule="exact"/>
        <w:rPr>
          <w:sz w:val="20"/>
          <w:szCs w:val="20"/>
          <w:color w:val="auto"/>
        </w:rPr>
      </w:pPr>
    </w:p>
    <w:p>
      <w:pPr>
        <w:ind w:left="820" w:right="540" w:hanging="971"/>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u w:val="single" w:color="auto"/>
          <w:color w:val="auto"/>
        </w:rPr>
        <w:t>SECURITY OWNERSHIP OF CERTAIN BENEFICIAL OWNERS AND MANAGEMENT AND RELATED STOCKHOLDER MATTERS</w:t>
      </w:r>
    </w:p>
    <w:p>
      <w:pPr>
        <w:spacing w:after="0" w:line="105" w:lineRule="exact"/>
        <w:rPr>
          <w:sz w:val="20"/>
          <w:szCs w:val="20"/>
          <w:color w:val="auto"/>
        </w:rPr>
      </w:pPr>
    </w:p>
    <w:p>
      <w:pPr>
        <w:ind w:right="540" w:firstLine="405"/>
        <w:spacing w:after="0" w:line="266"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“Stock Ownership” and “Equity Compensation Plan Information” is incorporated herein by reference.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information to be included in the Proxy Statement under the headings “Certain Relationships and Related Transactions,” “Tredegar’s Board of Directors” and “Board Meetings, Meetings of Independent Directors and Board Committees” is incorporated herein by reference.</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independent registered public accounting firm is KPMG LLP, Richmond, Virginia, Audit Firm ID: 185.</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incorporated herein by reference:</w:t>
      </w:r>
    </w:p>
    <w:p>
      <w:pPr>
        <w:spacing w:after="0" w:line="90" w:lineRule="exact"/>
        <w:rPr>
          <w:sz w:val="20"/>
          <w:szCs w:val="20"/>
          <w:color w:val="auto"/>
        </w:rPr>
      </w:pPr>
    </w:p>
    <w:p>
      <w:pPr>
        <w:ind w:left="820" w:hanging="407"/>
        <w:spacing w:after="0"/>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accounting fees and services to be included in the Proxy Statement under the heading “Audit and Non-Audit Fees;” and</w:t>
      </w:r>
    </w:p>
    <w:p>
      <w:pPr>
        <w:spacing w:after="0" w:line="103"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Audit Committee’s procedures for pre-approving certain audit and non-audit services to be included in the Proxy Statement under the heading “Audit and Non-Audit Fees.”</w:t>
      </w:r>
    </w:p>
    <w:p>
      <w:pPr>
        <w:spacing w:after="0" w:line="200" w:lineRule="exact"/>
        <w:rPr>
          <w:sz w:val="20"/>
          <w:szCs w:val="20"/>
          <w:color w:val="auto"/>
        </w:rPr>
      </w:pPr>
    </w:p>
    <w:p>
      <w:pPr>
        <w:spacing w:after="0" w:line="2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49" w:right="479" w:bottom="1440" w:gutter="0" w:footer="0" w:header="0"/>
        </w:sectPr>
      </w:pPr>
    </w:p>
    <w:bookmarkStart w:id="31" w:name="page32"/>
    <w:bookmarkEnd w:id="31"/>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9"/>
              </w:rPr>
              <w:t>(a)</w:t>
            </w:r>
          </w:p>
        </w:tc>
        <w:tc>
          <w:tcPr>
            <w:tcW w:w="67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List of documents filed as a part of the report:</w:t>
            </w: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740" w:type="dxa"/>
            <w:vAlign w:val="bottom"/>
            <w:gridSpan w:val="12"/>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60" w:type="dxa"/>
            <w:vAlign w:val="bottom"/>
            <w:gridSpan w:val="7"/>
          </w:tcPr>
          <w:p>
            <w:pPr>
              <w:jc w:val="center"/>
              <w:ind w:right="1700"/>
              <w:spacing w:after="0"/>
              <w:rPr>
                <w:sz w:val="20"/>
                <w:szCs w:val="20"/>
                <w:color w:val="auto"/>
              </w:rPr>
            </w:pPr>
            <w:r>
              <w:rPr>
                <w:rFonts w:ascii="Times New Roman" w:cs="Times New Roman" w:eastAsia="Times New Roman" w:hAnsi="Times New Roman"/>
                <w:sz w:val="18"/>
                <w:szCs w:val="18"/>
                <w:color w:val="auto"/>
                <w:w w:val="99"/>
              </w:rPr>
              <w:t>Tredegar Corporation</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98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color w:val="auto"/>
              </w:rPr>
              <w:t>Index to Financial Statements and Supplementary Data</w:t>
            </w:r>
          </w:p>
        </w:tc>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980" w:type="dxa"/>
            <w:vAlign w:val="bottom"/>
          </w:tcPr>
          <w:p>
            <w:pPr>
              <w:spacing w:after="0"/>
              <w:rPr>
                <w:sz w:val="24"/>
                <w:szCs w:val="24"/>
                <w:color w:val="auto"/>
              </w:rPr>
            </w:pPr>
          </w:p>
        </w:tc>
        <w:tc>
          <w:tcPr>
            <w:tcW w:w="6740" w:type="dxa"/>
            <w:vAlign w:val="bottom"/>
            <w:gridSpan w:val="12"/>
            <w:vMerge w:val="restart"/>
          </w:tcPr>
          <w:p>
            <w:pPr>
              <w:ind w:left="80"/>
              <w:spacing w:after="0"/>
              <w:rPr>
                <w:sz w:val="20"/>
                <w:szCs w:val="20"/>
                <w:color w:val="auto"/>
              </w:rPr>
            </w:pPr>
            <w:r>
              <w:rPr>
                <w:rFonts w:ascii="Times New Roman" w:cs="Times New Roman" w:eastAsia="Times New Roman" w:hAnsi="Times New Roman"/>
                <w:sz w:val="18"/>
                <w:szCs w:val="18"/>
                <w:color w:val="auto"/>
              </w:rPr>
              <w:t>Auditors’ Opinions:</w:t>
            </w:r>
          </w:p>
        </w:tc>
        <w:tc>
          <w:tcPr>
            <w:tcW w:w="15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6740" w:type="dxa"/>
            <w:vAlign w:val="bottom"/>
            <w:gridSpan w:val="12"/>
            <w:vMerge w:val="continue"/>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20" w:type="dxa"/>
            <w:vAlign w:val="bottom"/>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Opinion on Internal Control Over Financial Reporting</w:t>
            </w:r>
          </w:p>
        </w:tc>
        <w:tc>
          <w:tcPr>
            <w:tcW w:w="32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tcBorders>
              <w:bottom w:val="single" w:sz="8" w:color="0000FF"/>
            </w:tcBorders>
            <w:gridSpan w:val="7"/>
            <w:vMerge w:val="continue"/>
          </w:tcPr>
          <w:p>
            <w:pPr>
              <w:spacing w:after="0"/>
              <w:rPr>
                <w:sz w:val="18"/>
                <w:szCs w:val="18"/>
                <w:color w:val="auto"/>
              </w:rPr>
            </w:pPr>
          </w:p>
        </w:tc>
        <w:tc>
          <w:tcPr>
            <w:tcW w:w="340" w:type="dxa"/>
            <w:vAlign w:val="bottom"/>
            <w:gridSpan w:val="2"/>
          </w:tcPr>
          <w:p>
            <w:pPr>
              <w:spacing w:after="0"/>
              <w:rPr>
                <w:sz w:val="18"/>
                <w:szCs w:val="18"/>
                <w:color w:val="auto"/>
              </w:rPr>
            </w:pPr>
          </w:p>
        </w:tc>
        <w:tc>
          <w:tcPr>
            <w:tcW w:w="2100" w:type="dxa"/>
            <w:vAlign w:val="bottom"/>
            <w:gridSpan w:val="2"/>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6740" w:type="dxa"/>
            <w:vAlign w:val="bottom"/>
            <w:gridSpan w:val="12"/>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Statements:</w:t>
            </w:r>
          </w:p>
        </w:tc>
        <w:tc>
          <w:tcPr>
            <w:tcW w:w="14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6740" w:type="dxa"/>
            <w:vAlign w:val="bottom"/>
            <w:gridSpan w:val="12"/>
            <w:vMerge w:val="continue"/>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vMerge w:val="restart"/>
          </w:tcPr>
          <w:p>
            <w:pPr>
              <w:spacing w:after="0"/>
              <w:rPr>
                <w:sz w:val="19"/>
                <w:szCs w:val="19"/>
                <w:color w:val="auto"/>
              </w:rPr>
            </w:pPr>
          </w:p>
        </w:tc>
        <w:tc>
          <w:tcPr>
            <w:tcW w:w="720" w:type="dxa"/>
            <w:vAlign w:val="bottom"/>
            <w:gridSpan w:val="3"/>
            <w:vMerge w:val="restart"/>
          </w:tcPr>
          <w:p>
            <w:pPr>
              <w:spacing w:after="0"/>
              <w:rPr>
                <w:sz w:val="19"/>
                <w:szCs w:val="19"/>
                <w:color w:val="auto"/>
              </w:rPr>
            </w:pPr>
          </w:p>
        </w:tc>
        <w:tc>
          <w:tcPr>
            <w:tcW w:w="2100" w:type="dxa"/>
            <w:vAlign w:val="bottom"/>
            <w:gridSpan w:val="2"/>
            <w:vMerge w:val="restart"/>
          </w:tcPr>
          <w:p>
            <w:pPr>
              <w:spacing w:after="0"/>
              <w:rPr>
                <w:sz w:val="19"/>
                <w:szCs w:val="19"/>
                <w:color w:val="auto"/>
              </w:rPr>
            </w:pPr>
          </w:p>
        </w:tc>
        <w:tc>
          <w:tcPr>
            <w:tcW w:w="1300" w:type="dxa"/>
            <w:vAlign w:val="bottom"/>
            <w:vMerge w:val="restart"/>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(Loss)</w:t>
            </w:r>
          </w:p>
        </w:tc>
        <w:tc>
          <w:tcPr>
            <w:tcW w:w="440" w:type="dxa"/>
            <w:vAlign w:val="bottom"/>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80" w:type="dxa"/>
            <w:vAlign w:val="bottom"/>
            <w:tcBorders>
              <w:bottom w:val="single" w:sz="8" w:color="0000FF"/>
            </w:tcBorders>
            <w:gridSpan w:val="5"/>
            <w:vMerge w:val="continue"/>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w:t>
            </w: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Borders>
              <w:bottom w:val="single" w:sz="8" w:color="0000FF"/>
            </w:tcBorders>
            <w:gridSpan w:val="9"/>
            <w:vMerge w:val="continue"/>
          </w:tcPr>
          <w:p>
            <w:pPr>
              <w:spacing w:after="0"/>
              <w:rPr>
                <w:sz w:val="18"/>
                <w:szCs w:val="18"/>
                <w:color w:val="auto"/>
              </w:rPr>
            </w:pPr>
          </w:p>
        </w:tc>
        <w:tc>
          <w:tcPr>
            <w:tcW w:w="2100" w:type="dxa"/>
            <w:vAlign w:val="bottom"/>
            <w:gridSpan w:val="2"/>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4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100" w:type="dxa"/>
            <w:vAlign w:val="bottom"/>
            <w:gridSpan w:val="2"/>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Borders>
              <w:bottom w:val="single" w:sz="8" w:color="0000FF"/>
            </w:tcBorders>
            <w:gridSpan w:val="4"/>
            <w:vMerge w:val="continue"/>
          </w:tcPr>
          <w:p>
            <w:pPr>
              <w:spacing w:after="0"/>
              <w:rPr>
                <w:sz w:val="18"/>
                <w:szCs w:val="18"/>
                <w:color w:val="auto"/>
              </w:rPr>
            </w:pPr>
          </w:p>
        </w:tc>
        <w:tc>
          <w:tcPr>
            <w:tcW w:w="640" w:type="dxa"/>
            <w:vAlign w:val="bottom"/>
            <w:gridSpan w:val="2"/>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20" w:type="dxa"/>
            <w:vAlign w:val="bottom"/>
            <w:tcBorders>
              <w:bottom w:val="single" w:sz="8" w:color="0000FF"/>
            </w:tcBorders>
            <w:gridSpan w:val="6"/>
            <w:vMerge w:val="continue"/>
          </w:tcPr>
          <w:p>
            <w:pPr>
              <w:spacing w:after="0"/>
              <w:rPr>
                <w:sz w:val="18"/>
                <w:szCs w:val="18"/>
                <w:color w:val="auto"/>
              </w:rPr>
            </w:pPr>
          </w:p>
        </w:tc>
        <w:tc>
          <w:tcPr>
            <w:tcW w:w="2820" w:type="dxa"/>
            <w:vAlign w:val="bottom"/>
            <w:gridSpan w:val="5"/>
            <w:vMerge w:val="restart"/>
          </w:tcPr>
          <w:p>
            <w:pPr>
              <w:spacing w:after="0"/>
              <w:rPr>
                <w:sz w:val="18"/>
                <w:szCs w:val="18"/>
                <w:color w:val="auto"/>
              </w:rPr>
            </w:pPr>
          </w:p>
        </w:tc>
        <w:tc>
          <w:tcPr>
            <w:tcW w:w="1300" w:type="dxa"/>
            <w:vAlign w:val="bottom"/>
            <w:vMerge w:val="restart"/>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820" w:type="dxa"/>
            <w:vAlign w:val="bottom"/>
            <w:gridSpan w:val="5"/>
            <w:vMerge w:val="continue"/>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180" w:type="dxa"/>
            <w:vAlign w:val="bottom"/>
            <w:tcBorders>
              <w:bottom w:val="single" w:sz="8" w:color="0000FF"/>
            </w:tcBorders>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4180" w:type="dxa"/>
            <w:vAlign w:val="bottom"/>
            <w:gridSpan w:val="8"/>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400" w:right="6859" w:hanging="675"/>
        <w:spacing w:after="0" w:line="284" w:lineRule="auto"/>
        <w:tabs>
          <w:tab w:leader="none" w:pos="10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tbl>
      <w:tblPr>
        <w:tblLayout w:type="fixed"/>
        <w:tblInd w:w="720" w:type="dxa"/>
        <w:tblCellMar>
          <w:top w:w="0" w:type="dxa"/>
          <w:left w:w="0" w:type="dxa"/>
          <w:bottom w:w="0" w:type="dxa"/>
          <w:right w:w="0" w:type="dxa"/>
        </w:tblCellMar>
      </w:tblPr>
      <w:tr>
        <w:trPr>
          <w:trHeight w:val="190"/>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color w:val="0000FF"/>
              </w:rPr>
              <w:t>Exhibit Index</w:t>
            </w:r>
          </w:p>
        </w:tc>
        <w:tc>
          <w:tcPr>
            <w:tcW w:w="6980" w:type="dxa"/>
            <w:vAlign w:val="bottom"/>
            <w:vMerge w:val="restart"/>
          </w:tcPr>
          <w:p>
            <w:pPr>
              <w:spacing w:after="0"/>
              <w:rPr>
                <w:sz w:val="16"/>
                <w:szCs w:val="16"/>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1340" w:type="dxa"/>
            <w:vAlign w:val="bottom"/>
            <w:gridSpan w:val="2"/>
            <w:vMerge w:val="continue"/>
          </w:tcPr>
          <w:p>
            <w:pPr>
              <w:spacing w:after="0" w:line="20" w:lineRule="exact"/>
              <w:rPr>
                <w:sz w:val="1"/>
                <w:szCs w:val="1"/>
                <w:color w:val="auto"/>
              </w:rPr>
            </w:pPr>
          </w:p>
        </w:tc>
        <w:tc>
          <w:tcPr>
            <w:tcW w:w="69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32" w:name="page33"/>
    <w:bookmarkEnd w:id="32"/>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Tredegar Corporation and subsidiaries (the Company) as of December 31, 2025 and December 31, 2024, the related consolidated statements of income (loss), comprehensive income (loss), cashflows, and shareholders’ equity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December 31, 2024, and the results of its operations and its cash flows for each of the years in the three-year period ended December 31, 2025, in conformity with U.S. generally accepted accounting principles.</w:t>
      </w:r>
    </w:p>
    <w:p>
      <w:pPr>
        <w:spacing w:after="0" w:line="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11, 2026 expressed an unqualified opinion on the effectiveness of the Company’s internal control over financial reporting.</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Sufficiency of audit evidence over sales</w:t>
      </w:r>
    </w:p>
    <w:p>
      <w:pPr>
        <w:spacing w:after="0" w:line="10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discussed in Notes 1 and 12 to the consolidated financial statements, the Company recorded approximately $722,864 thousand of sales during the year ended December 31, 2025. Sales are recognized by the sale of finished products to customers. Those sales predominantly contain a single performance obligation and revenue is recognized at the point in time when control of the product is transferred to customers, along with the title, risk of loss and rewards of ownership. Depending on the arrangement with the customer, these criteria are met either at the time the product is shipped or when the product is made available or delivered to the destination specified in the agreement with the customer. The processing and recording of sales is decentralized across multiple locations and is reliant on multiple information technology (IT) systems.</w:t>
      </w:r>
    </w:p>
    <w:p>
      <w:pPr>
        <w:spacing w:after="0" w:line="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sufficiency of audit evidence over sales as a critical audit matter. Subjective auditor judgment was required to determine the nature and extent of procedures to be performed over the Company’s locations because of the number of IT applications, the decentralized nature of the sales generating activities, and the need to involve IT professionals with specialized skills and knowledge.</w:t>
      </w:r>
    </w:p>
    <w:p>
      <w:pPr>
        <w:spacing w:after="0" w:line="5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applied auditor judgment to determine the nature and extent of procedures to be performed over sales, including determining the locations at which those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t>procedures were to be performed. For each location where procedures were performed, we evaluated the design and tested the operating effectiveness of certain internal controls over the Company’s revenue recognition processes, including the controls over the accurate recording of revenue transactions. We involved IT professionals with specialized skills and knowledge, who assisted in testing certain general IT controls and application controls, including IT system-generated reports used by the Company in its revenue recognition processes. At certain locations, we selected a sample of transactions and compared the amounts recognized to relevant cash receipts as well as underlying documentation such as contracts, purchase orders, shipping documents, or other third-party evidence. At certain locations, we performed software-assisted data analysis to test relationships among certain revenue transactions. At the locations we performed software-assisted data analysis, we also tested certain transactions and compared the amounts recognized by the Company to relevant cash receipts as well as underlying documentation such as contracts, purchase orders, shipping documents, or other third-party evidence. We evaluated the sufficiency of audit evidence obtained by assessing the results of procedures performed, including the appropriateness of the nature and extent of such evidence.</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/s/KPMG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We have audited Tredegar Corporation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December 31, 2024, the related consolidated statements of income (loss), comprehensive income (loss), cash flows, and shareholders’ equity, for each of the years in the three-year period ended December 31, 2025, and the related notes (collectively, the consolidated financial statements), and our report dated March 11, 2026 expressed an unqualified opinion on those consolidated financial statements.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/s/KPMG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19"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5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rPr>
              <w:t>2024</w:t>
            </w:r>
          </w:p>
        </w:tc>
      </w:tr>
      <w:tr>
        <w:trPr>
          <w:trHeight w:val="195"/>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data)</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5"/>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6,729</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7,062</w:t>
            </w:r>
          </w:p>
        </w:tc>
      </w:tr>
      <w:tr>
        <w:trPr>
          <w:trHeight w:val="196"/>
        </w:trPr>
        <w:tc>
          <w:tcPr>
            <w:tcW w:w="8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and other receivables, net</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81,811</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64,817</w:t>
            </w:r>
          </w:p>
        </w:tc>
      </w:tr>
      <w:tr>
        <w:trPr>
          <w:trHeight w:val="20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recoverable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64,962</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51,381</w:t>
            </w:r>
          </w:p>
        </w:tc>
      </w:tr>
      <w:tr>
        <w:trPr>
          <w:trHeight w:val="203"/>
        </w:trPr>
        <w:tc>
          <w:tcPr>
            <w:tcW w:w="85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15,525</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16,567</w:t>
            </w:r>
          </w:p>
        </w:tc>
      </w:tr>
      <w:tr>
        <w:trPr>
          <w:trHeight w:val="196"/>
        </w:trPr>
        <w:tc>
          <w:tcPr>
            <w:tcW w:w="852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169,074</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139,827</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at cost: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96"/>
        </w:trPr>
        <w:tc>
          <w:tcPr>
            <w:tcW w:w="8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Land and land improvements</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4,294</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r>
      <w:tr>
        <w:trPr>
          <w:trHeight w:val="20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Buildings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68,184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67,871</w:t>
            </w:r>
          </w:p>
        </w:tc>
      </w:tr>
      <w:tr>
        <w:trPr>
          <w:trHeight w:val="196"/>
        </w:trPr>
        <w:tc>
          <w:tcPr>
            <w:tcW w:w="8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Machinery and equipment</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436,952</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426,815</w:t>
            </w:r>
          </w:p>
        </w:tc>
      </w:tr>
      <w:tr>
        <w:trPr>
          <w:trHeight w:val="202"/>
        </w:trPr>
        <w:tc>
          <w:tcPr>
            <w:tcW w:w="8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509,430</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499,426</w:t>
            </w:r>
          </w:p>
        </w:tc>
      </w:tr>
      <w:tr>
        <w:trPr>
          <w:trHeight w:val="196"/>
        </w:trPr>
        <w:tc>
          <w:tcPr>
            <w:tcW w:w="8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(376,455)</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(362,394)</w:t>
            </w:r>
          </w:p>
        </w:tc>
      </w:tr>
      <w:tr>
        <w:trPr>
          <w:trHeight w:val="202"/>
        </w:trPr>
        <w:tc>
          <w:tcPr>
            <w:tcW w:w="8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132,975</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137,032</w:t>
            </w:r>
          </w:p>
        </w:tc>
      </w:tr>
      <w:tr>
        <w:trPr>
          <w:trHeight w:val="19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leased assets</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12,764</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14,635</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Identifiable intangible assets, net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5,568</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7,326</w:t>
            </w:r>
          </w:p>
        </w:tc>
      </w:tr>
      <w:tr>
        <w:trPr>
          <w:trHeight w:val="19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22,446</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22,446</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26,277</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32,517</w:t>
            </w:r>
          </w:p>
        </w:tc>
      </w:tr>
      <w:tr>
        <w:trPr>
          <w:trHeight w:val="19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2,268</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2,448</w:t>
            </w:r>
          </w:p>
        </w:tc>
      </w:tr>
      <w:tr>
        <w:trPr>
          <w:trHeight w:val="203"/>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209"/>
        </w:trPr>
        <w:tc>
          <w:tcPr>
            <w:tcW w:w="85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371,372</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356,357</w:t>
            </w:r>
          </w:p>
        </w:tc>
      </w:tr>
      <w:tr>
        <w:trPr>
          <w:trHeight w:val="202"/>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95"/>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75,754</w:t>
            </w:r>
          </w:p>
        </w:tc>
        <w:tc>
          <w:tcPr>
            <w:tcW w:w="36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64,704</w:t>
            </w:r>
          </w:p>
        </w:tc>
      </w:tr>
      <w:tr>
        <w:trPr>
          <w:trHeight w:val="196"/>
        </w:trPr>
        <w:tc>
          <w:tcPr>
            <w:tcW w:w="8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25,411</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22,168</w:t>
            </w:r>
          </w:p>
        </w:tc>
      </w:tr>
      <w:tr>
        <w:trPr>
          <w:trHeight w:val="20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Lease liability, short-term</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2,263</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w:t>
            </w:r>
          </w:p>
        </w:tc>
      </w:tr>
      <w:tr>
        <w:trPr>
          <w:trHeight w:val="196"/>
        </w:trPr>
        <w:tc>
          <w:tcPr>
            <w:tcW w:w="8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Short-term debt</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498</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1,322</w:t>
            </w:r>
          </w:p>
        </w:tc>
      </w:tr>
      <w:tr>
        <w:trPr>
          <w:trHeight w:val="209"/>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taxes payable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6"/>
        </w:trPr>
        <w:tc>
          <w:tcPr>
            <w:tcW w:w="8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w:t>
            </w:r>
          </w:p>
        </w:tc>
      </w:tr>
      <w:tr>
        <w:trPr>
          <w:trHeight w:val="202"/>
        </w:trPr>
        <w:tc>
          <w:tcPr>
            <w:tcW w:w="8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104,381</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91,708</w:t>
            </w:r>
          </w:p>
        </w:tc>
      </w:tr>
      <w:tr>
        <w:trPr>
          <w:trHeight w:val="19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liability, long-term</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10,960</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12,993</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ABL revolving facility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34,550</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60,600</w:t>
            </w:r>
          </w:p>
        </w:tc>
      </w:tr>
      <w:tr>
        <w:trPr>
          <w:trHeight w:val="19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080808"/>
              </w:rPr>
              <w:t>Pension and other postretirement benefit obligations, net</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1,196</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5,914</w:t>
            </w:r>
          </w:p>
        </w:tc>
      </w:tr>
      <w:tr>
        <w:trPr>
          <w:trHeight w:val="20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96"/>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3,731</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4,105</w:t>
            </w:r>
          </w:p>
        </w:tc>
      </w:tr>
      <w:tr>
        <w:trPr>
          <w:trHeight w:val="202"/>
        </w:trPr>
        <w:tc>
          <w:tcPr>
            <w:tcW w:w="8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154,818</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175,389</w:t>
            </w:r>
          </w:p>
        </w:tc>
      </w:tr>
      <w:tr>
        <w:trPr>
          <w:trHeight w:val="195"/>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Contingencies (Note 14)</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66"/>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no par value (authorized 150,000,000 shares, issued and outstanding— 34,737,534 shares at December 31, 2025 and 34,661,272 at</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5"/>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31, 2024)</w:t>
            </w:r>
          </w:p>
        </w:tc>
        <w:tc>
          <w:tcPr>
            <w:tcW w:w="3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65,477</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63,590</w:t>
            </w:r>
          </w:p>
        </w:tc>
      </w:tr>
      <w:tr>
        <w:trPr>
          <w:trHeight w:val="23"/>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0"/>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held in trust for savings restoration plan (118,542 shares at December 31, 2025 and 118,543 shares at December 31, 2024)</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(2,233)</w:t>
            </w:r>
          </w:p>
        </w:tc>
        <w:tc>
          <w:tcPr>
            <w:tcW w:w="3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(2,233)</w:t>
            </w:r>
          </w:p>
        </w:tc>
      </w:tr>
      <w:tr>
        <w:trPr>
          <w:trHeight w:val="195"/>
        </w:trPr>
        <w:tc>
          <w:tcPr>
            <w:tcW w:w="8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0"/>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5,566</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5,105</w:t>
            </w:r>
          </w:p>
        </w:tc>
      </w:tr>
      <w:tr>
        <w:trPr>
          <w:trHeight w:val="196"/>
        </w:trPr>
        <w:tc>
          <w:tcPr>
            <w:tcW w:w="85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Gain (loss) on derivative financial instruments</w:t>
            </w:r>
          </w:p>
        </w:tc>
        <w:tc>
          <w:tcPr>
            <w:tcW w:w="300" w:type="dxa"/>
            <w:vAlign w:val="bottom"/>
          </w:tcPr>
          <w:p>
            <w:pPr>
              <w:spacing w:after="0"/>
              <w:rPr>
                <w:sz w:val="17"/>
                <w:szCs w:val="17"/>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1,071</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r>
      <w:tr>
        <w:trPr>
          <w:trHeight w:val="209"/>
        </w:trPr>
        <w:tc>
          <w:tcPr>
            <w:tcW w:w="85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Pension and other postretirement benefit adjustments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(215)</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96"/>
        </w:trPr>
        <w:tc>
          <w:tcPr>
            <w:tcW w:w="8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Retained earnings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146,888</w:t>
            </w: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113,412</w:t>
            </w:r>
          </w:p>
        </w:tc>
      </w:tr>
      <w:tr>
        <w:trPr>
          <w:trHeight w:val="196"/>
        </w:trPr>
        <w:tc>
          <w:tcPr>
            <w:tcW w:w="85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216,554</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180,968</w:t>
            </w:r>
          </w:p>
        </w:tc>
      </w:tr>
      <w:tr>
        <w:trPr>
          <w:trHeight w:val="209"/>
        </w:trPr>
        <w:tc>
          <w:tcPr>
            <w:tcW w:w="85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371,372</w:t>
            </w:r>
          </w:p>
        </w:tc>
        <w:tc>
          <w:tcPr>
            <w:tcW w:w="3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356,357</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6"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and other:</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722,864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598,025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573,323</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1,399</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724,263</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597,073</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571,174</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589,321</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480,958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480,440</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Freight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24,133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21,011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79,030</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72,970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65,388</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702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1,758</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57</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4,003</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4,664</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0" w:type="dxa"/>
            <w:vAlign w:val="bottom"/>
          </w:tcPr>
          <w:p>
            <w:pPr>
              <w:spacing w:after="0"/>
              <w:rPr>
                <w:sz w:val="1"/>
                <w:szCs w:val="1"/>
                <w:color w:val="auto"/>
              </w:rPr>
            </w:pPr>
          </w:p>
        </w:tc>
      </w:tr>
      <w:tr>
        <w:trPr>
          <w:trHeight w:val="176"/>
        </w:trPr>
        <w:tc>
          <w:tcPr>
            <w:tcW w:w="64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w:t>
            </w:r>
          </w:p>
        </w:tc>
        <w:tc>
          <w:tcPr>
            <w:tcW w:w="7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855</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w:t>
            </w:r>
          </w:p>
        </w:tc>
        <w:tc>
          <w:tcPr>
            <w:tcW w:w="7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613</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29"/>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OPEB termination gain</w:t>
            </w:r>
          </w:p>
        </w:tc>
        <w:tc>
          <w:tcPr>
            <w:tcW w:w="7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(6,265)</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settlement loss</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13,271</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0" w:type="dxa"/>
            <w:vAlign w:val="bottom"/>
          </w:tcPr>
          <w:p>
            <w:pPr>
              <w:spacing w:after="0"/>
              <w:rPr>
                <w:sz w:val="1"/>
                <w:szCs w:val="1"/>
                <w:color w:val="auto"/>
              </w:rPr>
            </w:pPr>
          </w:p>
        </w:tc>
      </w:tr>
      <w:tr>
        <w:trPr>
          <w:trHeight w:val="223"/>
        </w:trPr>
        <w:tc>
          <w:tcPr>
            <w:tcW w:w="6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693,594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596,193</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721,639</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30,669</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6,584</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0" w:type="dxa"/>
            <w:vAlign w:val="bottom"/>
          </w:tcPr>
          <w:p>
            <w:pPr>
              <w:spacing w:after="0"/>
              <w:rPr>
                <w:sz w:val="1"/>
                <w:szCs w:val="1"/>
                <w:color w:val="auto"/>
              </w:rPr>
            </w:pP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70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24,085</w:t>
            </w:r>
          </w:p>
        </w:tc>
        <w:tc>
          <w:tcPr>
            <w:tcW w:w="3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(99,165)</w:t>
            </w:r>
          </w:p>
        </w:tc>
        <w:tc>
          <w:tcPr>
            <w:tcW w:w="0" w:type="dxa"/>
            <w:vAlign w:val="bottom"/>
          </w:tcPr>
          <w:p>
            <w:pPr>
              <w:spacing w:after="0"/>
              <w:rPr>
                <w:sz w:val="1"/>
                <w:szCs w:val="1"/>
                <w:color w:val="auto"/>
              </w:rPr>
            </w:pPr>
          </w:p>
        </w:tc>
      </w:tr>
      <w:tr>
        <w:trPr>
          <w:trHeight w:val="229"/>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9,391</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33,476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0" w:type="dxa"/>
            <w:vAlign w:val="bottom"/>
          </w:tcPr>
          <w:p>
            <w:pPr>
              <w:spacing w:after="0"/>
              <w:rPr>
                <w:sz w:val="1"/>
                <w:szCs w:val="1"/>
                <w:color w:val="auto"/>
              </w:rPr>
            </w:pPr>
          </w:p>
        </w:tc>
      </w:tr>
      <w:tr>
        <w:trPr>
          <w:trHeight w:val="243"/>
        </w:trPr>
        <w:tc>
          <w:tcPr>
            <w:tcW w:w="64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Continuing operations</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0.69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0.27</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3"/>
        </w:trPr>
        <w:tc>
          <w:tcPr>
            <w:tcW w:w="6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0.96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Continuing operations</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0.69</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64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0.27</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23"/>
        </w:trPr>
        <w:tc>
          <w:tcPr>
            <w:tcW w:w="6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0.96</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used to compute earnings (loss) per share:</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34,735</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34,346</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0" w:type="dxa"/>
            <w:vAlign w:val="bottom"/>
          </w:tcPr>
          <w:p>
            <w:pPr>
              <w:spacing w:after="0"/>
              <w:rPr>
                <w:sz w:val="1"/>
                <w:szCs w:val="1"/>
                <w:color w:val="auto"/>
              </w:rPr>
            </w:pPr>
          </w:p>
        </w:tc>
      </w:tr>
      <w:tr>
        <w:trPr>
          <w:trHeight w:val="238"/>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7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34,735</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34,346</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26"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 w:lineRule="exact"/>
        <w:rPr>
          <w:sz w:val="20"/>
          <w:szCs w:val="20"/>
          <w:color w:val="auto"/>
        </w:rPr>
      </w:pPr>
    </w:p>
    <w:p>
      <w:pPr>
        <w:jc w:val="both"/>
        <w:ind w:left="7260"/>
        <w:spacing w:after="0"/>
        <w:tabs>
          <w:tab w:leader="none" w:pos="8780" w:val="left"/>
          <w:tab w:leader="none" w:pos="103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color w:val="auto"/>
        </w:rPr>
        <w:t>2024</w:t>
      </w:r>
      <w:r>
        <w:rPr>
          <w:sz w:val="20"/>
          <w:szCs w:val="20"/>
          <w:color w:val="auto"/>
        </w:rPr>
        <w:tab/>
      </w:r>
      <w:r>
        <w:rPr>
          <w:rFonts w:ascii="Times New Roman" w:cs="Times New Roman" w:eastAsia="Times New Roman" w:hAnsi="Times New Roman"/>
          <w:sz w:val="18"/>
          <w:szCs w:val="18"/>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Net income (loss)</w:t>
      </w:r>
      <w:r>
        <w:rPr>
          <w:sz w:val="20"/>
          <w:szCs w:val="20"/>
          <w:color w:val="auto"/>
        </w:rPr>
        <w:tab/>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1" w:lineRule="exact"/>
        <w:rPr>
          <w:sz w:val="20"/>
          <w:szCs w:val="20"/>
          <w:color w:val="auto"/>
        </w:rPr>
      </w:pPr>
    </w:p>
    <w:p>
      <w:pPr>
        <w:ind w:left="460" w:right="220"/>
        <w:spacing w:after="0" w:line="281" w:lineRule="auto"/>
        <w:rPr>
          <w:sz w:val="20"/>
          <w:szCs w:val="20"/>
          <w:color w:val="auto"/>
        </w:rPr>
      </w:pPr>
      <w:r>
        <w:rPr>
          <w:rFonts w:ascii="Times New Roman" w:cs="Times New Roman" w:eastAsia="Times New Roman" w:hAnsi="Times New Roman"/>
          <w:sz w:val="18"/>
          <w:szCs w:val="18"/>
          <w:color w:val="auto"/>
        </w:rPr>
        <w:t>Unrealized foreign currency translation adjustment ($0 tax in 2025, net of tax expense of $0 in 2024 and net of tax expense of $469 in 2023)</w:t>
      </w:r>
    </w:p>
    <w:p>
      <w:pPr>
        <w:spacing w:after="0" w:line="1" w:lineRule="exact"/>
        <w:rPr>
          <w:sz w:val="20"/>
          <w:szCs w:val="20"/>
          <w:color w:val="auto"/>
        </w:rPr>
      </w:pPr>
    </w:p>
    <w:p>
      <w:pPr>
        <w:ind w:left="460" w:right="380"/>
        <w:spacing w:after="0" w:line="281" w:lineRule="auto"/>
        <w:rPr>
          <w:sz w:val="20"/>
          <w:szCs w:val="20"/>
          <w:color w:val="auto"/>
        </w:rPr>
      </w:pPr>
      <w:r>
        <w:rPr>
          <w:rFonts w:ascii="Times New Roman" w:cs="Times New Roman" w:eastAsia="Times New Roman" w:hAnsi="Times New Roman"/>
          <w:sz w:val="18"/>
          <w:szCs w:val="18"/>
          <w:color w:val="auto"/>
        </w:rPr>
        <w:t>Reclassification of foreign currency translation loss realized on the sale of Terphane (net of tax expense $601)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460" w:right="360"/>
        <w:spacing w:after="0" w:line="273" w:lineRule="auto"/>
        <w:rPr>
          <w:sz w:val="20"/>
          <w:szCs w:val="20"/>
          <w:color w:val="auto"/>
        </w:rPr>
      </w:pPr>
      <w:r>
        <w:rPr>
          <w:rFonts w:ascii="Times New Roman" w:cs="Times New Roman" w:eastAsia="Times New Roman" w:hAnsi="Times New Roman"/>
          <w:sz w:val="18"/>
          <w:szCs w:val="18"/>
          <w:color w:val="auto"/>
        </w:rPr>
        <w:t>Derivative financial instruments adjustment (net of tax expense of $220 in 2025, net of tax expense of $85 in 2024 and net of tax expense of $933 in 2023)</w:t>
      </w:r>
    </w:p>
    <w:p>
      <w:pPr>
        <w:spacing w:after="0" w:line="2" w:lineRule="exact"/>
        <w:rPr>
          <w:sz w:val="20"/>
          <w:szCs w:val="20"/>
          <w:color w:val="auto"/>
        </w:rPr>
      </w:pPr>
    </w:p>
    <w:p>
      <w:pPr>
        <w:ind w:left="400" w:right="860"/>
        <w:spacing w:after="0" w:line="237" w:lineRule="auto"/>
        <w:rPr>
          <w:sz w:val="20"/>
          <w:szCs w:val="20"/>
          <w:color w:val="auto"/>
        </w:rPr>
      </w:pPr>
      <w:r>
        <w:rPr>
          <w:rFonts w:ascii="Times New Roman" w:cs="Times New Roman" w:eastAsia="Times New Roman" w:hAnsi="Times New Roman"/>
          <w:sz w:val="18"/>
          <w:szCs w:val="18"/>
          <w:color w:val="auto"/>
        </w:rPr>
        <w:t>Reclassification of derivative financial instruments loss realized on the sale of Terphane (net of tax benefit $1,209)</w:t>
      </w:r>
    </w:p>
    <w:p>
      <w:pPr>
        <w:spacing w:after="0" w:line="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Pension &amp; other postretirement benefit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jc w:val="both"/>
        <w:ind w:left="680" w:right="280"/>
        <w:spacing w:after="0" w:line="266" w:lineRule="auto"/>
        <w:rPr>
          <w:sz w:val="20"/>
          <w:szCs w:val="20"/>
          <w:color w:val="auto"/>
        </w:rPr>
      </w:pPr>
      <w:r>
        <w:rPr>
          <w:rFonts w:ascii="Times New Roman" w:cs="Times New Roman" w:eastAsia="Times New Roman" w:hAnsi="Times New Roman"/>
          <w:sz w:val="18"/>
          <w:szCs w:val="18"/>
          <w:color w:val="auto"/>
        </w:rPr>
        <w:t>Recognized actuarial gain on the other postretirement benefits termination in 2025 and recognition in earnings of actuarial loss for pension settlement in 2023 (net of tax benefit of $454 in 2025 and net of tax expense of $41,294 on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680" w:right="340"/>
        <w:spacing w:after="0" w:line="281" w:lineRule="auto"/>
        <w:rPr>
          <w:sz w:val="20"/>
          <w:szCs w:val="20"/>
          <w:color w:val="auto"/>
        </w:rPr>
      </w:pPr>
      <w:r>
        <w:rPr>
          <w:rFonts w:ascii="Times New Roman" w:cs="Times New Roman" w:eastAsia="Times New Roman" w:hAnsi="Times New Roman"/>
          <w:sz w:val="18"/>
          <w:szCs w:val="18"/>
          <w:color w:val="auto"/>
        </w:rPr>
        <w:t>Net gains (losses) and prior service costs (net of tax benefit of $13 in 2025, net of tax expense of $109 in 2024 and net of tax expense of $422 in 2023)</w:t>
      </w:r>
    </w:p>
    <w:p>
      <w:pPr>
        <w:spacing w:after="0" w:line="1" w:lineRule="exact"/>
        <w:rPr>
          <w:sz w:val="20"/>
          <w:szCs w:val="20"/>
          <w:color w:val="auto"/>
        </w:rPr>
      </w:pPr>
    </w:p>
    <w:p>
      <w:pPr>
        <w:jc w:val="both"/>
        <w:ind w:left="680" w:right="200"/>
        <w:spacing w:after="0" w:line="304" w:lineRule="auto"/>
        <w:rPr>
          <w:sz w:val="20"/>
          <w:szCs w:val="20"/>
          <w:color w:val="auto"/>
        </w:rPr>
      </w:pPr>
      <w:r>
        <w:rPr>
          <w:rFonts w:ascii="Times New Roman" w:cs="Times New Roman" w:eastAsia="Times New Roman" w:hAnsi="Times New Roman"/>
          <w:sz w:val="17"/>
          <w:szCs w:val="17"/>
          <w:color w:val="auto"/>
        </w:rPr>
        <w:t>Amortization of prior service costs and net gains or losses (net of tax benefit of $56 in 2025, net of tax benefit of $31 in 2024 and net of tax expense of $1,968 in 2023)</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6"/>
              </w:rPr>
              <w:t>33,476</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r>
      <w:tr>
        <w:trPr>
          <w:trHeight w:val="71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48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88,437</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6"/>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803</w:t>
            </w: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755</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418"/>
        </w:trPr>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932"/>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50,997</w:t>
            </w:r>
          </w:p>
        </w:tc>
      </w:tr>
      <w:tr>
        <w:trPr>
          <w:trHeight w:val="486"/>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5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397</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r>
      <w:tr>
        <w:trPr>
          <w:trHeight w:val="484"/>
        </w:trPr>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r>
    </w:tbl>
    <w:p>
      <w:pPr>
        <w:spacing w:after="0" w:line="20" w:lineRule="exact"/>
        <w:rPr>
          <w:sz w:val="20"/>
          <w:szCs w:val="20"/>
          <w:color w:val="auto"/>
        </w:rPr>
      </w:pPr>
    </w:p>
    <w:p>
      <w:pPr>
        <w:sectPr>
          <w:pgSz w:w="11900" w:h="16838" w:orient="portrait"/>
          <w:cols w:equalWidth="0" w:num="2">
            <w:col w:w="6880" w:space="720"/>
            <w:col w:w="3640"/>
          </w:cols>
          <w:pgMar w:left="320" w:top="887"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840" w:type="dxa"/>
            <w:vAlign w:val="bottom"/>
            <w:tcBorders>
              <w:top w:val="single" w:sz="8" w:color="auto"/>
              <w:bottom w:val="single" w:sz="8" w:color="auto"/>
            </w:tcBorders>
            <w:shd w:val="clear" w:color="auto" w:fill="CCEEFF"/>
          </w:tcPr>
          <w:p>
            <w:pPr>
              <w:ind w:left="360"/>
              <w:spacing w:after="0" w:line="205"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3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b w:val="1"/>
                <w:bCs w:val="1"/>
                <w:color w:val="auto"/>
              </w:rPr>
              <w:t>223</w:t>
            </w:r>
          </w:p>
        </w:tc>
        <w:tc>
          <w:tcPr>
            <w:tcW w:w="58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87,896</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65,898</w:t>
            </w:r>
          </w:p>
        </w:tc>
      </w:tr>
      <w:tr>
        <w:trPr>
          <w:trHeight w:val="230"/>
        </w:trPr>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33,699</w:t>
            </w:r>
          </w:p>
        </w:tc>
        <w:tc>
          <w:tcPr>
            <w:tcW w:w="5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23,331</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(40,007)</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31"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33,476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for noncash items: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14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19,971</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23,681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25,786</w:t>
            </w:r>
          </w:p>
        </w:tc>
      </w:tr>
      <w:tr>
        <w:trPr>
          <w:trHeight w:val="230"/>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identifiable intangibles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Goodwill impairment</w:t>
            </w:r>
          </w:p>
        </w:tc>
        <w:tc>
          <w:tcPr>
            <w:tcW w:w="14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34,891</w:t>
            </w:r>
          </w:p>
        </w:tc>
      </w:tr>
      <w:tr>
        <w:trPr>
          <w:trHeight w:val="22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Reduction of right-of-use lease asset</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30"/>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14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6,224</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(56,098)</w:t>
            </w:r>
          </w:p>
        </w:tc>
      </w:tr>
      <w:tr>
        <w:trPr>
          <w:trHeight w:val="22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w:t>
            </w:r>
          </w:p>
        </w:tc>
      </w:tr>
      <w:tr>
        <w:trPr>
          <w:trHeight w:val="230"/>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OPEB termination gain</w:t>
            </w:r>
          </w:p>
        </w:tc>
        <w:tc>
          <w:tcPr>
            <w:tcW w:w="1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(6,265)</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Pension settlement loss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92,291</w:t>
            </w:r>
          </w:p>
        </w:tc>
      </w:tr>
      <w:tr>
        <w:trPr>
          <w:trHeight w:val="229"/>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1,808</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30"/>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Gain on investment in kaléo</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9"/>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loss on sale of divested business</w:t>
            </w:r>
          </w:p>
        </w:tc>
        <w:tc>
          <w:tcPr>
            <w:tcW w:w="1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(9,657)</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74,877</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Production equipment asset impairment</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843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the sale of assets</w:t>
            </w:r>
          </w:p>
        </w:tc>
        <w:tc>
          <w:tcPr>
            <w:tcW w:w="1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Impairment of Richmond, Virginia Technical Center assets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3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(16,992)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w:t>
            </w:r>
          </w:p>
        </w:tc>
      </w:tr>
      <w:tr>
        <w:trPr>
          <w:trHeight w:val="229"/>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47,607</w:t>
            </w:r>
          </w:p>
        </w:tc>
      </w:tr>
      <w:tr>
        <w:trPr>
          <w:trHeight w:val="230"/>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taxes recoverable/payable</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89</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2,068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30"/>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13,568</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(25,165)</w:t>
            </w:r>
          </w:p>
        </w:tc>
      </w:tr>
      <w:tr>
        <w:trPr>
          <w:trHeight w:val="230"/>
        </w:trPr>
        <w:tc>
          <w:tcPr>
            <w:tcW w:w="6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Lease liability</w:t>
            </w:r>
          </w:p>
        </w:tc>
        <w:tc>
          <w:tcPr>
            <w:tcW w:w="1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(2,422)</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and postretirement benefit plan contributions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w:t>
            </w:r>
          </w:p>
        </w:tc>
      </w:tr>
      <w:tr>
        <w:trPr>
          <w:trHeight w:val="230"/>
        </w:trPr>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1,820</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23"/>
        </w:trPr>
        <w:tc>
          <w:tcPr>
            <w:tcW w:w="60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32,977</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25,508</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23,995</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(26,446)</w:t>
            </w:r>
          </w:p>
        </w:tc>
      </w:tr>
      <w:tr>
        <w:trPr>
          <w:trHeight w:val="230"/>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sale of kaléo</w:t>
            </w:r>
          </w:p>
        </w:tc>
        <w:tc>
          <w:tcPr>
            <w:tcW w:w="14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on sale of divested business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9,835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54,631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Proceeds from the sale of assets</w:t>
            </w: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1,904</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40,511</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(26,184)</w:t>
            </w: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Borrowings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123,390</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615,201</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116,134</w:t>
            </w:r>
          </w:p>
        </w:tc>
      </w:tr>
      <w:tr>
        <w:trPr>
          <w:trHeight w:val="229"/>
        </w:trPr>
        <w:tc>
          <w:tcPr>
            <w:tcW w:w="6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principal payments</w:t>
            </w:r>
          </w:p>
        </w:tc>
        <w:tc>
          <w:tcPr>
            <w:tcW w:w="1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(150,273)</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(679,590)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(107,713)</w:t>
            </w:r>
          </w:p>
        </w:tc>
      </w:tr>
      <w:tr>
        <w:trPr>
          <w:trHeight w:val="230"/>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r>
      <w:tr>
        <w:trPr>
          <w:trHeight w:val="230"/>
        </w:trPr>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Debt financing costs</w:t>
            </w: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3"/>
        </w:trPr>
        <w:tc>
          <w:tcPr>
            <w:tcW w:w="6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(28,155)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30"/>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30"/>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7,062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13,455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19,232</w:t>
            </w:r>
          </w:p>
        </w:tc>
      </w:tr>
      <w:tr>
        <w:trPr>
          <w:trHeight w:val="23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6,729</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7,062</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payments</w:t>
            </w: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3,901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10,499</w:t>
            </w:r>
          </w:p>
        </w:tc>
      </w:tr>
      <w:tr>
        <w:trPr>
          <w:trHeight w:val="236"/>
        </w:trPr>
        <w:tc>
          <w:tcPr>
            <w:tcW w:w="6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Income tax payments, net</w:t>
            </w: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3,358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12,228</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ectPr>
          <w:pgSz w:w="11900" w:h="16838" w:orient="portrait"/>
          <w:cols w:equalWidth="0" w:num="1">
            <w:col w:w="11240"/>
          </w:cols>
          <w:pgMar w:left="320" w:top="725"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12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for</w:t>
            </w:r>
          </w:p>
        </w:tc>
        <w:tc>
          <w:tcPr>
            <w:tcW w:w="16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Accumulated Other</w:t>
            </w:r>
          </w:p>
        </w:tc>
        <w:tc>
          <w:tcPr>
            <w:tcW w:w="240" w:type="dxa"/>
            <w:vAlign w:val="bottom"/>
          </w:tcPr>
          <w:p>
            <w:pPr>
              <w:spacing w:after="0"/>
              <w:rPr>
                <w:sz w:val="17"/>
                <w:szCs w:val="17"/>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167"/>
        </w:trPr>
        <w:tc>
          <w:tcPr>
            <w:tcW w:w="3820" w:type="dxa"/>
            <w:vAlign w:val="bottom"/>
          </w:tcPr>
          <w:p>
            <w:pPr>
              <w:spacing w:after="0"/>
              <w:rPr>
                <w:sz w:val="14"/>
                <w:szCs w:val="14"/>
                <w:color w:val="auto"/>
              </w:rPr>
            </w:pPr>
          </w:p>
        </w:tc>
        <w:tc>
          <w:tcPr>
            <w:tcW w:w="212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Retained</w:t>
            </w:r>
          </w:p>
        </w:tc>
        <w:tc>
          <w:tcPr>
            <w:tcW w:w="220" w:type="dxa"/>
            <w:vAlign w:val="bottom"/>
          </w:tcPr>
          <w:p>
            <w:pPr>
              <w:spacing w:after="0"/>
              <w:rPr>
                <w:sz w:val="14"/>
                <w:szCs w:val="14"/>
                <w:color w:val="auto"/>
              </w:rPr>
            </w:pPr>
          </w:p>
        </w:tc>
        <w:tc>
          <w:tcPr>
            <w:tcW w:w="112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color w:val="auto"/>
              </w:rPr>
              <w:t>Savings</w:t>
            </w: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56" w:lineRule="exact"/>
              <w:rPr>
                <w:sz w:val="20"/>
                <w:szCs w:val="20"/>
                <w:color w:val="auto"/>
              </w:rPr>
            </w:pPr>
            <w:r>
              <w:rPr>
                <w:rFonts w:ascii="Times New Roman" w:cs="Times New Roman" w:eastAsia="Times New Roman" w:hAnsi="Times New Roman"/>
                <w:sz w:val="18"/>
                <w:szCs w:val="18"/>
                <w:color w:val="auto"/>
              </w:rPr>
              <w:t>Comprehensive</w:t>
            </w:r>
          </w:p>
        </w:tc>
        <w:tc>
          <w:tcPr>
            <w:tcW w:w="1200" w:type="dxa"/>
            <w:vAlign w:val="bottom"/>
            <w:gridSpan w:val="2"/>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Shareholders’</w:t>
            </w: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per-share data)</w:t>
            </w: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Restoration Plan</w:t>
            </w:r>
          </w:p>
        </w:tc>
        <w:tc>
          <w:tcPr>
            <w:tcW w:w="18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Income (Loss)</w:t>
            </w:r>
          </w:p>
        </w:tc>
        <w:tc>
          <w:tcPr>
            <w:tcW w:w="240" w:type="dxa"/>
            <w:vAlign w:val="bottom"/>
          </w:tcPr>
          <w:p>
            <w:pPr>
              <w:spacing w:after="0"/>
              <w:rPr>
                <w:sz w:val="20"/>
                <w:szCs w:val="20"/>
                <w:color w:val="auto"/>
              </w:rPr>
            </w:pPr>
          </w:p>
        </w:tc>
        <w:tc>
          <w:tcPr>
            <w:tcW w:w="9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23"/>
        </w:trPr>
        <w:tc>
          <w:tcPr>
            <w:tcW w:w="3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34,000,642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58,824</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292,721</w:t>
            </w:r>
          </w:p>
        </w:tc>
        <w:tc>
          <w:tcPr>
            <w:tcW w:w="80" w:type="dxa"/>
            <w:vAlign w:val="bottom"/>
            <w:tcBorders>
              <w:top w:val="single" w:sz="8" w:color="CCEEFF"/>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201,762</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Recognition in earnings of net actuarial loss for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settlement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50,997</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($0.26 per share)</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176"/>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Tredegar common stock purchased by trust for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savings restoration plan</w:t>
            </w: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34,408,638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Foreign currency translation loss realized on the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Terphane</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88,437</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Derivative financial instruments loss realized on the</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 of Terphane</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34,661,272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33,476</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 adjustment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gains or (losses) and prior service costs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0" w:type="dxa"/>
            <w:vAlign w:val="bottom"/>
          </w:tcPr>
          <w:p>
            <w:pPr>
              <w:spacing w:after="0"/>
              <w:rPr>
                <w:sz w:val="1"/>
                <w:szCs w:val="1"/>
                <w:color w:val="auto"/>
              </w:rPr>
            </w:pPr>
          </w:p>
        </w:tc>
      </w:tr>
      <w:tr>
        <w:trPr>
          <w:trHeight w:val="176"/>
        </w:trPr>
        <w:tc>
          <w:tcPr>
            <w:tcW w:w="38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 and net gains or</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12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Recognition in earnings of net actuarial gain for</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benefit termination</w:t>
            </w:r>
          </w:p>
        </w:tc>
        <w:tc>
          <w:tcPr>
            <w:tcW w:w="12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2,476</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employee common stock for tax</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5"/>
                <w:szCs w:val="15"/>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(589)</w:t>
            </w: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withholdings</w:t>
            </w:r>
          </w:p>
        </w:tc>
        <w:tc>
          <w:tcPr>
            <w:tcW w:w="128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34,737,534</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65,477</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146,888</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6,422</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216,554</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Tredegar Corporation and Subsidiaries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SUMMARY OF SIGNIFICANT ACCOUNTING POLICIES</w:t>
      </w:r>
    </w:p>
    <w:p>
      <w:pPr>
        <w:spacing w:after="0" w:line="10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Nature of Operations. </w:t>
      </w:r>
      <w:r>
        <w:rPr>
          <w:rFonts w:ascii="Times New Roman" w:cs="Times New Roman" w:eastAsia="Times New Roman" w:hAnsi="Times New Roman"/>
          <w:sz w:val="18"/>
          <w:szCs w:val="18"/>
          <w:color w:val="auto"/>
        </w:rPr>
        <w:t>Tredegar Corporation and subsidiaries (collectively “Tredegar,” “the Company,” “we,” “us” or “our”) is an industrial manufacturer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two primary businesses: custom aluminum extrusions for the North American building &amp; construction, automotive and specialty end-use markets; and surface protection films for high-technology applications in the global electronics industry and advanced packaging films used for bathroom tissue and paper towels.</w:t>
      </w:r>
    </w:p>
    <w:p>
      <w:pPr>
        <w:spacing w:after="0" w:line="45"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2025, the Company renamed the segment formerly known as “PE Films.” This segment will be referred to as “High Performance Films” going forward. The product previously known as polyethylene overwrap films was renamed to advanced packaging films. There were no changes to the operations reported within the High Performance Films segment. The Company continues to have two reportable segments: Aluminum Extrusions and High Performance Films. More information on the Company’s business segments is provided in Note 12.</w:t>
      </w:r>
    </w:p>
    <w:p>
      <w:pPr>
        <w:spacing w:after="0" w:line="58"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On November 1, 2024, the Company completed the sale of its flexible packaging films business (also referred to as “Terphane”) headquartered in Brazil to Oben Group (“Oben”). All historical results for Terphane have been presented as discontinued operations. For more information on this transaction, see Note 15.</w:t>
      </w:r>
    </w:p>
    <w:p>
      <w:pPr>
        <w:spacing w:after="0" w:line="5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Principles of Consolidation. </w:t>
      </w:r>
      <w:r>
        <w:rPr>
          <w:rFonts w:ascii="Times New Roman" w:cs="Times New Roman" w:eastAsia="Times New Roman" w:hAnsi="Times New Roman"/>
          <w:sz w:val="18"/>
          <w:szCs w:val="18"/>
          <w:color w:val="auto"/>
        </w:rPr>
        <w:t>The consolidated financial statements include the accounts and operations of the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been prepared in accordance with U.S. generally accepted accounting principles (“GAAP”). Intercompany balances and transactions have been eliminated in consolidation. Certain amounts for the prior years have been reclassified to conform to current year presentation.</w:t>
      </w:r>
    </w:p>
    <w:p>
      <w:pPr>
        <w:spacing w:after="0" w:line="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Fiscal Year End. </w:t>
      </w:r>
      <w:r>
        <w:rPr>
          <w:rFonts w:ascii="Times New Roman" w:cs="Times New Roman" w:eastAsia="Times New Roman" w:hAnsi="Times New Roman"/>
          <w:sz w:val="18"/>
          <w:szCs w:val="18"/>
          <w:color w:val="auto"/>
        </w:rPr>
        <w:t>The Company operates on a calendar fiscal year except for the Aluminum Extrusions segment, which operates on a 52/53-week fiscal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 basis. References to Aluminum Extrusions for 2025, 2024 and 2023 relate to the 52-week fiscal year ended December 28, 2025, 52-week fiscal year ended December 29, 2024 and 53-week fiscal year ended December 31, 2023, respectively. The Company does not believe the impact of reporting the results of this segment in this manner is material to the consolidated financial results. The Company may have activity with the Aluminum Extrusions segment during the intervening period from Aluminum Extrusion’s fiscal year end to the Company’s calendar year end. As a result, the Company’s prepaid and other current assets increased by $5.7 million as of December 31, 2025 since the Company made payments to the Aluminum Extrusions segment to fund its payroll during the intervening period. The Company’s cash and cash equivalents declined $3.6 million as of December 31, 2024 since the Company made payments to the Aluminum Extrusions segment to fund its working capital during the intervening period.</w:t>
      </w:r>
    </w:p>
    <w:p>
      <w:pPr>
        <w:spacing w:after="0" w:line="6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reported amounts of assets, liabilities, revenue, expenses and disclosure of contingent assets and liabilities (if any). On an ongoing basis, the Company evaluates its estimates, including those related to provisions for transaction and credit losses, income taxes, pension, other postretirement benefits and the valuation of goodwill and intangible assets, among others. Tredegar bases its estimates on historical experience and various other assumptions which the Company believes to be reasonable under the circumstances. Actual results could differ from those estimates.</w:t>
      </w:r>
    </w:p>
    <w:p>
      <w:pPr>
        <w:spacing w:after="0" w:line="58"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The financial statements of subsidiaries located outside the U.S., where the local currency is the functional currency,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translated into U.S. Dollars using exchange rates in effect at the period end for assets and liabilities and average exchange rates during each reporting period for results of operations. Adjustments resulting from the translation of these financial statements are reflected as a separate component of shareholders’ equity. There are no operating subsidiaries located outside the U.S. where the U.S. Dollar is the functional currency. Transaction and remeasurement gains or losses included in the consolidated statements of income (loss) were losses of $0.3 million in 2025 and gains of $0.3 million and $0.2 million in 2024 and 2023, respectively.</w:t>
      </w:r>
    </w:p>
    <w:p>
      <w:pPr>
        <w:spacing w:after="0" w:line="4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and cash equivalents consist of cash on hand in excess of daily operating requirements and highly liquid investments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original maturities of three months or less. At December 31, 2025 and 2024, Tredegar had cash and cash equivalents of $6.7 million and $7.1 million, respectively, including funds held in locations outside the U.S. of $1.9 million and $1.6 million, respectively.</w:t>
      </w:r>
    </w:p>
    <w:p>
      <w:pPr>
        <w:spacing w:after="0" w:line="53"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Company’s policy permits investment of excess cash in marketable securities that have the highest credit ratings and maturities of less than one year. The primary objectives of the policy are safety of principal and liquidity.</w:t>
      </w:r>
    </w:p>
    <w:p>
      <w:pPr>
        <w:spacing w:after="0" w:line="3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and Other Receivables, net. </w:t>
      </w:r>
      <w:r>
        <w:rPr>
          <w:rFonts w:ascii="Times New Roman" w:cs="Times New Roman" w:eastAsia="Times New Roman" w:hAnsi="Times New Roman"/>
          <w:sz w:val="18"/>
          <w:szCs w:val="18"/>
          <w:color w:val="auto"/>
        </w:rPr>
        <w:t>Accounts receivables are stated at the amount invoiced to customers less allowances for credit losses. Accounts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receivable are non-interest bearing and arise from the sale of products to customers under typical industry trade terms. Notes receivable are immaterial. Past due amounts are determined based on established terms and charged-off when deemed uncollectible. The allowance for credit losses is determined based on an assessment of probable losses taking into account past due amounts, customer credit profile, historical experience and current economic conditions. For receivables that do not have a specific allowance, the loss rate is computed by segment to apply to the remaining receivables balance, using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ind w:right="20"/>
        <w:spacing w:after="0" w:line="261" w:lineRule="auto"/>
        <w:rPr>
          <w:sz w:val="20"/>
          <w:szCs w:val="20"/>
          <w:color w:val="auto"/>
        </w:rPr>
      </w:pPr>
      <w:r>
        <w:rPr>
          <w:rFonts w:ascii="Times New Roman" w:cs="Times New Roman" w:eastAsia="Times New Roman" w:hAnsi="Times New Roman"/>
          <w:sz w:val="18"/>
          <w:szCs w:val="18"/>
          <w:color w:val="auto"/>
        </w:rPr>
        <w:t>each segment’s historic loss rate. Other receivables include value-added taxes related to certain foreign subsidiaries and other miscellaneous receivables due within one year. For certain customers, the Company has arrangements in place with financial institutions whereby certain customer receivables are sold to the financial institution at a discount and without recourse. Upon sale, the associated receivable is unrecognized, and the discount is recognized. For more information on accounts and other receivables, net, see Note 2.</w:t>
      </w:r>
    </w:p>
    <w:p>
      <w:pPr>
        <w:spacing w:after="0" w:line="4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or net realizable value, with cost determined using the last in, first out (“LIFO”) method,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cost or the first in, first out (“FIFO”) method. Cost elements included in work-in-process and finished goods inventories are raw materials, direct labor and manufacturing overhead. Finished goods, work-in-process, raw materials and supplies, stores and other inventory are reviewed to determine if inventory quantities are in excess of forecasted usage or if they have become obsolete. As of December 31, 2024, the Company was no longer participating in supply chain finance service agreements through third-party financial institutions.</w:t>
      </w:r>
    </w:p>
    <w:p>
      <w:pPr>
        <w:spacing w:after="0" w:line="5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Accounts include costs of assets constructed or purchased, related delivery and installation costs and interest incurred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capital projects during their construction periods. Expenditures for renewals and betterments also are capitalized, but expenditures for repairs and maintenance are expensed as incurred. The cost and accumulated depreciation applicable to assets retired or sold are removed from the respective accounts, and gains or losses thereon are included in income. Capital expenditures for property, plant and equipment include capitalized interest. Capitalized interest included in capital expenditures for property, plant and equipment was $1.6 million, $1.9 million, and $1.6 million in 2025, 2024 and 2023, respectively. Depreciation is computed primarily by the straight-line method based on the estimated useful lives of the assets that generally range from 5 to 40 years for buildings and land improvements and 2 to 20 years for machinery and equipment.</w:t>
      </w:r>
    </w:p>
    <w:p>
      <w:pPr>
        <w:spacing w:after="0" w:line="6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and Identifiable Intangibles. </w:t>
      </w:r>
      <w:r>
        <w:rPr>
          <w:rFonts w:ascii="Times New Roman" w:cs="Times New Roman" w:eastAsia="Times New Roman" w:hAnsi="Times New Roman"/>
          <w:sz w:val="18"/>
          <w:szCs w:val="18"/>
          <w:color w:val="auto"/>
        </w:rPr>
        <w:t>The excess of the purchase price over the fair value of identifiable net assets of acquired companies is allocated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goodwill. The Company assesses goodwill for impairment when events or circumstances indicate that the carrying value may not be recoverable, or, at a minimum, on an annual basis (December 1st of each year). When assessing goodwill for impairment, accounting guidance allows the Company to first perform a qualitative assessment (“Step 0 analysis”), which evaluates certain qualitative factors, including macroeconomic conditions, industry and market considerations, cost factors and overall financial performance, as well as company and reporting unit factors. If the Company's Step 0 analysis indicates that it is more likely than not that the fair value of a reporting unit is less than its carrying amount, then the Company would perform a quantitative impairment test (“Step 1 analysis”).</w:t>
      </w:r>
    </w:p>
    <w:p>
      <w:pPr>
        <w:spacing w:after="0" w:line="5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reporting unit with goodwill was Surface Protection in High Performance Films. The Company’s Step 0 analysis as of December 1, 2025 of this reporting unit concluded that it was not more likely than not that the fair value of the reporting unit was less than its carrying amount. Therefore, the Step 1 quantitative goodwill impairment test for this reporting unit was not necessary as of December 1, 2025.</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and 2024, Surface Protection had goodwill of $22.4 million.</w:t>
      </w:r>
    </w:p>
    <w:p>
      <w:pPr>
        <w:spacing w:after="0" w:line="104"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During 2024, customers of the Aluminum Extrusions’ Clearfield, Utah operation ("Clearfield") acquired as “Futura” in February 2017 continued to seek supply from other sources to meet their demand, including imports. However, in 2024, Clearfield continued to experience a resurgence in customer volumes that had declined due to the pandemic, albeit not at the speed and profit level that was previously projected. The recovery has been slower than previously anticipated, and is not trending back to previous Company expectations to replicate the EBITDA and net cash flow generation that existed prior to the pandemic-related disruptions and influx of imports.</w:t>
      </w:r>
    </w:p>
    <w:p>
      <w:pPr>
        <w:spacing w:after="0" w:line="48"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a consequence, the Company performed a goodwill impairment analysis during the fourth quarter of 2024 using Clearfield projections that assume the continuation of lower margin business. Since the estimated fair value of Clearfield fell below its carrying value by more than the amount of goodwill, the Company recognized a non-cash write-off of goodwill of $13.3 million ($10.4 million after deferred income tax benefits) associated with Clearfield.</w:t>
      </w:r>
    </w:p>
    <w:p>
      <w:pPr>
        <w:spacing w:after="0" w:line="5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estimated the fair value of Clearfield by: (i) computing an estimated enterprise value (“EV”) utilizing the discounted cash flow method (the “DCF Method”), and (ii) adding cash and cash equivalents. Key financial assumptions utilized to determine the fair value of the reporting unit include sales volume and sales price growth projections.</w:t>
      </w:r>
    </w:p>
    <w:p>
      <w:pPr>
        <w:spacing w:after="0" w:line="54"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During 2023, uncertainty about the timing of a recovery in the consumer electronics market persisted, and manufacturers in the supply chain for consumer electronics continued to experience reduced capacity utilization and inventory corrections. In light of the limited visibility on the timing of a recovery and the expected adverse future impact to the Surface Protection business, coupled with a cautious outlook on new product development opportunities, the Company performed a Step 1 goodwill impairment analysis, as of June 30, 2023 and September 30, 2023, of the Surface Protection component of High Performance Films. The analyses concluded that the fair value of Surface Protection was less than its carrying value, thus a non-cash partial goodwill impairment of $34.9 million ($27.0 million after deferred income tax benefits) was recognized during 2023.</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 estimated the fair value of Surface Protection by: (i) computing an estimated EV utilizing the DCF Method, (ii) applying adjustments for any surplus or deficient working capital, (iii) adding cash and cash equivalents, and (iv) subtracting interest-bearing debt. The DCF Method was used, incorporating Surface Protection’s latest projections, which reflect updated expected market recovery levels, feasibility of launching new product applications, competitive pricing and cash flows associated with production efficiencies, as well as consideration of cost savings and inventory corrections.</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more information on goodwill and identifiable intangibles, see Note 5.</w:t>
      </w:r>
    </w:p>
    <w:p>
      <w:pPr>
        <w:spacing w:after="0" w:line="10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Company reviews long-lived assets for possible impairment when events indicate that an impairment may exist.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assets that are held and used in operations, if events indicate that an asset may be impaired, the Company estimates the future unlevered pre-tax cash flows expected to result from the use of the asset and its eventual disposition. Assets are grouped for this purpose at the lowest level for which there are identifiable and independent cash flows. If the sum of these undiscounted pre-tax cash flows is less than the carrying amount of the asset group, an impairment loss is calculated. Measurement of the impairment loss is the amount by which the carrying amount exceeds the estimated fair value of the asset group. Assets that are held for sale are reported at the lower of their carrying amount or estimated fair value less cost to sell, with an impairment loss recognized for any write-down required.</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no events were identified that indicated long-lived assets may be impaired.</w:t>
      </w:r>
    </w:p>
    <w:p>
      <w:pPr>
        <w:spacing w:after="0" w:line="90"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In the fourth quarter of 2024, due to the same factors discussed above, the Aluminum Extrusions’ Clearfield reporting unit, which is also an asset group, required the Company to perform a recoverability test of its long-lived identifiable assets using the same projections used in the DCF Method by comparing the undiscounted future cash flows to the net carrying value of the asset group. As the undiscounted cash flows of the Clearfield asset group was greater than the carrying amount as of December 31, 2024, no long-lived impairment loss was recognized in 2024.</w:t>
      </w:r>
    </w:p>
    <w:p>
      <w:pPr>
        <w:spacing w:after="0" w:line="5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Costs and Postretirement Benefit Costs Other than Pensions. </w:t>
      </w:r>
      <w:r>
        <w:rPr>
          <w:rFonts w:ascii="Times New Roman" w:cs="Times New Roman" w:eastAsia="Times New Roman" w:hAnsi="Times New Roman"/>
          <w:sz w:val="18"/>
          <w:szCs w:val="18"/>
          <w:color w:val="auto"/>
        </w:rPr>
        <w:t>Pension costs and postretirement benefit costs other than pensions have been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accrued over the period employees provided service to Tredegar. Liabilities and expenses for pension plans and other postretirement benefits are determined using actuarial methodologies and incorporate significant assumptions, including the rate used to discount the future estimated liability, the long-term rate of return on plan assets, and several assumptions relating to the employee workforce. The Company recognizes the funded status of its pension and other postretirement plans in the accompanying consolidated balance sheets. Tredegar’s policy has been to fund its pension plans at amounts not less than the minimum requirements of the Employee Retirement Income Security Act (“ERISA”) of 1974 and to fund postretirement benefits other than pensions when claims are incurred.</w:t>
      </w:r>
    </w:p>
    <w:p>
      <w:pPr>
        <w:spacing w:after="0" w:line="6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In February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In October 2025, the Company terminated the Other Post-Retirement Benefits program. For more information, see Note 8.</w:t>
      </w:r>
    </w:p>
    <w:p>
      <w:pPr>
        <w:spacing w:after="0" w:line="3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Company’s revenue is primarily generated from the sale of finished products to customers. Those sales predominantly contain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single performance obligation and revenue is recognized at the point in time when control of the product is transferred to customers, along with the title, risk of loss and rewards of ownership. Depending on the arrangement with the customer, these criteria are met either at the time the product is shipped or when the product is made available or delivered to the destination specified in the agreement with the customer.</w:t>
      </w:r>
    </w:p>
    <w:p>
      <w:pPr>
        <w:spacing w:after="0" w:line="5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Sales revenue is recognized in an amount that reflects the consideration the Company expects to be entitled to in exchange for that finished product. The Company offers various discounts, rebates and allowances to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sales returns and customer sales volume, thus representing variable consideration.</w:t>
      </w:r>
    </w:p>
    <w:p>
      <w:pPr>
        <w:spacing w:after="0" w:line="58" w:lineRule="exact"/>
        <w:rPr>
          <w:sz w:val="20"/>
          <w:szCs w:val="20"/>
          <w:color w:val="auto"/>
        </w:rPr>
      </w:pPr>
    </w:p>
    <w:p>
      <w:pPr>
        <w:ind w:right="380" w:firstLine="405"/>
        <w:spacing w:after="0" w:line="261" w:lineRule="auto"/>
        <w:rPr>
          <w:sz w:val="20"/>
          <w:szCs w:val="20"/>
          <w:color w:val="auto"/>
        </w:rPr>
      </w:pPr>
      <w:r>
        <w:rPr>
          <w:rFonts w:ascii="Times New Roman" w:cs="Times New Roman" w:eastAsia="Times New Roman" w:hAnsi="Times New Roman"/>
          <w:sz w:val="18"/>
          <w:szCs w:val="18"/>
          <w:color w:val="auto"/>
        </w:rPr>
        <w:t>Amounts billed to customers related to freight are classified as sales revenue and the cost of freight is classified as a separate line in the accompanying consolidated statements of income. Taxes assessed by a governmental authority that are both imposed on and concurrent with a specific revenue-producing transaction between Tredegar and its customers (such as value-added taxes) are accounted for on a net basis and therefore excluded from revenues. See Note 12 for disaggregation of revenue by segment and type.</w:t>
      </w:r>
    </w:p>
    <w:p>
      <w:pPr>
        <w:spacing w:after="0" w:line="4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Revenue expected to be recognized in any future period related to remaining performance obligations, excluding (i) revenue pertaining to contracts that have an original expected duration of one year or less, (ii) contracts where revenue is recognized as invoiced and (iii) variable consideration related to unsatisfied performance obligations, is not expected to materially impact the Company’s financial results.</w:t>
      </w:r>
    </w:p>
    <w:p>
      <w:pPr>
        <w:spacing w:after="0" w:line="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(“R&amp;D”) Costs. </w:t>
      </w:r>
      <w:r>
        <w:rPr>
          <w:rFonts w:ascii="Times New Roman" w:cs="Times New Roman" w:eastAsia="Times New Roman" w:hAnsi="Times New Roman"/>
          <w:sz w:val="18"/>
          <w:szCs w:val="18"/>
          <w:color w:val="auto"/>
        </w:rPr>
        <w:t>R&amp;D costs are expensed as incurred and include primarily salaries, wages, employee benefits,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facility costs and the cost of materials consumed relating to R&amp;D efforts. R&amp;D costs include a reasonable allocation of indirect costs.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right="10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Leases. </w:t>
      </w:r>
      <w:r>
        <w:rPr>
          <w:rFonts w:ascii="Times New Roman" w:cs="Times New Roman" w:eastAsia="Times New Roman" w:hAnsi="Times New Roman"/>
          <w:sz w:val="18"/>
          <w:szCs w:val="18"/>
          <w:color w:val="auto"/>
        </w:rPr>
        <w:t>At inception, the Company determines if an arrangement contains a lease and whether that lease meets the classification criteria of a finance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lease. The Company has elected to not record short-term leases with an original lease term of one year or less in the consolidated balance sheet. To the extent such leases contain renewal options that the Company intends to exercise, the related Right-of-Use (“ROU”) asset and lease liability are included in the consolidated balance sheet. Some of the Company’s lease arrangements contain lease components (e.g., minimum rent payments) and non-lease components (e.g., maintenance, labor charges, etc.). The Company generally accounts for the lease and non-lease components as a single lease component.</w:t>
      </w:r>
    </w:p>
    <w:p>
      <w:pPr>
        <w:spacing w:after="0" w:line="5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Certain of the Company’s lease agreements include rental payments that are adjusted periodically for an index or rate. The leases are initially measured using the projected payments adjusted for the index or rate in effect at the commencement date. The Company’s lease agreements do not contain any material residual value guarantees or material restrictive covenants.</w:t>
      </w:r>
    </w:p>
    <w:p>
      <w:pPr>
        <w:spacing w:after="0" w:line="54"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Operating leases are included in “Right-of-use lease assets”, “Lease liabilities - short-term” and “Lease liabilities - long-term” on the consolidated balance sheets. These assets and liabilities are recognized at the commencement date based on the present value of remaining lease payments over the lease term using the Company’s secured incremental borrowing rates, adjusted for term and geographic location using country-based swap rates. As a result of the Company’s review of new and existing lease contracts, there were no instances where the Company could readily determine a rate implicit in the lease.</w:t>
      </w:r>
    </w:p>
    <w:p>
      <w:pPr>
        <w:spacing w:after="0" w:line="58" w:lineRule="exact"/>
        <w:rPr>
          <w:sz w:val="20"/>
          <w:szCs w:val="20"/>
          <w:color w:val="auto"/>
        </w:rPr>
      </w:pPr>
    </w:p>
    <w:p>
      <w:pPr>
        <w:ind w:right="320" w:firstLine="405"/>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Variable lease expense is recognized in the period in which the obligation for those payments is incurred. Depending upon the specific use of the ROU asset, lease expense is included in the “Cost of goods sold”, “Freight”, “Selling, general and administrative”, and “Research and development” line items on the consolidated statements of income. Lease income is not material to the results of operations for the years ended December 31, 2025, 2024 and 2023, respectively. Additional disclosure regarding Tredegar’s leases is included in Note 4.</w:t>
      </w:r>
    </w:p>
    <w:p>
      <w:pPr>
        <w:spacing w:after="0" w:line="4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are recognized during the period in which transactions enter into the determination of income for financial reporting purposes,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deferred income taxes being provided at enacted statutory tax rates on the differences between the financial reporting and tax bases of assets and liabilities (see Note 11). Current tax liabilities and assets are recognized for the estimated taxes payable or refundable, respectively, on the tax returns for the current year. Deferred tax assets and liabilities are determined based on differences between financial reporting and tax bases of assets and liabilities and are measured using the enacted tax rates and laws that will be in effect when the differences are expected to reverse. Accordingly, accounting for income taxes represents the Company’s best estimate of various events and transactions.</w:t>
      </w:r>
    </w:p>
    <w:p>
      <w:pPr>
        <w:spacing w:after="0" w:line="65"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 valuation allowance is recorded in the period when the Company determines that it is more likely than not that all or a portion of deferred income tax assets may not be realized. The establishment and removal of a valuation allowance requires the Company to consider all positive and negative evidence and make a judgmental decision regarding the amount of valuation allowance required as of a reporting date. The benefit of an uncertain tax position is included in the accompanying financial statements when the Company determines that it is more likely than not that the position will be sustained, based on the technical merits of the position, if the taxing authority examines the position and the dispute is litigated. This determination is made on the basis of all the facts, circumstances and information available as of the reporting date.</w:t>
      </w:r>
    </w:p>
    <w:p>
      <w:pPr>
        <w:spacing w:after="0" w:line="62" w:lineRule="exact"/>
        <w:rPr>
          <w:sz w:val="20"/>
          <w:szCs w:val="20"/>
          <w:color w:val="auto"/>
        </w:rPr>
      </w:pPr>
    </w:p>
    <w:p>
      <w:pPr>
        <w:ind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Earnings Per Share. </w:t>
      </w:r>
      <w:r>
        <w:rPr>
          <w:rFonts w:ascii="Times New Roman" w:cs="Times New Roman" w:eastAsia="Times New Roman" w:hAnsi="Times New Roman"/>
          <w:sz w:val="17"/>
          <w:szCs w:val="17"/>
          <w:color w:val="auto"/>
        </w:rPr>
        <w:t>Basic earnings per share is computed using the weighted average number of shares of common stock outstanding. Diluted earnings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per share is computed using the weighted average common and potentially dilutive common equivalent shares outstanding, determined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480" w:type="dxa"/>
            <w:vAlign w:val="bottom"/>
            <w:tcBorders>
              <w:top w:val="single" w:sz="8" w:color="auto"/>
              <w:bottom w:val="single" w:sz="8" w:color="auto"/>
            </w:tcBorders>
            <w:shd w:val="clear" w:color="auto" w:fill="CCEEFF"/>
          </w:tcPr>
          <w:p>
            <w:pPr>
              <w:spacing w:after="0"/>
              <w:rPr>
                <w:sz w:val="22"/>
                <w:szCs w:val="22"/>
                <w:color w:val="auto"/>
              </w:rPr>
            </w:pPr>
          </w:p>
        </w:tc>
        <w:tc>
          <w:tcPr>
            <w:tcW w:w="196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4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used to compute basic earnings per share</w:t>
            </w:r>
          </w:p>
        </w:tc>
        <w:tc>
          <w:tcPr>
            <w:tcW w:w="1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34,735,139</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34,346,242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34,133,078</w:t>
            </w:r>
          </w:p>
        </w:tc>
      </w:tr>
      <w:tr>
        <w:trPr>
          <w:trHeight w:val="229"/>
        </w:trPr>
        <w:tc>
          <w:tcPr>
            <w:tcW w:w="64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attributable to stock options and restricted stock</w:t>
            </w:r>
          </w:p>
        </w:tc>
        <w:tc>
          <w:tcPr>
            <w:tcW w:w="1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used to compute diluted earnings per share</w:t>
            </w:r>
          </w:p>
        </w:tc>
        <w:tc>
          <w:tcPr>
            <w:tcW w:w="1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34,735,139</w:t>
            </w: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34,346,242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34,133,078</w:t>
            </w:r>
          </w:p>
        </w:tc>
      </w:tr>
    </w:tbl>
    <w:p>
      <w:pPr>
        <w:spacing w:after="0" w:line="17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Incremental shares attributable to stock options and restricted stock are computed under the treasury stock method using the average market price during the related period. The average out-of-the-money options to purchase shares that were excluded from the calculation of incremental shares attributable to stock options and restricted stock were 1,245,367 and 2,497,008 for the years ended December 31, 2025 and 2024, respectively. The Company had a net loss from continuing operations for the year ended December 31, 2023, so there is no dilutive impact for such shares. If the Company had reported net income from continuing operations for the year ended December 31, 2023, average out-of-the-money options to purchase shares that were excluded from the calculation of incremental shares attributable to stock options and restricted stock would have been 2,925,091.</w:t>
      </w:r>
    </w:p>
    <w:p>
      <w:pPr>
        <w:spacing w:after="0" w:line="4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Stock-Based Employee Compensation Plans. </w:t>
      </w:r>
      <w:r>
        <w:rPr>
          <w:rFonts w:ascii="Times New Roman" w:cs="Times New Roman" w:eastAsia="Times New Roman" w:hAnsi="Times New Roman"/>
          <w:sz w:val="18"/>
          <w:szCs w:val="18"/>
          <w:color w:val="auto"/>
        </w:rPr>
        <w:t>The cost of all share-based payments is recognized using the calculated fair value at the grant date,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of any later modification, over the requisite service period under the graded-vesting method. See Note 10 for additional information.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Tredegar uses derivative financial instruments for the purpose of hedging aluminum price volatility. The Company’s derivative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instruments are designated as and qualify as cash flow hedges and are recognized in the accompanying balance sheet at fair value. A change in the fair value of the derivative that is highly effective and that is designated and qualifies as a cash flow hedge is recorded in other comprehensive income. Gains and losses reported in other comprehensive income (loss) are reclassified to earnings in the periods in which earnings are affected by the variability of cash flows of the hedged transaction. Such gains and losses are reported in the same line as the underlying hedged item, and the cash flows related to financial instruments are classified in the consolidated statements of cash flows in a manner consistent with those of the transactions being hedged.</w:t>
      </w:r>
    </w:p>
    <w:p>
      <w:pPr>
        <w:spacing w:after="0" w:line="5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Company’s policy requires that it formally document all relationships between hedging instruments and hedged items, as well as its risk management objective and strategy for undertaking various hedge transactions. The Company also uses regression analysis, unless the hedge qualifies for other methods of assessing effectiveness, to formally assess (both at the hedge’s inception and on an ongoing basis) whether the derivatives that are used in hedging transactions have been highly effective in offsetting changes in the fair value or cash flows of hedged items and whether those derivatives may be expected to remain highly effective in future periods. When it is determined that a derivative is not (or has ceased to be) highly effective as a hedge, the Company discontinues hedge accounting prospectively.</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a policy, Tredegar does not engage in speculative or leveraged transactions, nor does it hold or issue financial instruments for trading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disclosure of the utilization of derivative hedging instruments is included in Note 9.</w:t>
      </w:r>
    </w:p>
    <w:p>
      <w:pPr>
        <w:spacing w:after="0" w:line="81"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Comprehensive Income (Loss). </w:t>
      </w:r>
      <w:r>
        <w:rPr>
          <w:rFonts w:ascii="Times New Roman" w:cs="Times New Roman" w:eastAsia="Times New Roman" w:hAnsi="Times New Roman"/>
          <w:sz w:val="18"/>
          <w:szCs w:val="18"/>
          <w:color w:val="auto"/>
        </w:rPr>
        <w:t>Comprehensive income (loss) is defined as net income or loss as adjusted by other comprehensive income or loss items.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comprehensive income (loss) includes changes in foreign currency translation adjustments; realized and unrealized gains and losses on derivative financial instruments; prior service costs and net gains or losses from pension and other postretirement benefit plans arising during the period; and amortization of these prior service costs and net gain or loss adjustments; and during the period, realized net actuarial loss for pension settlement all recorded net of deferred income taxes.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5" w:name="page46"/>
    <w:bookmarkEnd w:id="45"/>
    <w:p>
      <w:pPr>
        <w:ind w:left="42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are summarized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6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gridSpan w:val="2"/>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Foreign Currency</w:t>
            </w:r>
          </w:p>
        </w:tc>
        <w:tc>
          <w:tcPr>
            <w:tcW w:w="2040" w:type="dxa"/>
            <w:vAlign w:val="bottom"/>
            <w:tcBorders>
              <w:top w:val="single" w:sz="8" w:color="auto"/>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(Loss) on Derivative</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Pension &amp; Other</w:t>
            </w:r>
          </w:p>
        </w:tc>
        <w:tc>
          <w:tcPr>
            <w:tcW w:w="16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Total Accumulated Other</w:t>
            </w:r>
          </w:p>
        </w:tc>
        <w:tc>
          <w:tcPr>
            <w:tcW w:w="0" w:type="dxa"/>
            <w:vAlign w:val="bottom"/>
          </w:tcPr>
          <w:p>
            <w:pPr>
              <w:spacing w:after="0"/>
              <w:rPr>
                <w:sz w:val="1"/>
                <w:szCs w:val="1"/>
                <w:color w:val="auto"/>
              </w:rPr>
            </w:pPr>
          </w:p>
        </w:tc>
      </w:tr>
      <w:tr>
        <w:trPr>
          <w:trHeight w:val="180"/>
        </w:trPr>
        <w:tc>
          <w:tcPr>
            <w:tcW w:w="3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gridSpan w:val="2"/>
            <w:vMerge w:val="continue"/>
            <w:shd w:val="clear" w:color="auto" w:fill="CCEEFF"/>
          </w:tcPr>
          <w:p>
            <w:pPr>
              <w:spacing w:after="0"/>
              <w:rPr>
                <w:sz w:val="15"/>
                <w:szCs w:val="15"/>
                <w:color w:val="auto"/>
              </w:rPr>
            </w:pPr>
          </w:p>
        </w:tc>
        <w:tc>
          <w:tcPr>
            <w:tcW w:w="2040" w:type="dxa"/>
            <w:vAlign w:val="bottom"/>
            <w:gridSpan w:val="2"/>
            <w:vMerge w:val="continue"/>
            <w:shd w:val="clear" w:color="auto" w:fill="CCEEFF"/>
          </w:tcPr>
          <w:p>
            <w:pPr>
              <w:spacing w:after="0"/>
              <w:rPr>
                <w:sz w:val="15"/>
                <w:szCs w:val="15"/>
                <w:color w:val="auto"/>
              </w:rPr>
            </w:pPr>
          </w:p>
        </w:tc>
        <w:tc>
          <w:tcPr>
            <w:tcW w:w="1820" w:type="dxa"/>
            <w:vAlign w:val="bottom"/>
            <w:gridSpan w:val="2"/>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Postretirement Benefit</w:t>
            </w: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Comprehensive Income</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Translation</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Financial Instruments</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Adjust</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(Loss)</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(86,079)</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(147,595)</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11,794</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8,817</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1,513</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13,372</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101,323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93,743</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(41,217)</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58,062</w:t>
            </w: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52,526</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3,042</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3,281</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59,575</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65,898</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(83,037)</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(81,697)</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506</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89,038</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87,016</w:t>
            </w:r>
          </w:p>
        </w:tc>
        <w:tc>
          <w:tcPr>
            <w:tcW w:w="0" w:type="dxa"/>
            <w:vAlign w:val="bottom"/>
          </w:tcPr>
          <w:p>
            <w:pPr>
              <w:spacing w:after="0"/>
              <w:rPr>
                <w:sz w:val="1"/>
                <w:szCs w:val="1"/>
                <w:color w:val="auto"/>
              </w:rPr>
            </w:pPr>
          </w:p>
        </w:tc>
      </w:tr>
      <w:tr>
        <w:trPr>
          <w:trHeight w:val="229"/>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88,437</w:t>
            </w: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87,626</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88,142</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87,896</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5,105</w:t>
            </w:r>
          </w:p>
        </w:tc>
        <w:tc>
          <w:tcPr>
            <w:tcW w:w="200" w:type="dxa"/>
            <w:vAlign w:val="bottom"/>
          </w:tcPr>
          <w:p>
            <w:pPr>
              <w:spacing w:after="0"/>
              <w:rPr>
                <w:sz w:val="19"/>
                <w:szCs w:val="19"/>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tcPr>
          <w:p>
            <w:pPr>
              <w:spacing w:after="0"/>
              <w:rPr>
                <w:sz w:val="19"/>
                <w:szCs w:val="19"/>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6,199</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2,110</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w:t>
            </w: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w:t>
            </w: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2,050</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(1,087)</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(2,590)</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253</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510</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c>
          <w:tcPr>
            <w:tcW w:w="0" w:type="dxa"/>
            <w:vAlign w:val="bottom"/>
          </w:tcPr>
          <w:p>
            <w:pPr>
              <w:spacing w:after="0"/>
              <w:rPr>
                <w:sz w:val="1"/>
                <w:szCs w:val="1"/>
                <w:color w:val="auto"/>
              </w:rPr>
            </w:pPr>
          </w:p>
        </w:tc>
      </w:tr>
      <w:tr>
        <w:trPr>
          <w:trHeight w:val="178"/>
        </w:trPr>
        <w:tc>
          <w:tcPr>
            <w:tcW w:w="368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Reclassification adjustment to net income (loss),</w:t>
            </w:r>
          </w:p>
        </w:tc>
        <w:tc>
          <w:tcPr>
            <w:tcW w:w="240" w:type="dxa"/>
            <w:vAlign w:val="bottom"/>
          </w:tcPr>
          <w:p>
            <w:pPr>
              <w:spacing w:after="0"/>
              <w:rPr>
                <w:sz w:val="15"/>
                <w:szCs w:val="15"/>
                <w:color w:val="auto"/>
              </w:rPr>
            </w:pPr>
          </w:p>
        </w:tc>
        <w:tc>
          <w:tcPr>
            <w:tcW w:w="1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5"/>
                <w:szCs w:val="15"/>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24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(993)</w:t>
            </w:r>
          </w:p>
        </w:tc>
        <w:tc>
          <w:tcPr>
            <w:tcW w:w="160" w:type="dxa"/>
            <w:vAlign w:val="bottom"/>
          </w:tcPr>
          <w:p>
            <w:pPr>
              <w:spacing w:after="0"/>
              <w:rPr>
                <w:sz w:val="15"/>
                <w:szCs w:val="15"/>
                <w:color w:val="auto"/>
              </w:rPr>
            </w:pPr>
          </w:p>
        </w:tc>
        <w:tc>
          <w:tcPr>
            <w:tcW w:w="1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(1,827)</w:t>
            </w:r>
          </w:p>
        </w:tc>
        <w:tc>
          <w:tcPr>
            <w:tcW w:w="0" w:type="dxa"/>
            <w:vAlign w:val="bottom"/>
          </w:tcPr>
          <w:p>
            <w:pPr>
              <w:spacing w:after="0"/>
              <w:rPr>
                <w:sz w:val="1"/>
                <w:szCs w:val="1"/>
                <w:color w:val="auto"/>
              </w:rPr>
            </w:pPr>
          </w:p>
        </w:tc>
      </w:tr>
      <w:tr>
        <w:trPr>
          <w:trHeight w:val="234"/>
        </w:trPr>
        <w:tc>
          <w:tcPr>
            <w:tcW w:w="3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461</w:t>
            </w: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803</w:t>
            </w: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c>
          <w:tcPr>
            <w:tcW w:w="1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5,566</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(loss) related to pension and other postretirement benefits are included in the computation of net periodic pension costs, see Note 8 for additional details. The amounts reclassified out of accumulated other comprehensive income (loss) related to foreign currency translation and derivative financial instruments are included in discontinued operations, see Note 15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 in 2025:</w:t>
      </w:r>
    </w:p>
    <w:p>
      <w:pPr>
        <w:spacing w:after="0" w:line="106"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to improve the income tax disclosures related to the rate reconciliation and income taxes paid information and to improve the effectiveness of income tax disclosures. The amendments in this ASU require the Company to disclose specified additional information in its income tax rate reconciliation and provide additional information for reconciling items that meet a quantitative threshold. ASU 2023-09 also requires the Company to disaggregate its income taxes paid disclosure by federal, state and foreign taxes, with further disaggregation required for significant individual jurisdictions. This ASU is effective for annual periods beginning after December 15, 2024. The Company adopted this ASU in the fourth quarter of 2025 using the prospective method of transition. The adoption did not have a material impact on the Company’s consolidated financial statements.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9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to amend various paragraphs in the Accounting Standards Codification (“ASC”) to primarily reflect the issuance of Securities and Exchange Commission (“SEC”) Staff Bulletin No. 33-10532. ASU 2023-06 will impact various disclosure areas, including the statement of cash flows, accounting changes and error corrections, earnings per share, debt, equity, derivatives, and transfers of financial assets. The amendments in this ASU 2023-06 will be effective on the date the related disclosures are removed from Regulation S-X or Regulation S-K by the SEC and will no longer be effective if the SEC has not removed the applicable disclosure requirement by June 30, 2027. Early adoption is not permitted. The Company does not expect a material impact from the adoption of this standard on our consolidated financial statements and related disclosures.</w:t>
      </w:r>
    </w:p>
    <w:p>
      <w:pPr>
        <w:spacing w:after="0" w:line="6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to improve the disclosures about public business entity’s expenses and address requests from investors for more detailed information about the types of expenses in commonly presented expense captions. The amendments in this ASU will require the Company to disclose specified information about certain costs and expenses in the notes to the financial statements. This ASU is effective for annual periods beginning after December 15, 2026 and interim periods beginning after December 15, 2027. Early adoption is permitted. The Company is currently evaluating the impact of this standard on our consolidated financial statements and related disclosures.</w:t>
      </w:r>
    </w:p>
    <w:p>
      <w:pPr>
        <w:spacing w:after="0" w:line="62"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In December 2025, the FASB issued ASU 2025-11 to amend the guidance in “Interim Reporting” (Topic 270). The update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 The Company does not expect a material impact from the adoption of this standard on our consolidated financial statements and related disclosures.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AND OTHER RECEIVABLES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2025 and 2024, accounts receivable and other receivables, net, include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receivables</w:t>
            </w:r>
          </w:p>
        </w:tc>
        <w:tc>
          <w:tcPr>
            <w:tcW w:w="2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80,027</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64,094</w:t>
            </w: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2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3"/>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w:t>
            </w:r>
          </w:p>
        </w:tc>
        <w:tc>
          <w:tcPr>
            <w:tcW w:w="26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82,122</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65,046</w:t>
            </w: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0"/>
        </w:trPr>
        <w:tc>
          <w:tcPr>
            <w:tcW w:w="44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accounts and other receivables, net</w:t>
            </w:r>
          </w:p>
        </w:tc>
        <w:tc>
          <w:tcPr>
            <w:tcW w:w="26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81,811</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64,817</w:t>
            </w:r>
          </w:p>
        </w:tc>
      </w:tr>
      <w:tr>
        <w:trPr>
          <w:trHeight w:val="378"/>
        </w:trPr>
        <w:tc>
          <w:tcPr>
            <w:tcW w:w="11240" w:type="dxa"/>
            <w:vAlign w:val="bottom"/>
            <w:gridSpan w:val="7"/>
          </w:tcPr>
          <w:p>
            <w:pPr>
              <w:ind w:left="420"/>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the allowance for credit losses for the three years ended December 31, 2025 is as follows:</w:t>
            </w:r>
          </w:p>
        </w:tc>
      </w:tr>
      <w:tr>
        <w:trPr>
          <w:trHeight w:val="115"/>
        </w:trPr>
        <w:tc>
          <w:tcPr>
            <w:tcW w:w="4400" w:type="dxa"/>
            <w:vAlign w:val="bottom"/>
            <w:tcBorders>
              <w:bottom w:val="single" w:sz="8" w:color="auto"/>
            </w:tcBorders>
          </w:tcPr>
          <w:p>
            <w:pPr>
              <w:spacing w:after="0"/>
              <w:rPr>
                <w:sz w:val="10"/>
                <w:szCs w:val="10"/>
                <w:color w:val="auto"/>
              </w:rPr>
            </w:pPr>
          </w:p>
        </w:tc>
        <w:tc>
          <w:tcPr>
            <w:tcW w:w="26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229</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1,162</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to expense</w:t>
            </w:r>
          </w:p>
        </w:tc>
        <w:tc>
          <w:tcPr>
            <w:tcW w:w="266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30"/>
        </w:trPr>
        <w:tc>
          <w:tcPr>
            <w:tcW w:w="4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and settlements</w:t>
            </w:r>
          </w:p>
        </w:tc>
        <w:tc>
          <w:tcPr>
            <w:tcW w:w="2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30"/>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311</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864"/>
        </w:trPr>
        <w:tc>
          <w:tcPr>
            <w:tcW w:w="4400" w:type="dxa"/>
            <w:vAlign w:val="bottom"/>
          </w:tcPr>
          <w:p>
            <w:pPr>
              <w:spacing w:after="0"/>
              <w:rPr>
                <w:sz w:val="24"/>
                <w:szCs w:val="24"/>
                <w:color w:val="auto"/>
              </w:rPr>
            </w:pPr>
          </w:p>
        </w:tc>
        <w:tc>
          <w:tcPr>
            <w:tcW w:w="26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45</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17,578</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3,574</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20,365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12,158</w:t>
            </w:r>
          </w:p>
        </w:tc>
      </w:tr>
      <w:tr>
        <w:trPr>
          <w:trHeight w:val="229"/>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Stores, supplies and other</w:t>
            </w:r>
          </w:p>
        </w:tc>
        <w:tc>
          <w:tcPr>
            <w:tcW w:w="3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23,445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21,186</w:t>
            </w:r>
          </w:p>
        </w:tc>
      </w:tr>
      <w:tr>
        <w:trPr>
          <w:trHeight w:val="230"/>
        </w:trPr>
        <w:tc>
          <w:tcPr>
            <w:tcW w:w="5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64,962</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51,381</w:t>
            </w:r>
          </w:p>
        </w:tc>
      </w:tr>
    </w:tbl>
    <w:p>
      <w:pPr>
        <w:spacing w:after="0" w:line="157"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Inventories stated on the LIFO basis amounted to $9.1 million at December 31, 2025 and $6.7 million at December 31, 2024, which were below replacement costs by $19.8 million at December 31, 2025 and $13.8 million at December 31, 2024. Inventories stated on the weighted average cost basis were $15.9 million and $14.3 million at December 31, 2025 and 2024, respectively, while inventories stated on the FIFO method amounted to $40.0 million and $30.4 million at December 31, 2025 and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0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Tredegar has various operating lease agreements with remaining terms up to 18 years, including leases of real estate, office equipment and vehicles. As of December 31, 2025 and 2024, the Company had no finance lease agreements. Some leases include options to purchase the leased asset, terminate the agreement or extend the term of the agreement for one or more years. These options are included in the lease term when it is reasonably certain that the option will be exercised.</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a maturity analysis of the Company’s operating leases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Future Lease Payments</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w:t>
            </w:r>
          </w:p>
        </w:tc>
      </w:tr>
      <w:tr>
        <w:trPr>
          <w:trHeight w:val="22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286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w:t>
            </w:r>
          </w:p>
        </w:tc>
      </w:tr>
      <w:tr>
        <w:trPr>
          <w:trHeight w:val="230"/>
        </w:trPr>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62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r>
    </w:tbl>
    <w:p>
      <w:pPr>
        <w:spacing w:after="0" w:line="157" w:lineRule="exact"/>
        <w:rPr>
          <w:sz w:val="20"/>
          <w:szCs w:val="20"/>
          <w:color w:val="auto"/>
        </w:rPr>
      </w:pPr>
    </w:p>
    <w:p>
      <w:pPr>
        <w:jc w:val="both"/>
        <w:ind w:right="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lease costs and other information for the years ended December 31, 2025 and 2024. These costs are primarily related to long-term operating leases but also include amounts for variable leases and short-term leases.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60" w:type="dxa"/>
            <w:vAlign w:val="bottom"/>
            <w:tcBorders>
              <w:top w:val="single" w:sz="8" w:color="auto"/>
              <w:bottom w:val="single" w:sz="8" w:color="auto"/>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9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2,855</w:t>
            </w:r>
          </w:p>
        </w:tc>
        <w:tc>
          <w:tcPr>
            <w:tcW w:w="6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4,350</w:t>
            </w:r>
          </w:p>
        </w:tc>
      </w:tr>
      <w:tr>
        <w:trPr>
          <w:trHeight w:val="95"/>
        </w:trPr>
        <w:tc>
          <w:tcPr>
            <w:tcW w:w="49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19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19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for operating leases</w:t>
            </w:r>
          </w:p>
        </w:tc>
        <w:tc>
          <w:tcPr>
            <w:tcW w:w="1960" w:type="dxa"/>
            <w:vAlign w:val="bottom"/>
          </w:tcPr>
          <w:p>
            <w:pPr>
              <w:spacing w:after="0"/>
              <w:rPr>
                <w:sz w:val="19"/>
                <w:szCs w:val="19"/>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 years</w:t>
            </w:r>
          </w:p>
        </w:tc>
        <w:tc>
          <w:tcPr>
            <w:tcW w:w="6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36"/>
        </w:trPr>
        <w:tc>
          <w:tcPr>
            <w:tcW w:w="4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for operating leases</w:t>
            </w:r>
          </w:p>
        </w:tc>
        <w:tc>
          <w:tcPr>
            <w:tcW w:w="1960" w:type="dxa"/>
            <w:vAlign w:val="bottom"/>
            <w:tcBorders>
              <w:bottom w:val="single" w:sz="8" w:color="auto"/>
            </w:tcBorders>
            <w:shd w:val="clear" w:color="auto" w:fill="CCEEFF"/>
          </w:tcPr>
          <w:p>
            <w:pPr>
              <w:spacing w:after="0"/>
              <w:rPr>
                <w:sz w:val="20"/>
                <w:szCs w:val="20"/>
                <w:color w:val="auto"/>
              </w:rPr>
            </w:pPr>
          </w:p>
        </w:tc>
        <w:tc>
          <w:tcPr>
            <w:tcW w:w="1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4.81 %</w:t>
            </w:r>
          </w:p>
        </w:tc>
        <w:tc>
          <w:tcPr>
            <w:tcW w:w="6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r>
      <w:tr>
        <w:trPr>
          <w:trHeight w:val="864"/>
        </w:trPr>
        <w:tc>
          <w:tcPr>
            <w:tcW w:w="4940" w:type="dxa"/>
            <w:vAlign w:val="bottom"/>
          </w:tcPr>
          <w:p>
            <w:pPr>
              <w:spacing w:after="0"/>
              <w:rPr>
                <w:sz w:val="24"/>
                <w:szCs w:val="24"/>
                <w:color w:val="auto"/>
              </w:rPr>
            </w:pPr>
          </w:p>
        </w:tc>
        <w:tc>
          <w:tcPr>
            <w:tcW w:w="196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46</w:t>
            </w: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5. GOODWILL AND IDENTIFIABLE INTANGIBLE ASSETS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goodwill at December 31, 2025 and 2024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90"/>
              <w:spacing w:after="0" w:line="206" w:lineRule="exact"/>
              <w:rPr>
                <w:sz w:val="20"/>
                <w:szCs w:val="20"/>
                <w:color w:val="auto"/>
              </w:rPr>
            </w:pPr>
            <w:r>
              <w:rPr>
                <w:rFonts w:ascii="Times New Roman" w:cs="Times New Roman" w:eastAsia="Times New Roman" w:hAnsi="Times New Roman"/>
                <w:sz w:val="18"/>
                <w:szCs w:val="18"/>
                <w:b w:val="1"/>
                <w:bCs w:val="1"/>
                <w:color w:val="auto"/>
              </w:rPr>
              <w:t>Aluminum</w:t>
            </w:r>
          </w:p>
        </w:tc>
        <w:tc>
          <w:tcPr>
            <w:tcW w:w="20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110"/>
              <w:spacing w:after="0" w:line="206" w:lineRule="exact"/>
              <w:rPr>
                <w:sz w:val="20"/>
                <w:szCs w:val="20"/>
                <w:color w:val="auto"/>
              </w:rPr>
            </w:pPr>
            <w:r>
              <w:rPr>
                <w:rFonts w:ascii="Times New Roman" w:cs="Times New Roman" w:eastAsia="Times New Roman" w:hAnsi="Times New Roman"/>
                <w:sz w:val="18"/>
                <w:szCs w:val="18"/>
                <w:b w:val="1"/>
                <w:bCs w:val="1"/>
                <w:color w:val="auto"/>
              </w:rPr>
              <w:t>High Performance</w:t>
            </w:r>
          </w:p>
        </w:tc>
        <w:tc>
          <w:tcPr>
            <w:tcW w:w="3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7"/>
              </w:rPr>
              <w:t>Extrusions</w:t>
            </w:r>
            <w:r>
              <w:rPr>
                <w:rFonts w:ascii="Times New Roman" w:cs="Times New Roman" w:eastAsia="Times New Roman" w:hAnsi="Times New Roman"/>
                <w:sz w:val="23"/>
                <w:szCs w:val="23"/>
                <w:b w:val="1"/>
                <w:bCs w:val="1"/>
                <w:color w:val="auto"/>
                <w:w w:val="97"/>
                <w:vertAlign w:val="superscript"/>
              </w:rPr>
              <w:t>(a)</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550"/>
              <w:spacing w:after="0" w:line="240" w:lineRule="exact"/>
              <w:rPr>
                <w:sz w:val="20"/>
                <w:szCs w:val="20"/>
                <w:color w:val="auto"/>
              </w:rPr>
            </w:pPr>
            <w:r>
              <w:rPr>
                <w:rFonts w:ascii="Times New Roman" w:cs="Times New Roman" w:eastAsia="Times New Roman" w:hAnsi="Times New Roman"/>
                <w:sz w:val="18"/>
                <w:szCs w:val="18"/>
                <w:b w:val="1"/>
                <w:bCs w:val="1"/>
                <w:color w:val="auto"/>
              </w:rPr>
              <w:t>Films</w:t>
            </w:r>
            <w:r>
              <w:rPr>
                <w:rFonts w:ascii="Times New Roman" w:cs="Times New Roman" w:eastAsia="Times New Roman" w:hAnsi="Times New Roman"/>
                <w:sz w:val="23"/>
                <w:szCs w:val="23"/>
                <w:b w:val="1"/>
                <w:bCs w:val="1"/>
                <w:color w:val="auto"/>
                <w:vertAlign w:val="superscript"/>
              </w:rPr>
              <w:t>(a)</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22,446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35,717</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2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2024</w:t>
            </w:r>
          </w:p>
        </w:tc>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22,446</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22,446</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1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5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of goodwill at December 31, 2025</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22,446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hanging="214"/>
        <w:spacing w:after="0"/>
        <w:tabs>
          <w:tab w:leader="none" w:pos="2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of Aluminum Extrusions and High Performance Films is carried by the Clearfield and Surface Protection reporting units, respectively.</w:t>
      </w:r>
    </w:p>
    <w:p>
      <w:pPr>
        <w:spacing w:after="0" w:line="189" w:lineRule="exact"/>
        <w:rPr>
          <w:rFonts w:ascii="Times New Roman" w:cs="Times New Roman" w:eastAsia="Times New Roman" w:hAnsi="Times New Roman"/>
          <w:sz w:val="16"/>
          <w:szCs w:val="16"/>
          <w:color w:val="auto"/>
        </w:rPr>
      </w:pPr>
    </w:p>
    <w:p>
      <w:pPr>
        <w:ind w:left="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reconciliation of identifiable intangibles at December 31, 2025 and 2024 is as follows:</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Trade Names</w:t>
            </w: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value at December 31, 2024</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(18,574)</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(25,274)</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at December 31, 2024</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7,326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carrying value at December 31, 2025</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6,700</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32,600</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0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(20,332)</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(6,700)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(27,032)</w:t>
            </w:r>
          </w:p>
        </w:tc>
        <w:tc>
          <w:tcPr>
            <w:tcW w:w="0" w:type="dxa"/>
            <w:vAlign w:val="bottom"/>
          </w:tcPr>
          <w:p>
            <w:pPr>
              <w:spacing w:after="0"/>
              <w:rPr>
                <w:sz w:val="1"/>
                <w:szCs w:val="1"/>
                <w:color w:val="auto"/>
              </w:rPr>
            </w:pPr>
          </w:p>
        </w:tc>
      </w:tr>
      <w:tr>
        <w:trPr>
          <w:trHeight w:val="230"/>
        </w:trPr>
        <w:tc>
          <w:tcPr>
            <w:tcW w:w="5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 at December 31, 2025</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5,568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over the next three years is expected to be $1.8 million per year and is expected to end in early 2029.</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5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Payrolls, related taxes and medical and other benefits</w:t>
            </w:r>
          </w:p>
        </w:tc>
        <w:tc>
          <w:tcPr>
            <w:tcW w:w="2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8,312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5,839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Workers’ compensation and disabilities</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Vacation</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1,806</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1,513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utilities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1,279</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liabilities</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1,108</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rebates</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5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contract liability</w:t>
            </w:r>
          </w:p>
        </w:tc>
        <w:tc>
          <w:tcPr>
            <w:tcW w:w="2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6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2,650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30"/>
        </w:trPr>
        <w:tc>
          <w:tcPr>
            <w:tcW w:w="60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25,411</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ind w:right="8060" w:firstLine="8"/>
        <w:spacing w:after="0" w:line="354" w:lineRule="auto"/>
        <w:tabs>
          <w:tab w:leader="none" w:pos="1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DEBT AND CREDIT AGREEMENTS </w:t>
      </w:r>
      <w:r>
        <w:rPr>
          <w:rFonts w:ascii="Times New Roman" w:cs="Times New Roman" w:eastAsia="Times New Roman" w:hAnsi="Times New Roman"/>
          <w:sz w:val="18"/>
          <w:szCs w:val="18"/>
          <w:i w:val="1"/>
          <w:iCs w:val="1"/>
          <w:u w:val="single" w:color="auto"/>
          <w:color w:val="auto"/>
        </w:rPr>
        <w:t>ABL Facility</w:t>
      </w:r>
    </w:p>
    <w:p>
      <w:pPr>
        <w:spacing w:after="0" w:line="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In May 2025, the Company entered into Amendment No. 5 (“Amendment No. 5”) to the Second Amended and Restated Credit Agreement (the "ABL Facility"), which provides the Company with a $125 million senior secured asset-based revolving credit facility. The ABL Facility is secured by substantially all assets of the Company and its domestic subsidiaries, including equity in certain material first-tier foreign subsidiaries. Availability for borrowings under the ABL Facility is governed by a borrowing base, determined by the application of specified advance rates against eligible assets, including a portion of trade accounts receivable, inventory, cash and cash equivalents, and owned machinery and equipment. Amendment No. 5 extended the maturity date of the ABL Facility to May 6, 2030. As of December 31, 2025, funds available to borrow under the ABL Facility was $87.5 million, or 70.0% of the aggregate commitment of $125 million. During 2025, the Company's letters of credit have been reduced from approximately $12 million to $3 million, which directly increases the Company's borrowing availability.</w:t>
      </w:r>
    </w:p>
    <w:p>
      <w:pPr>
        <w:spacing w:after="0" w:line="70"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Outstanding borrowings accrue interest at the rates elected by the Company depending on the type of loan and denomination of such borrowing. With respect to revolving loans denominated in U.S. Dollars, the Company may elect interest rates at:</w:t>
      </w:r>
    </w:p>
    <w:p>
      <w:pPr>
        <w:spacing w:after="0" w:line="27" w:lineRule="exact"/>
        <w:rPr>
          <w:sz w:val="20"/>
          <w:szCs w:val="20"/>
          <w:color w:val="auto"/>
        </w:rPr>
      </w:pPr>
    </w:p>
    <w:p>
      <w:pPr>
        <w:ind w:left="660" w:right="120" w:hanging="328"/>
        <w:spacing w:after="0" w:line="289"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Alternate Base Rate (“ABR”) plus the applicable ABR Spread (as defined in the ABL Facility) determined in accordance with an excess availability-based pricing grid. ABR is defined, in part, as the greater of (a) the Prime Rate in effect on such day, (b) the Federal Reserve Bank of New York Rate in effect on such day plus ½ of 1% and (c) the Adjusted Term SOFR Rate (defined below) for a one-month period plus 1%; or</w:t>
      </w:r>
    </w:p>
    <w:p>
      <w:pPr>
        <w:spacing w:after="0" w:line="36" w:lineRule="exact"/>
        <w:rPr>
          <w:rFonts w:ascii="Times New Roman" w:cs="Times New Roman" w:eastAsia="Times New Roman" w:hAnsi="Times New Roman"/>
          <w:sz w:val="17"/>
          <w:szCs w:val="17"/>
          <w:color w:val="auto"/>
        </w:rPr>
      </w:pPr>
    </w:p>
    <w:p>
      <w:pPr>
        <w:ind w:left="660" w:right="24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Term Secured Overnight Financing Rate ("SOFR") Rate plus the applicable Term Benchmark Spread (as defined in the ABL Facility) determined in accordance with an excess availability-based pricing grid. Adjusted Term SOFR Rate is defined as the Term SOFR Rate plus 0.10%, subject to an initial Floor (as defined in the ABL Facility) of 0%.</w:t>
      </w:r>
    </w:p>
    <w:p>
      <w:pPr>
        <w:spacing w:after="0" w:line="54" w:lineRule="exact"/>
        <w:rPr>
          <w:sz w:val="20"/>
          <w:szCs w:val="20"/>
          <w:color w:val="auto"/>
        </w:rPr>
      </w:pPr>
    </w:p>
    <w:p>
      <w:pPr>
        <w:ind w:right="200" w:firstLine="405"/>
        <w:spacing w:after="0" w:line="281" w:lineRule="auto"/>
        <w:rPr>
          <w:sz w:val="20"/>
          <w:szCs w:val="20"/>
          <w:color w:val="auto"/>
        </w:rPr>
      </w:pPr>
      <w:r>
        <w:rPr>
          <w:rFonts w:ascii="Times New Roman" w:cs="Times New Roman" w:eastAsia="Times New Roman" w:hAnsi="Times New Roman"/>
          <w:sz w:val="18"/>
          <w:szCs w:val="18"/>
          <w:color w:val="auto"/>
        </w:rPr>
        <w:t>As amended by Amendment No. 5, based upon the quarterly average of daily availability under the ABL Facility, the interest rate pricing grid,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Pricing under the ABL Facility (Basis Points)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Term Benchmark</w:t>
            </w:r>
          </w:p>
        </w:tc>
        <w:tc>
          <w:tcPr>
            <w:tcW w:w="12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ABR</w:t>
            </w:r>
          </w:p>
        </w:tc>
      </w:tr>
      <w:tr>
        <w:trPr>
          <w:trHeight w:val="234"/>
        </w:trPr>
        <w:tc>
          <w:tcPr>
            <w:tcW w:w="73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Quarter Average of Daily Availability</w:t>
            </w:r>
          </w:p>
        </w:tc>
        <w:tc>
          <w:tcPr>
            <w:tcW w:w="2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Spread</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Spread</w:t>
            </w:r>
          </w:p>
        </w:tc>
      </w:tr>
      <w:tr>
        <w:trPr>
          <w:trHeight w:val="27"/>
        </w:trPr>
        <w:tc>
          <w:tcPr>
            <w:tcW w:w="73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&gt; 66% of $125 million aggregate commitment</w:t>
            </w:r>
          </w:p>
        </w:tc>
        <w:tc>
          <w:tcPr>
            <w:tcW w:w="26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175.0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34"/>
        </w:trPr>
        <w:tc>
          <w:tcPr>
            <w:tcW w:w="7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 66% but &gt; 33% of $125 million aggregate commitment</w:t>
            </w:r>
          </w:p>
        </w:tc>
        <w:tc>
          <w:tcPr>
            <w:tcW w:w="2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
        </w:trPr>
        <w:tc>
          <w:tcPr>
            <w:tcW w:w="7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4"/>
        </w:trPr>
        <w:tc>
          <w:tcPr>
            <w:tcW w:w="73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rPr>
              <w:t>≤ 33% of $125 million aggregate commitment</w:t>
            </w:r>
          </w:p>
        </w:tc>
        <w:tc>
          <w:tcPr>
            <w:tcW w:w="2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225.0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
        </w:trPr>
        <w:tc>
          <w:tcPr>
            <w:tcW w:w="736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bl>
    <w:p>
      <w:pPr>
        <w:spacing w:after="0" w:line="157"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Pursuant to Amendment No. 5, the commitment fee was decreased from 0.40% to (i) 0.25% if the Average Usage (as defined in the ABL Facility) is greater than or equal to 50% and (ii) 0.375% if Average Usage is less than 50%.</w:t>
      </w:r>
    </w:p>
    <w:p>
      <w:pPr>
        <w:spacing w:after="0" w:line="40"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borrowing base calculation was amended by Amendment No. 5 as follows: (i) real property is no longer eligible to be included in the borrowing base, (ii) the PP&amp;E Component (as defined in the ABL Facility), as included in the borrowing base, was decreased to the lesser of (a) 60% of the Net Orderly Liquidation Value (as defined in the ABL Facility) in place of eligible equipment and (b) 30% of the borrowing base and (iii) the amount of eligible cash included in the borrowing base is now capped at 15% of the borrowing base.</w:t>
      </w:r>
    </w:p>
    <w:p>
      <w:pPr>
        <w:spacing w:after="0" w:line="45"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financial covenant is a minimum fixed charge coverage ratio (as defined in the ABL Facility) of 1.00:1.00 that will be triggered in the event that availability is less than the greater of (x) 10% of the Line Cap (as defined in the ABL Facility) and (y) $10 million and will continue until availability is equal to or greater than the greater of (x) 10% of the Line Cap and (y) $10 million for 30 consecutive days, as long as no events of default are continuing.</w:t>
      </w:r>
    </w:p>
    <w:p>
      <w:pPr>
        <w:spacing w:after="0" w:line="54"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If at any time the availability under the ABL facility is less than the greater of (x) 20% of the Line Cap and (y) $20 million and until such subsequent date, if any, on which availability is greater than the greater of (x) 20% of the Line Cap and (y) $20 million for a period of thirty (30) consecutive calendar days, the Company’s current monthly reporting requirements to lenders changes to a weekly cadence.</w:t>
      </w:r>
    </w:p>
    <w:p>
      <w:pPr>
        <w:spacing w:after="0" w:line="54"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A Cash Dominion Period (as defined in the ABL Facility) is now triggered when (x) availability falls below the greater of (i) 12.5% of the Line Cap and (ii) $12.6 million or (y) during the continuation of an event of default and continuing until (x) availability is above the greater of (i) 12.5% of the Line Cap and (ii) $12.6 million for 30 consecutive days and (y) no events of default are continuing. During a Cash Dominion Period, receipts that have not yet been applied to the ABL Facility are classified as restricted cash in the Company’s consolidated balance sheets.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ind w:right="360" w:firstLine="405"/>
        <w:spacing w:after="0" w:line="261" w:lineRule="auto"/>
        <w:rPr>
          <w:sz w:val="20"/>
          <w:szCs w:val="20"/>
          <w:color w:val="auto"/>
        </w:rPr>
      </w:pPr>
      <w:r>
        <w:rPr>
          <w:rFonts w:ascii="Times New Roman" w:cs="Times New Roman" w:eastAsia="Times New Roman" w:hAnsi="Times New Roman"/>
          <w:sz w:val="18"/>
          <w:szCs w:val="18"/>
          <w:color w:val="auto"/>
        </w:rPr>
        <w:t>The ABL Facility has customary representations and warranties including, as a condition to each borrowing, that all such representations and warranties are true and correct in all material respects (including a representation that no Material Adverse Effect (as defined in the ABL Facility) has occurred since December 31, 2024). In the event that the Company cannot certify that all conditions to the borrowing have been met, the lenders can restrict the Company’s future borrowings under the ABL Facility.</w:t>
      </w:r>
    </w:p>
    <w:p>
      <w:pPr>
        <w:spacing w:after="0" w:line="45"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ABL Facility, the lenders have been provided with the Company’s financial statements, covenant compliance certificates and projections to facilitate their ongoing assessment of the Company. Accordingly, the Company believes the likelihood that lenders would exercise the subjective acceleration clause whereby prohibiting future borrowings is remote. As of December 31, 2025, the Company was in compliance with all debt covenants.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High Performance Films Guangzhou Loan</w:t>
      </w:r>
    </w:p>
    <w:p>
      <w:pPr>
        <w:spacing w:after="0" w:line="10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In October 2025, High Performance Films' business location in Guangzhou, China, Guangzhou Tredegar Film Products Co., Ltd. (“Guangzhou Tredegar”), entered into a 3.5 million Chinese Yuan, which is equivalent to $0.5 million as of December 31, 2025, unsecured revolving loan with the Industrial and Commercial Bank of China. The loan matures on October 20, 2026. The interest rate is the one-year loan prime rate published by the National Interbank Funding Center for the working day immediately preceding the drawdown date, minus 0.55%. As of December 31, 2025, the National Interbank Funding Center rate was 3.00%. The financial covenants require that the total amount of Guangzhou Tredegar’s current liabilities cannot exceed 50% of the total amount of current assets and the short-term financing amount cannot exceed 50% of Guangzhou Tredegar’s total sales.</w:t>
      </w:r>
    </w:p>
    <w:p>
      <w:pPr>
        <w:spacing w:after="0" w:line="52"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In June 2024, Guangzhou Tredegar entered into a 9.5 million Chinese Yuan revolving loan with the Industrial and Commercial Bank of China. This loan matured on July 3, 2025. The interest rate was the one year loan prime rate published by the National Interbank Funding Center for the working day immediately preceding the drawdown date, minus 0.45%. As of December 31, 2025, there was no outstanding loan balance. The revolving loan was secured by a mortgage contract listing the Guangzhou Tredegar factory building as collateral. The mortgage was cancelled during the fourth quarter of 2025.</w:t>
      </w:r>
    </w:p>
    <w:p>
      <w:pPr>
        <w:spacing w:after="0" w:line="6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Each Guangzhou Tredegar loan, as applicable, was presented as current debt on the consolidated balance sheet for the years ended December 31, 2025 and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RETIREMENT PLANS AND OTHER POSTRETIREMENT BENEFITS</w:t>
      </w:r>
    </w:p>
    <w:p>
      <w:pPr>
        <w:spacing w:after="0" w:line="94"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Tredegar sponsored a noncontributory defined benefit (pension) plan covering certain current and former U.S. employees. The plan for salaried and hourly employees was based on a formula using the participant’s years of service and compensation or using the participant’s years of service and a dollar amount. The plan is closed to new participants and pay for active plan participants for benefit calculations was frozen as of December 31, 2007. As of January 31, 2018, the plan no longer accrued benefits associated with crediting employees for service, thereby freezing all future benefits under the plan. On February 10, 2022, Tredegar announced the initiation of a process to terminate and settle its frozen defined benefit pension plan through lump sum distributions and the purchase of annuity contracts. On November 3, 2023, the pension plan termination and settlement process for the Company was completed, and the remaining pension plan obligation was transferred to Massachusetts Mutual Life Insurance Company. During 2023, the Company recognized a total pre-tax pension settlement loss of $92.3 million.</w:t>
      </w:r>
    </w:p>
    <w:p>
      <w:pPr>
        <w:spacing w:after="0" w:line="70"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Tredegar also has a non-qualified supplemental pension plan covering certain employees. Effective December 31, 2005, further participation in this plan was terminated and benefit accruals for existing participants were frozen. The plan was designed to restore all or a part of the pension benefits that would have been payable to designated participants from the principal pension plans if it were not for limitations imposed by income tax regulations. The projected benefit obligation relating to this unfunded plan was $1.4 million and $1.5 million at December 31, 2025 and December 31, 2024, respectively. Pension expense recognized for this plan was $0.1 million in 2025, 2024 and 2023. This information has been included in the pension benefit tables below.</w:t>
      </w:r>
    </w:p>
    <w:p>
      <w:pPr>
        <w:spacing w:after="0" w:line="46"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In addition to providing pension benefits, the Company provided Other Post-Retirement Benefits of life insurance and health care benefits for certain groups of employees. Tredegar and retirees shared in the cost of postretirement health care benefits, with employees hired on or before January 1, 1993, receiving a fixed subsidy to cover a portion of their health care premiums. The Company eliminated prescription drug coverage for Medicare-eligible retirees as of January 1, 2006. Consequently, Tredegar is not eligible for any federal subsidies.</w:t>
      </w:r>
    </w:p>
    <w:p>
      <w:pPr>
        <w:spacing w:after="0" w:line="45"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October 31, 2025, Tredegar terminated the Other Post-Retirement Benefits by prefunding $0.1 million, representing all required contributions for the remainder of 2025. The Other Post-Retirement Benefits total obligation and unrecognized pre-tax actuarial gain reported in the consolidated balance sheets was $5.0 million and $1.3 million, respectively, which was realized in the income statement during the fourth quarter of 2025.</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5" w:right="419" w:bottom="1440" w:gutter="0" w:footer="0" w:header="0"/>
        </w:sectPr>
      </w:pPr>
    </w:p>
    <w:bookmarkStart w:id="51" w:name="page52"/>
    <w:bookmarkEnd w:id="51"/>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changes in benefit obligations and plan assets in 2025 and 2024, and reconcile the funded status to prepaid or accrued cost at December 31, 2025 and 2024:</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 Post-</w:t>
            </w:r>
          </w:p>
        </w:tc>
        <w:tc>
          <w:tcPr>
            <w:tcW w:w="920" w:type="dxa"/>
            <w:vAlign w:val="bottom"/>
            <w:tcBorders>
              <w:top w:val="single" w:sz="8" w:color="auto"/>
            </w:tcBorders>
          </w:tcPr>
          <w:p>
            <w:pPr>
              <w:spacing w:after="0"/>
              <w:rPr>
                <w:sz w:val="18"/>
                <w:szCs w:val="18"/>
                <w:color w:val="auto"/>
              </w:rPr>
            </w:pPr>
          </w:p>
        </w:tc>
      </w:tr>
      <w:tr>
        <w:trPr>
          <w:trHeight w:val="234"/>
        </w:trPr>
        <w:tc>
          <w:tcPr>
            <w:tcW w:w="5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right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color w:val="auto"/>
              </w:rPr>
              <w:t>Pension Benefits</w:t>
            </w:r>
          </w:p>
        </w:tc>
        <w:tc>
          <w:tcPr>
            <w:tcW w:w="3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Retirement Benefits</w:t>
            </w:r>
          </w:p>
        </w:tc>
      </w:tr>
      <w:tr>
        <w:trPr>
          <w:trHeight w:val="223"/>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Benefit obligation,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1,478</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1,600</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5,078</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225</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actuarial (gains) losses related to the following:</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4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Discount rate change</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(60)</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166</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5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29"/>
        </w:trPr>
        <w:tc>
          <w:tcPr>
            <w:tcW w:w="5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Termination of Other Post-Retirement Benefits plan</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(5,017)</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plan assets: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 assets at fair value,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w:t>
            </w:r>
          </w:p>
        </w:tc>
        <w:tc>
          <w:tcPr>
            <w:tcW w:w="360" w:type="dxa"/>
            <w:vAlign w:val="bottom"/>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368</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Plan participant contributions</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20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357</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5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paid</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(184)</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5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Plan assets at fair value,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Funded status of the plans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(1,478)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161</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30"/>
        </w:trPr>
        <w:tc>
          <w:tcPr>
            <w:tcW w:w="5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Pension and other postretirement benefit obligations, net</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1,196</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1,317</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4,597</w:t>
            </w:r>
          </w:p>
        </w:tc>
      </w:tr>
      <w:tr>
        <w:trPr>
          <w:trHeight w:val="230"/>
        </w:trPr>
        <w:tc>
          <w:tcPr>
            <w:tcW w:w="5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 recognized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1,478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r>
      <w:tr>
        <w:trPr>
          <w:trHeight w:val="864"/>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50</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assumptions used in accounting for the pension and other post-retirement benefits, and the components of net periodic benefit cost:</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right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Other Post-</w:t>
            </w: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Pension Benefits</w:t>
            </w:r>
          </w:p>
        </w:tc>
        <w:tc>
          <w:tcPr>
            <w:tcW w:w="130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Retirement Benefits</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78"/>
        </w:trPr>
        <w:tc>
          <w:tcPr>
            <w:tcW w:w="306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00" w:type="dxa"/>
            <w:vAlign w:val="bottom"/>
            <w:tcBorders>
              <w:right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determine benefit obligations:</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tcBorders>
              <w:right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Discount rate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5.07 %</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5.49 %</w:t>
            </w:r>
          </w:p>
        </w:tc>
        <w:tc>
          <w:tcPr>
            <w:tcW w:w="320" w:type="dxa"/>
            <w:vAlign w:val="bottom"/>
          </w:tcPr>
          <w:p>
            <w:pPr>
              <w:spacing w:after="0"/>
              <w:rPr>
                <w:sz w:val="19"/>
                <w:szCs w:val="19"/>
                <w:color w:val="auto"/>
              </w:rPr>
            </w:pPr>
          </w:p>
        </w:tc>
        <w:tc>
          <w:tcPr>
            <w:tcW w:w="13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4.89 %</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5.63 %</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determine net periodic benefit cost:</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tcBorders>
              <w:right w:val="single" w:sz="8" w:color="auto"/>
            </w:tcBorders>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Discount rate</w:t>
            </w:r>
            <w:r>
              <w:rPr>
                <w:rFonts w:ascii="Times New Roman" w:cs="Times New Roman" w:eastAsia="Times New Roman" w:hAnsi="Times New Roman"/>
                <w:sz w:val="23"/>
                <w:szCs w:val="23"/>
                <w:color w:val="auto"/>
                <w:vertAlign w:val="superscript"/>
              </w:rPr>
              <w:t>(a)</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5.49 %</w:t>
            </w:r>
          </w:p>
        </w:tc>
        <w:tc>
          <w:tcPr>
            <w:tcW w:w="28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tcPr>
          <w:p>
            <w:pPr>
              <w:spacing w:after="0"/>
              <w:rPr>
                <w:sz w:val="19"/>
                <w:szCs w:val="19"/>
                <w:color w:val="auto"/>
              </w:rPr>
            </w:pPr>
          </w:p>
        </w:tc>
        <w:tc>
          <w:tcPr>
            <w:tcW w:w="13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5.07%/5.37%</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5.63%/5.25%</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0" w:type="dxa"/>
            <w:vAlign w:val="bottom"/>
          </w:tcPr>
          <w:p>
            <w:pPr>
              <w:spacing w:after="0"/>
              <w:rPr>
                <w:sz w:val="1"/>
                <w:szCs w:val="1"/>
                <w:color w:val="auto"/>
              </w:rPr>
            </w:pPr>
          </w:p>
        </w:tc>
      </w:tr>
      <w:tr>
        <w:trPr>
          <w:trHeight w:val="229"/>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78</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shd w:val="clear" w:color="auto" w:fill="CCEEFF"/>
          </w:tcPr>
          <w:p>
            <w:pPr>
              <w:spacing w:after="0"/>
              <w:rPr>
                <w:sz w:val="19"/>
                <w:szCs w:val="19"/>
                <w:color w:val="auto"/>
              </w:rPr>
            </w:pPr>
          </w:p>
        </w:tc>
        <w:tc>
          <w:tcPr>
            <w:tcW w:w="1300" w:type="dxa"/>
            <w:vAlign w:val="bottom"/>
            <w:tcBorders>
              <w:right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9,623</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274</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29"/>
        </w:trPr>
        <w:tc>
          <w:tcPr>
            <w:tcW w:w="3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6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(8,109)</w:t>
            </w:r>
          </w:p>
        </w:tc>
        <w:tc>
          <w:tcPr>
            <w:tcW w:w="440" w:type="dxa"/>
            <w:vAlign w:val="bottom"/>
          </w:tcPr>
          <w:p>
            <w:pPr>
              <w:spacing w:after="0"/>
              <w:rPr>
                <w:sz w:val="19"/>
                <w:szCs w:val="19"/>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2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(275)</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gains or losses</w:t>
            </w:r>
          </w:p>
        </w:tc>
        <w:tc>
          <w:tcPr>
            <w:tcW w:w="2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right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9,245</w:t>
            </w:r>
          </w:p>
        </w:tc>
        <w:tc>
          <w:tcPr>
            <w:tcW w:w="44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3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10,759</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84"/>
        </w:trPr>
        <w:tc>
          <w:tcPr>
            <w:tcW w:w="306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w w:val="99"/>
              </w:rPr>
              <w:t>Pension settlement loss and (gain) on</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0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60" w:type="dxa"/>
            <w:vAlign w:val="bottom"/>
            <w:shd w:val="clear" w:color="auto" w:fill="CCEEFF"/>
          </w:tcPr>
          <w:p>
            <w:pPr>
              <w:ind w:left="360"/>
              <w:spacing w:after="0" w:line="181" w:lineRule="exact"/>
              <w:rPr>
                <w:sz w:val="20"/>
                <w:szCs w:val="20"/>
                <w:color w:val="auto"/>
              </w:rPr>
            </w:pPr>
            <w:r>
              <w:rPr>
                <w:rFonts w:ascii="Times New Roman" w:cs="Times New Roman" w:eastAsia="Times New Roman" w:hAnsi="Times New Roman"/>
                <w:sz w:val="18"/>
                <w:szCs w:val="18"/>
                <w:color w:val="auto"/>
              </w:rPr>
              <w:t>Other Post-Retirement Benefits</w:t>
            </w:r>
          </w:p>
        </w:tc>
        <w:tc>
          <w:tcPr>
            <w:tcW w:w="2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5"/>
                <w:szCs w:val="15"/>
                <w:color w:val="auto"/>
              </w:rPr>
            </w:pPr>
          </w:p>
        </w:tc>
        <w:tc>
          <w:tcPr>
            <w:tcW w:w="1300" w:type="dxa"/>
            <w:vAlign w:val="bottom"/>
            <w:tcBorders>
              <w:right w:val="single" w:sz="8" w:color="auto"/>
            </w:tcBorders>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92,291</w:t>
            </w:r>
          </w:p>
        </w:tc>
        <w:tc>
          <w:tcPr>
            <w:tcW w:w="4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(6,265)</w:t>
            </w:r>
          </w:p>
        </w:tc>
        <w:tc>
          <w:tcPr>
            <w:tcW w:w="2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termination</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Total benefit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98</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103,050</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(6,306)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121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bl>
    <w:p>
      <w:pPr>
        <w:ind w:left="260" w:right="180" w:hanging="234"/>
        <w:spacing w:after="0" w:line="226" w:lineRule="auto"/>
        <w:tabs>
          <w:tab w:leader="none" w:pos="237"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Prior to the Other Post-Retirement Benefits termination in October 2025, a discount rate of 5.63% was used to determine the net periodic benefit cost. On October 31, 2025, a discount rate of 5.25% was used to determine the settlement. Prior to the pension lump sum distributions in August 2023, a discount rate of 5.07% was used to determine the net periodic benefit cost. Subsequent to August 2023, a discount rate of 5.37% was used to determine the net periodic benefit cost until the Company purchased a nonparticipating single premium group annuity contract in October 2023.</w:t>
      </w:r>
    </w:p>
    <w:p>
      <w:pPr>
        <w:spacing w:after="0" w:line="180"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Net periodic benefit cost is determined using assumptions at the beginning of each year. Funded status is determined using assumptions at the end of each year. The amount of the accumulated benefit obligation is the same as the projected benefit obligation. At December 31, 2025, the effect of a 1% change in the health care cost trend rate assumptions would not impact the post-retirement obligation.</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Expected benefit payments over the next five years and in the aggregate for 2031—2035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spacing w:after="0"/>
              <w:rPr>
                <w:sz w:val="22"/>
                <w:szCs w:val="22"/>
                <w:color w:val="auto"/>
              </w:rPr>
            </w:pPr>
          </w:p>
        </w:tc>
        <w:tc>
          <w:tcPr>
            <w:tcW w:w="2100" w:type="dxa"/>
            <w:vAlign w:val="bottom"/>
            <w:tcBorders>
              <w:top w:val="single" w:sz="8" w:color="auto"/>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Pension Benefits</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3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2031—2035</w:t>
            </w: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392"/>
        </w:trPr>
        <w:tc>
          <w:tcPr>
            <w:tcW w:w="914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pre-tax amounts recorded in 2025, 2024 and 2023 in accumulated other comprehensive income (loss) consist of:</w:t>
            </w: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28"/>
        </w:trPr>
        <w:tc>
          <w:tcPr>
            <w:tcW w:w="40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gridSpan w:val="4"/>
          </w:tcPr>
          <w:p>
            <w:pPr>
              <w:spacing w:after="0"/>
              <w:rPr>
                <w:sz w:val="11"/>
                <w:szCs w:val="11"/>
                <w:color w:val="auto"/>
              </w:rPr>
            </w:pPr>
          </w:p>
        </w:tc>
      </w:tr>
      <w:tr>
        <w:trPr>
          <w:trHeight w:val="230"/>
        </w:trPr>
        <w:tc>
          <w:tcPr>
            <w:tcW w:w="40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Pension Benefits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rPr>
              <w:t>Other Post-Retirement Benefits</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230"/>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(gain) loss</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454</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Tredegar uses derivative financial instruments for the purpose of hedging margin exposure from fixed-price forward sales contracts in Aluminum Extrusions. These derivative financial instruments are designated as and qualify as cash flow hedges and are recognized in the consolidated balance sheet at fair value. The fair value of derivative instruments recorded on the consolidated balance sheets is based upon Level 2 inputs. If individual derivative instruments with the same counterparty can be settled on a net basis, the Company records the corresponding derivative fair values as a net asset or net liability.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Aluminum Extrusions enters into fixed-price forward sales contracts with certain customers for the future sale of fixed quantities of aluminum extrusions at scheduled intervals. In order to hedge margin exposure created from the fixing of future sales prices relative to volatile raw material (aluminum) costs, Aluminum Extrusions enters into a combination of forward purchase commitments and futures contracts to acquire or hedge aluminum, based on the scheduled purchases for the firm sales commitments. The fixed-price firm sales commitments and related hedging instruments generally have durations of not more than 12 months, and the notional amount of aluminum futures contracts that hedged future purchases of aluminum to meet fixed-price forward sales contract obligations was $10.0 million (5.2 million pounds of aluminum) at December 31, 2025 and $4.3 million (3.1 million pounds of aluminum) at December 31, 2024.</w:t>
      </w:r>
    </w:p>
    <w:p>
      <w:pPr>
        <w:spacing w:after="0" w:line="5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table below summarizes the location and gross amounts of aluminum derivative contract fair values (Level 2) in the consolidated balance sheets as of December 31, 2025 and 2024:</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380" w:type="dxa"/>
            <w:vAlign w:val="bottom"/>
            <w:tcBorders>
              <w:top w:val="single" w:sz="8" w:color="auto"/>
            </w:tcBorders>
          </w:tcPr>
          <w:p>
            <w:pPr>
              <w:spacing w:after="0"/>
              <w:rPr>
                <w:sz w:val="22"/>
                <w:szCs w:val="22"/>
                <w:color w:val="auto"/>
              </w:rPr>
            </w:pPr>
          </w:p>
        </w:tc>
        <w:tc>
          <w:tcPr>
            <w:tcW w:w="2980" w:type="dxa"/>
            <w:vAlign w:val="bottom"/>
            <w:tcBorders>
              <w:top w:val="single" w:sz="8" w:color="auto"/>
            </w:tcBorders>
            <w:gridSpan w:val="4"/>
          </w:tcPr>
          <w:p>
            <w:pPr>
              <w:ind w:left="740"/>
              <w:spacing w:after="0"/>
              <w:rPr>
                <w:sz w:val="20"/>
                <w:szCs w:val="20"/>
                <w:color w:val="auto"/>
              </w:rPr>
            </w:pPr>
            <w:r>
              <w:rPr>
                <w:rFonts w:ascii="Times New Roman" w:cs="Times New Roman" w:eastAsia="Times New Roman" w:hAnsi="Times New Roman"/>
                <w:sz w:val="18"/>
                <w:szCs w:val="18"/>
                <w:color w:val="auto"/>
              </w:rPr>
              <w:t>December 31, 2025</w:t>
            </w:r>
          </w:p>
        </w:tc>
        <w:tc>
          <w:tcPr>
            <w:tcW w:w="2880" w:type="dxa"/>
            <w:vAlign w:val="bottom"/>
            <w:tcBorders>
              <w:top w:val="single" w:sz="8" w:color="auto"/>
            </w:tcBorders>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69"/>
        </w:trPr>
        <w:tc>
          <w:tcPr>
            <w:tcW w:w="5380" w:type="dxa"/>
            <w:vAlign w:val="bottom"/>
          </w:tcPr>
          <w:p>
            <w:pPr>
              <w:spacing w:after="0"/>
              <w:rPr>
                <w:sz w:val="14"/>
                <w:szCs w:val="14"/>
                <w:color w:val="auto"/>
              </w:rPr>
            </w:pPr>
          </w:p>
        </w:tc>
        <w:tc>
          <w:tcPr>
            <w:tcW w:w="16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Balance Sheet</w:t>
            </w: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Balance Sheet</w:t>
            </w: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43"/>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Account</w:t>
            </w: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Account</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Asset derivatives:</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expenses &amp;</w:t>
            </w:r>
          </w:p>
        </w:tc>
        <w:tc>
          <w:tcPr>
            <w:tcW w:w="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Prepaid expenses &amp;</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other</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75"/>
        </w:trPr>
        <w:tc>
          <w:tcPr>
            <w:tcW w:w="53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Liability derivatives:</w:t>
            </w:r>
          </w:p>
        </w:tc>
        <w:tc>
          <w:tcPr>
            <w:tcW w:w="1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76"/>
        </w:trPr>
        <w:tc>
          <w:tcPr>
            <w:tcW w:w="538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Pr>
          <w:p>
            <w:pPr>
              <w:spacing w:after="0"/>
              <w:rPr>
                <w:sz w:val="15"/>
                <w:szCs w:val="15"/>
                <w:color w:val="auto"/>
              </w:rPr>
            </w:pPr>
          </w:p>
        </w:tc>
        <w:tc>
          <w:tcPr>
            <w:tcW w:w="1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Other non-current</w:t>
            </w: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Aluminum futures contracts</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asset (liability)</w:t>
            </w:r>
          </w:p>
        </w:tc>
        <w:tc>
          <w:tcPr>
            <w:tcW w:w="16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w:t>
            </w:r>
          </w:p>
        </w:tc>
        <w:tc>
          <w:tcPr>
            <w:tcW w:w="10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In the event that a counterparty to an aluminum fixed-price forward sales contract chooses not to take delivery of its aluminum extrusions, the customer is contractually obligated to compensate Aluminum Extrusions for any losses on the related aluminum futures and/or forward contracts through the date of cancellation.</w:t>
      </w:r>
    </w:p>
    <w:p>
      <w:pPr>
        <w:spacing w:after="0" w:line="54"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These derivative contracts involve elements of market risk that are not reflected on the consolidated balance sheet, including the risk of dealing with counterparties and their ability to meet the terms of the contracts. The counterparties to any forward purchase commitments are major aluminum brokers and suppliers, and the counterparties to any aluminum futures contracts are major financial institutions. Fixed-price forward sales contracts are only made available to the best and most creditworthy customers.</w:t>
      </w:r>
    </w:p>
    <w:p>
      <w:pPr>
        <w:spacing w:after="0" w:line="5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pre-tax effect on net income (loss) and other comprehensive income (loss) of derivative instruments classified as cash flow hedges and described in the previous paragraphs for years ended December 31, 2025, 2024, and 2023 is summarized in the table below:</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bottom w:val="single" w:sz="8" w:color="auto"/>
            </w:tcBorders>
          </w:tcPr>
          <w:p>
            <w:pPr>
              <w:spacing w:after="0"/>
              <w:rPr>
                <w:sz w:val="22"/>
                <w:szCs w:val="22"/>
                <w:color w:val="auto"/>
              </w:rPr>
            </w:pPr>
          </w:p>
        </w:tc>
        <w:tc>
          <w:tcPr>
            <w:tcW w:w="3400" w:type="dxa"/>
            <w:vAlign w:val="bottom"/>
            <w:tcBorders>
              <w:top w:val="single" w:sz="8" w:color="auto"/>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color w:val="auto"/>
              </w:rPr>
              <w:t>Cash Flow Derivative Hedges</w:t>
            </w:r>
          </w:p>
        </w:tc>
        <w:tc>
          <w:tcPr>
            <w:tcW w:w="0" w:type="dxa"/>
            <w:vAlign w:val="bottom"/>
          </w:tcPr>
          <w:p>
            <w:pPr>
              <w:spacing w:after="0"/>
              <w:rPr>
                <w:sz w:val="1"/>
                <w:szCs w:val="1"/>
                <w:color w:val="auto"/>
              </w:rPr>
            </w:pPr>
          </w:p>
        </w:tc>
      </w:tr>
      <w:tr>
        <w:trPr>
          <w:trHeight w:val="223"/>
        </w:trPr>
        <w:tc>
          <w:tcPr>
            <w:tcW w:w="7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color w:val="auto"/>
                <w:w w:val="99"/>
              </w:rPr>
              <w:t>Aluminum Futures Contracts</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December 31,</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of pre-tax gain (loss) recognized in other comprehensive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184"/>
        </w:trPr>
        <w:tc>
          <w:tcPr>
            <w:tcW w:w="77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Location of gain (loss) reclassified from accumulated other comprehensive income into net income</w:t>
            </w:r>
          </w:p>
        </w:tc>
        <w:tc>
          <w:tcPr>
            <w:tcW w:w="140" w:type="dxa"/>
            <w:vAlign w:val="bottom"/>
          </w:tcPr>
          <w:p>
            <w:pPr>
              <w:spacing w:after="0"/>
              <w:rPr>
                <w:sz w:val="16"/>
                <w:szCs w:val="16"/>
                <w:color w:val="auto"/>
              </w:rPr>
            </w:pPr>
          </w:p>
        </w:tc>
        <w:tc>
          <w:tcPr>
            <w:tcW w:w="10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8"/>
              </w:rPr>
              <w:t>Cost of</w:t>
            </w:r>
          </w:p>
        </w:tc>
        <w:tc>
          <w:tcPr>
            <w:tcW w:w="220" w:type="dxa"/>
            <w:vAlign w:val="bottom"/>
          </w:tcPr>
          <w:p>
            <w:pPr>
              <w:spacing w:after="0"/>
              <w:rPr>
                <w:sz w:val="16"/>
                <w:szCs w:val="16"/>
                <w:color w:val="auto"/>
              </w:rPr>
            </w:pPr>
          </w:p>
        </w:tc>
        <w:tc>
          <w:tcPr>
            <w:tcW w:w="102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color w:val="auto"/>
              </w:rPr>
              <w:t>Cost of</w:t>
            </w:r>
          </w:p>
        </w:tc>
        <w:tc>
          <w:tcPr>
            <w:tcW w:w="200" w:type="dxa"/>
            <w:vAlign w:val="bottom"/>
          </w:tcPr>
          <w:p>
            <w:pPr>
              <w:spacing w:after="0"/>
              <w:rPr>
                <w:sz w:val="16"/>
                <w:szCs w:val="16"/>
                <w:color w:val="auto"/>
              </w:rPr>
            </w:pPr>
          </w:p>
        </w:tc>
        <w:tc>
          <w:tcPr>
            <w:tcW w:w="96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color w:val="auto"/>
                <w:w w:val="98"/>
              </w:rPr>
              <w:t>Cost of</w:t>
            </w:r>
          </w:p>
        </w:tc>
        <w:tc>
          <w:tcPr>
            <w:tcW w:w="0" w:type="dxa"/>
            <w:vAlign w:val="bottom"/>
          </w:tcPr>
          <w:p>
            <w:pPr>
              <w:spacing w:after="0"/>
              <w:rPr>
                <w:sz w:val="1"/>
                <w:szCs w:val="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Pr>
          <w:p>
            <w:pPr>
              <w:spacing w:after="0"/>
              <w:rPr>
                <w:sz w:val="20"/>
                <w:szCs w:val="20"/>
                <w:color w:val="auto"/>
              </w:rPr>
            </w:pPr>
          </w:p>
        </w:tc>
        <w:tc>
          <w:tcPr>
            <w:tcW w:w="10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goods sold</w:t>
            </w:r>
          </w:p>
        </w:tc>
        <w:tc>
          <w:tcPr>
            <w:tcW w:w="22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goods sold</w:t>
            </w:r>
          </w:p>
        </w:tc>
        <w:tc>
          <w:tcPr>
            <w:tcW w:w="200" w:type="dxa"/>
            <w:vAlign w:val="bottom"/>
          </w:tcPr>
          <w:p>
            <w:pPr>
              <w:spacing w:after="0"/>
              <w:rPr>
                <w:sz w:val="20"/>
                <w:szCs w:val="20"/>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goods sold</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Amount of pre-tax gain (loss) reclassified from accumulated other comprehensive income to net income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1,184</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expects $1.1 million of unrealized after-tax net gains on aluminum derivative contracts reported in accumulated other comprehensive income (loss) to be reclassified to earnings within the next 12 months. For the years ended December 31, 2025, 2024 and 2023, net gains or losses realized, from previously unrealized net gains or losses on hedges that had been discontinued, were not material.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OPTION AND STOCK AWARD PLANS</w:t>
      </w:r>
    </w:p>
    <w:p>
      <w:pPr>
        <w:spacing w:after="0" w:line="108"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one stock-based compensation plan that permits the grants of stock options, stock appreciation rights (“SARs”), restricted stock awards, other equity awards based on Tredegar common stock. Awards available for grant totaled 1,678,682 shares at December 31, 2025. Stock options may be granted to purchase a specified number of shares of common stock at a price no lower than the fair market value on the date of grant and for a term not to exceed 10 years. Stock options exercisable totaled 1,205,105 and 2,327,655 shares at December 31, 2025 and 2024,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8"/>
          <w:szCs w:val="18"/>
          <w:color w:val="auto"/>
        </w:rPr>
        <w:t>A summary of stock options outstanding at December 31, 2025, 2024 and 2023, and changes during those years, is presented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880" w:type="dxa"/>
            <w:vAlign w:val="bottom"/>
            <w:tcBorders>
              <w:top w:val="single" w:sz="8" w:color="auto"/>
            </w:tcBorders>
          </w:tcPr>
          <w:p>
            <w:pPr>
              <w:spacing w:after="0"/>
              <w:rPr>
                <w:sz w:val="22"/>
                <w:szCs w:val="22"/>
                <w:color w:val="auto"/>
              </w:rPr>
            </w:pPr>
          </w:p>
        </w:tc>
        <w:tc>
          <w:tcPr>
            <w:tcW w:w="2480" w:type="dxa"/>
            <w:vAlign w:val="bottom"/>
            <w:tcBorders>
              <w:top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2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Option 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r>
      <w:tr>
        <w:trPr>
          <w:trHeight w:val="178"/>
        </w:trPr>
        <w:tc>
          <w:tcPr>
            <w:tcW w:w="3880" w:type="dxa"/>
            <w:vAlign w:val="bottom"/>
          </w:tcPr>
          <w:p>
            <w:pPr>
              <w:spacing w:after="0"/>
              <w:rPr>
                <w:sz w:val="15"/>
                <w:szCs w:val="15"/>
                <w:color w:val="auto"/>
              </w:rPr>
            </w:pPr>
          </w:p>
        </w:tc>
        <w:tc>
          <w:tcPr>
            <w:tcW w:w="2480" w:type="dxa"/>
            <w:vAlign w:val="bottom"/>
          </w:tcPr>
          <w:p>
            <w:pPr>
              <w:jc w:val="right"/>
              <w:ind w:right="250"/>
              <w:spacing w:after="0" w:line="177" w:lineRule="exact"/>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210"/>
              <w:spacing w:after="0" w:line="177" w:lineRule="exact"/>
              <w:rPr>
                <w:sz w:val="20"/>
                <w:szCs w:val="20"/>
                <w:color w:val="auto"/>
              </w:rPr>
            </w:pPr>
            <w:r>
              <w:rPr>
                <w:rFonts w:ascii="Times New Roman" w:cs="Times New Roman" w:eastAsia="Times New Roman" w:hAnsi="Times New Roman"/>
                <w:sz w:val="18"/>
                <w:szCs w:val="18"/>
                <w:color w:val="auto"/>
              </w:rPr>
              <w:t>Weighted</w:t>
            </w:r>
          </w:p>
        </w:tc>
      </w:tr>
      <w:tr>
        <w:trPr>
          <w:trHeight w:val="234"/>
        </w:trPr>
        <w:tc>
          <w:tcPr>
            <w:tcW w:w="38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Options</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Range</w:t>
            </w:r>
          </w:p>
        </w:tc>
        <w:tc>
          <w:tcPr>
            <w:tcW w:w="5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Average</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3,108,741</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(89,408)</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3,019,333</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(691,678)</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22.49</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2,327,655</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(1,122,550)</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r>
      <w:tr>
        <w:trPr>
          <w:trHeight w:val="230"/>
        </w:trPr>
        <w:tc>
          <w:tcPr>
            <w:tcW w:w="38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4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1,205,105</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10.75</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options were granted in 2025, 2024 or 2023.</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additional information about stock options outstanding and exercisable at December 31,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780" w:type="dxa"/>
            <w:vAlign w:val="bottom"/>
            <w:tcBorders>
              <w:top w:val="single" w:sz="8" w:color="auto"/>
              <w:bottom w:val="single" w:sz="8" w:color="auto"/>
              <w:right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4060" w:type="dxa"/>
            <w:vAlign w:val="bottom"/>
            <w:tcBorders>
              <w:top w:val="single" w:sz="8" w:color="auto"/>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color w:val="auto"/>
              </w:rPr>
              <w:t>Options Exercisable at December 31, 2025</w:t>
            </w:r>
          </w:p>
        </w:tc>
      </w:tr>
      <w:tr>
        <w:trPr>
          <w:trHeight w:val="237"/>
        </w:trPr>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2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Weighted Average</w:t>
            </w:r>
          </w:p>
        </w:tc>
        <w:tc>
          <w:tcPr>
            <w:tcW w:w="26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1"/>
        </w:trPr>
        <w:tc>
          <w:tcPr>
            <w:tcW w:w="800" w:type="dxa"/>
            <w:vAlign w:val="bottom"/>
          </w:tcPr>
          <w:p>
            <w:pPr>
              <w:spacing w:after="0"/>
              <w:rPr>
                <w:sz w:val="24"/>
                <w:szCs w:val="24"/>
                <w:color w:val="auto"/>
              </w:rPr>
            </w:pPr>
          </w:p>
        </w:tc>
        <w:tc>
          <w:tcPr>
            <w:tcW w:w="9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Range of</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Remaining</w:t>
            </w: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Exercise</w:t>
            </w:r>
          </w:p>
        </w:tc>
        <w:tc>
          <w:tcPr>
            <w:tcW w:w="260" w:type="dxa"/>
            <w:vAlign w:val="bottom"/>
          </w:tcPr>
          <w:p>
            <w:pPr>
              <w:spacing w:after="0"/>
              <w:rPr>
                <w:sz w:val="24"/>
                <w:szCs w:val="24"/>
                <w:color w:val="auto"/>
              </w:rPr>
            </w:pPr>
          </w:p>
        </w:tc>
        <w:tc>
          <w:tcPr>
            <w:tcW w:w="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Aggregate</w:t>
            </w: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220" w:type="dxa"/>
            <w:vAlign w:val="bottom"/>
          </w:tcPr>
          <w:p>
            <w:pPr>
              <w:spacing w:after="0"/>
              <w:rPr>
                <w:sz w:val="24"/>
                <w:szCs w:val="24"/>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Aggregate</w:t>
            </w:r>
          </w:p>
        </w:tc>
      </w:tr>
      <w:tr>
        <w:trPr>
          <w:trHeight w:val="243"/>
        </w:trPr>
        <w:tc>
          <w:tcPr>
            <w:tcW w:w="174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Exercise Prices</w:t>
            </w:r>
          </w:p>
        </w:tc>
        <w:tc>
          <w:tcPr>
            <w:tcW w:w="6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Shares</w:t>
            </w:r>
          </w:p>
        </w:tc>
        <w:tc>
          <w:tcPr>
            <w:tcW w:w="15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7"/>
              </w:rPr>
              <w:t>Price</w:t>
            </w:r>
          </w:p>
        </w:tc>
        <w:tc>
          <w:tcPr>
            <w:tcW w:w="1240" w:type="dxa"/>
            <w:vAlign w:val="bottom"/>
            <w:tcBorders>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Intrinsic Value</w:t>
            </w:r>
          </w:p>
        </w:tc>
        <w:tc>
          <w:tcPr>
            <w:tcW w:w="11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Exercise Price</w:t>
            </w:r>
          </w:p>
        </w:tc>
        <w:tc>
          <w:tcPr>
            <w:tcW w:w="11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w w:val="98"/>
              </w:rPr>
              <w:t>Intrinsic Value</w:t>
            </w:r>
          </w:p>
        </w:tc>
      </w:tr>
      <w:tr>
        <w:trPr>
          <w:trHeight w:val="223"/>
        </w:trPr>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10.75</w:t>
            </w:r>
          </w:p>
        </w:tc>
        <w:tc>
          <w:tcPr>
            <w:tcW w:w="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16.37</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1,205,105</w:t>
            </w:r>
          </w:p>
        </w:tc>
        <w:tc>
          <w:tcPr>
            <w:tcW w:w="15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 years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1,205,105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12.90</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15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stock options exercised in 2025, 2024 or 2023. The grant-date fair value of stock option-based awards vested in 2023 was $2.2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there was no unrecognized compensation cost related to stock option-based awards.</w:t>
      </w:r>
    </w:p>
    <w:p>
      <w:pPr>
        <w:spacing w:after="0" w:line="85"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Restricted stock grants ordinarily vest three years from the date of grant based upon continued employment. The fair value of restricted stock awards is estimated as of the grant date using the closing stock price on that date.</w:t>
      </w:r>
    </w:p>
    <w:p>
      <w:pPr>
        <w:spacing w:after="0" w:line="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additional information about unvested restricted stock awards outstanding at December 31, 2025, 2024 and 2023:</w:t>
      </w:r>
    </w:p>
    <w:p>
      <w:pPr>
        <w:spacing w:after="0" w:line="115"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4820" w:type="dxa"/>
            <w:vAlign w:val="bottom"/>
            <w:tcBorders>
              <w:top w:val="single" w:sz="8" w:color="auto"/>
            </w:tcBorders>
          </w:tcPr>
          <w:p>
            <w:pPr>
              <w:spacing w:after="0"/>
              <w:rPr>
                <w:sz w:val="21"/>
                <w:szCs w:val="21"/>
                <w:color w:val="auto"/>
              </w:rPr>
            </w:pPr>
          </w:p>
        </w:tc>
        <w:tc>
          <w:tcPr>
            <w:tcW w:w="6280" w:type="dxa"/>
            <w:vAlign w:val="bottom"/>
            <w:tcBorders>
              <w:top w:val="single" w:sz="8" w:color="auto"/>
            </w:tcBorders>
            <w:gridSpan w:val="5"/>
          </w:tcPr>
          <w:p>
            <w:pPr>
              <w:jc w:val="right"/>
              <w:ind w:right="73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31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Number</w:t>
            </w:r>
          </w:p>
        </w:tc>
        <w:tc>
          <w:tcPr>
            <w:tcW w:w="200" w:type="dxa"/>
            <w:vAlign w:val="bottom"/>
          </w:tcPr>
          <w:p>
            <w:pPr>
              <w:spacing w:after="0"/>
              <w:rPr>
                <w:sz w:val="16"/>
                <w:szCs w:val="16"/>
                <w:color w:val="auto"/>
              </w:rPr>
            </w:pPr>
          </w:p>
        </w:tc>
        <w:tc>
          <w:tcPr>
            <w:tcW w:w="142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6"/>
              </w:rPr>
              <w:t>Weighted Avg.</w:t>
            </w:r>
          </w:p>
        </w:tc>
        <w:tc>
          <w:tcPr>
            <w:tcW w:w="240" w:type="dxa"/>
            <w:vAlign w:val="bottom"/>
          </w:tcPr>
          <w:p>
            <w:pPr>
              <w:spacing w:after="0"/>
              <w:rPr>
                <w:sz w:val="16"/>
                <w:szCs w:val="16"/>
                <w:color w:val="auto"/>
              </w:rPr>
            </w:pPr>
          </w:p>
        </w:tc>
        <w:tc>
          <w:tcPr>
            <w:tcW w:w="126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Grant Date</w:t>
            </w:r>
          </w:p>
        </w:tc>
        <w:tc>
          <w:tcPr>
            <w:tcW w:w="0" w:type="dxa"/>
            <w:vAlign w:val="bottom"/>
          </w:tcPr>
          <w:p>
            <w:pPr>
              <w:spacing w:after="0"/>
              <w:rPr>
                <w:sz w:val="1"/>
                <w:szCs w:val="1"/>
                <w:color w:val="auto"/>
              </w:rPr>
            </w:pPr>
          </w:p>
        </w:tc>
      </w:tr>
      <w:tr>
        <w:trPr>
          <w:trHeight w:val="180"/>
        </w:trPr>
        <w:tc>
          <w:tcPr>
            <w:tcW w:w="4820" w:type="dxa"/>
            <w:vAlign w:val="bottom"/>
          </w:tcPr>
          <w:p>
            <w:pPr>
              <w:spacing w:after="0"/>
              <w:rPr>
                <w:sz w:val="15"/>
                <w:szCs w:val="15"/>
                <w:color w:val="auto"/>
              </w:rPr>
            </w:pPr>
          </w:p>
        </w:tc>
        <w:tc>
          <w:tcPr>
            <w:tcW w:w="3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8"/>
              </w:rPr>
              <w:t>Grant Date</w:t>
            </w:r>
          </w:p>
        </w:tc>
        <w:tc>
          <w:tcPr>
            <w:tcW w:w="240" w:type="dxa"/>
            <w:vAlign w:val="bottom"/>
          </w:tcPr>
          <w:p>
            <w:pPr>
              <w:spacing w:after="0"/>
              <w:rPr>
                <w:sz w:val="15"/>
                <w:szCs w:val="15"/>
                <w:color w:val="auto"/>
              </w:rPr>
            </w:pPr>
          </w:p>
        </w:tc>
        <w:tc>
          <w:tcPr>
            <w:tcW w:w="126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of Shares</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Fair Value/Share</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(In thousands)</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3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474,978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454,623</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(26,445)</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3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736,079</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385,159</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(261,941)</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(87,181)</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3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772,116</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342,181</w:t>
            </w:r>
          </w:p>
        </w:tc>
        <w:tc>
          <w:tcPr>
            <w:tcW w:w="20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7.15</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2,447</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(262,375)</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11.05</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c>
          <w:tcPr>
            <w:tcW w:w="0" w:type="dxa"/>
            <w:vAlign w:val="bottom"/>
          </w:tcPr>
          <w:p>
            <w:pPr>
              <w:spacing w:after="0"/>
              <w:rPr>
                <w:sz w:val="1"/>
                <w:szCs w:val="1"/>
                <w:color w:val="auto"/>
              </w:rPr>
            </w:pPr>
          </w:p>
        </w:tc>
      </w:tr>
      <w:tr>
        <w:trPr>
          <w:trHeight w:val="22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(173,159)</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7.45</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3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678,763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5,043</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2025, the unrecognized compensation cost related to non-vested restricted stock awards was $2.0 million. This cost is expected to be recognized over the remaining weighted average period of 1.7 years.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There were no SARs granted in 2025, 2024 or 2023. SARs may be settled in cash upon exercise and therefore are classified as liabilities and included in accrued expenses in the consolidated balance sheet. The fair value of these liability awards is remeasured at each reporting period until the date of settlement. Increases and decreases in stock-based compensation expense are recognized over the vesting period, or immediately, for vested awards.</w:t>
      </w:r>
    </w:p>
    <w:p>
      <w:pPr>
        <w:spacing w:after="0" w:line="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summary of SARs outstanding at December 31, 2025, 2024 and 2023, and changes during those years, is presented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000" w:type="dxa"/>
            <w:vAlign w:val="bottom"/>
            <w:tcBorders>
              <w:top w:val="single" w:sz="8" w:color="auto"/>
            </w:tcBorders>
          </w:tcPr>
          <w:p>
            <w:pPr>
              <w:spacing w:after="0"/>
              <w:rPr>
                <w:sz w:val="22"/>
                <w:szCs w:val="22"/>
                <w:color w:val="auto"/>
              </w:rPr>
            </w:pPr>
          </w:p>
        </w:tc>
        <w:tc>
          <w:tcPr>
            <w:tcW w:w="26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2060" w:type="dxa"/>
            <w:vAlign w:val="bottom"/>
            <w:tcBorders>
              <w:top w:val="single" w:sz="8" w:color="auto"/>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Exercise Price/Share</w:t>
            </w: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spacing w:after="0"/>
              <w:rPr>
                <w:sz w:val="22"/>
                <w:szCs w:val="22"/>
                <w:color w:val="auto"/>
              </w:rPr>
            </w:pPr>
          </w:p>
        </w:tc>
      </w:tr>
      <w:tr>
        <w:trPr>
          <w:trHeight w:val="169"/>
        </w:trPr>
        <w:tc>
          <w:tcPr>
            <w:tcW w:w="4000" w:type="dxa"/>
            <w:vAlign w:val="bottom"/>
          </w:tcPr>
          <w:p>
            <w:pPr>
              <w:spacing w:after="0"/>
              <w:rPr>
                <w:sz w:val="14"/>
                <w:szCs w:val="14"/>
                <w:color w:val="auto"/>
              </w:rPr>
            </w:pPr>
          </w:p>
        </w:tc>
        <w:tc>
          <w:tcPr>
            <w:tcW w:w="26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Weighted</w:t>
            </w:r>
          </w:p>
        </w:tc>
      </w:tr>
      <w:tr>
        <w:trPr>
          <w:trHeight w:val="243"/>
        </w:trPr>
        <w:tc>
          <w:tcPr>
            <w:tcW w:w="40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SARs</w:t>
            </w: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Range</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Average</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2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498,687</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(53,969)</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2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444,718</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(110,272)</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26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334,446</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10.75</w:t>
            </w:r>
          </w:p>
        </w:tc>
        <w:tc>
          <w:tcPr>
            <w:tcW w:w="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r>
      <w:tr>
        <w:trPr>
          <w:trHeight w:val="229"/>
        </w:trPr>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 and expired</w:t>
            </w:r>
          </w:p>
        </w:tc>
        <w:tc>
          <w:tcPr>
            <w:tcW w:w="2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(5,340)</w:t>
            </w: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10.75</w:t>
            </w:r>
          </w:p>
        </w:tc>
        <w:tc>
          <w:tcPr>
            <w:tcW w:w="7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15.25</w:t>
            </w:r>
          </w:p>
        </w:tc>
      </w:tr>
      <w:tr>
        <w:trPr>
          <w:trHeight w:val="230"/>
        </w:trPr>
        <w:tc>
          <w:tcPr>
            <w:tcW w:w="4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6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329,106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10.75</w:t>
            </w:r>
          </w:p>
        </w:tc>
        <w:tc>
          <w:tcPr>
            <w:tcW w:w="7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w:t>
            </w:r>
          </w:p>
        </w:tc>
      </w:tr>
    </w:tbl>
    <w:p>
      <w:pPr>
        <w:spacing w:after="0" w:line="157" w:lineRule="exact"/>
        <w:rPr>
          <w:sz w:val="20"/>
          <w:szCs w:val="20"/>
          <w:color w:val="auto"/>
        </w:rPr>
      </w:pPr>
    </w:p>
    <w:p>
      <w:pPr>
        <w:ind w:right="640" w:firstLine="405"/>
        <w:spacing w:after="0" w:line="282" w:lineRule="auto"/>
        <w:rPr>
          <w:sz w:val="20"/>
          <w:szCs w:val="20"/>
          <w:color w:val="auto"/>
        </w:rPr>
      </w:pPr>
      <w:r>
        <w:rPr>
          <w:rFonts w:ascii="Times New Roman" w:cs="Times New Roman" w:eastAsia="Times New Roman" w:hAnsi="Times New Roman"/>
          <w:sz w:val="18"/>
          <w:szCs w:val="18"/>
          <w:color w:val="auto"/>
        </w:rPr>
        <w:t>The grant-date fair value of SARs that vested in 2025, 2024 and 2023 were immaterial. As of December 31, 2025, there was no unrecognized compensation cost related to SARs.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29,745</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(151,488)</w:t>
            </w:r>
          </w:p>
        </w:tc>
      </w:tr>
      <w:tr>
        <w:trPr>
          <w:trHeight w:val="230"/>
        </w:trPr>
        <w:tc>
          <w:tcPr>
            <w:tcW w:w="55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1,403</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r>
      <w:tr>
        <w:trPr>
          <w:trHeight w:val="230"/>
        </w:trPr>
        <w:tc>
          <w:tcPr>
            <w:tcW w:w="55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30,669</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880</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(150,465)</w:t>
            </w:r>
          </w:p>
        </w:tc>
      </w:tr>
      <w:tr>
        <w:trPr>
          <w:trHeight w:val="405"/>
        </w:trPr>
        <w:tc>
          <w:tcPr>
            <w:tcW w:w="55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Income tax expense (benefit) from continuing operations is as follows:</w:t>
            </w: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5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r>
      <w:tr>
        <w:trPr>
          <w:trHeight w:val="229"/>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(39,929)</w:t>
            </w: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279</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55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407</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721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(39,727)</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6,104</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5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55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55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6,177</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(11,573)</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income tax expense (benefit) for continuing operations</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5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5,541</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(51,687)</w:t>
            </w:r>
          </w:p>
        </w:tc>
      </w:tr>
      <w:tr>
        <w:trPr>
          <w:trHeight w:val="230"/>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828</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0"/>
        </w:trPr>
        <w:tc>
          <w:tcPr>
            <w:tcW w:w="5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5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215</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224</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30"/>
        </w:trPr>
        <w:tc>
          <w:tcPr>
            <w:tcW w:w="55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6,584</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r>
      <w:tr>
        <w:trPr>
          <w:trHeight w:val="864"/>
        </w:trPr>
        <w:tc>
          <w:tcPr>
            <w:tcW w:w="5520" w:type="dxa"/>
            <w:vAlign w:val="bottom"/>
          </w:tcPr>
          <w:p>
            <w:pPr>
              <w:spacing w:after="0"/>
              <w:rPr>
                <w:sz w:val="24"/>
                <w:szCs w:val="24"/>
                <w:color w:val="auto"/>
              </w:rPr>
            </w:pPr>
          </w:p>
        </w:tc>
        <w:tc>
          <w:tcPr>
            <w:tcW w:w="15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w w:val="99"/>
              </w:rPr>
              <w:t>54</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5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8"/>
          <w:szCs w:val="18"/>
          <w:color w:val="auto"/>
        </w:rPr>
        <w:t>Below is a tabular rate reconciliation pursuant to the disclosure requirements of ASU 2023-09 for the year ended December 31,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34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top w:val="single" w:sz="8" w:color="auto"/>
              <w:bottom w:val="single" w:sz="8" w:color="auto"/>
            </w:tcBorders>
          </w:tcPr>
          <w:p>
            <w:pPr>
              <w:spacing w:after="0"/>
              <w:rPr>
                <w:sz w:val="22"/>
                <w:szCs w:val="22"/>
                <w:color w:val="auto"/>
              </w:rPr>
            </w:pPr>
          </w:p>
        </w:tc>
      </w:tr>
      <w:tr>
        <w:trPr>
          <w:trHeight w:val="22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6,441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domestic federal</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9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6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(930)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30"/>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29"/>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9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30"/>
        </w:trPr>
        <w:tc>
          <w:tcPr>
            <w:tcW w:w="9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Executive compensation</w:t>
            </w: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29"/>
        </w:trPr>
        <w:tc>
          <w:tcPr>
            <w:tcW w:w="9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r>
      <w:tr>
        <w:trPr>
          <w:trHeight w:val="230"/>
        </w:trPr>
        <w:tc>
          <w:tcPr>
            <w:tcW w:w="9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r>
      <w:tr>
        <w:trPr>
          <w:trHeight w:val="229"/>
        </w:trPr>
        <w:tc>
          <w:tcPr>
            <w:tcW w:w="9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income tax, net of federal (national) income tax effect</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9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r>
      <w:tr>
        <w:trPr>
          <w:trHeight w:val="229"/>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(886)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r>
      <w:tr>
        <w:trPr>
          <w:trHeight w:val="230"/>
        </w:trPr>
        <w:tc>
          <w:tcPr>
            <w:tcW w:w="9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6,584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r>
      <w:tr>
        <w:trPr>
          <w:trHeight w:val="234"/>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State taxes in Pennsylvania and Georgia made up the majority (greater than 50 percent) of the tax effect in this category.</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166"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significant differences between the U.S. federal statutory rate and the effective income tax rate related to continuing operations for the years ended December 31, 2024 and 2023 prior to the adoption of ASU 2023-09 are as follows: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74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top w:val="single" w:sz="8" w:color="auto"/>
              <w:bottom w:val="single" w:sz="8" w:color="auto"/>
            </w:tcBorders>
          </w:tcPr>
          <w:p>
            <w:pPr>
              <w:spacing w:after="0"/>
              <w:rPr>
                <w:sz w:val="22"/>
                <w:szCs w:val="22"/>
                <w:color w:val="auto"/>
              </w:rPr>
            </w:pPr>
          </w:p>
        </w:tc>
      </w:tr>
      <w:tr>
        <w:trPr>
          <w:trHeight w:val="223"/>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percentages)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 at federal statutory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(31,598)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estimates related to prior year tax provision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other</w:t>
            </w: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differences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on foreign branch income</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1,693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Stranded taxes released with termination of pension</w:t>
            </w:r>
          </w:p>
        </w:tc>
        <w:tc>
          <w:tcPr>
            <w:tcW w:w="18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(21,913)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contingency accruals and tax settlements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federal valuation allowance</w:t>
            </w:r>
          </w:p>
        </w:tc>
        <w:tc>
          <w:tcPr>
            <w:tcW w:w="1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237</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(766)</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4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 (benefit) at effective income tax rate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(51,300)</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bl>
    <w:p>
      <w:pPr>
        <w:spacing w:after="0" w:line="17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Provision (benefit) for income taxes for the year ended December 31, 2025 was $6.6 million compared to $(0.2) million for the year ended December 31, 2024. The effective tax rates for the years ended December 31, 2025 and 2024 were 21.5% and (18.8)%, respectively. The change in effective tax rate was primarily due to higher pre-tax income from continuing operations in 2025 than in 2024. The tax rate in 2024 was impacted by the release of valuation allowance on deferred taxes. The tax rate in 2023 was impacted by a pre-tax loss and tax benefits previously recorded in other comprehensive income (loss) that were released in 2023 as a result of the pension plan termination. The stranded taxes released with the termination of the pension plan represent the effect of the change in federal and state tax rates on pension-related deferred tax items initially recorded in other comprehensive income. The related stranded taxes were released in full in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Disclosed below is a summary of income taxes paid (refunded) by jurisdiction for continuing operations pursuant to the disclosure requirements of ASU 2023-09 for the year ended December 31, 2025.</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Borders>
              <w:top w:val="single" w:sz="8" w:color="auto"/>
            </w:tcBorders>
          </w:tcPr>
          <w:p>
            <w:pPr>
              <w:spacing w:after="0"/>
              <w:rPr>
                <w:sz w:val="18"/>
                <w:szCs w:val="18"/>
                <w:color w:val="auto"/>
              </w:rPr>
            </w:pPr>
          </w:p>
        </w:tc>
        <w:tc>
          <w:tcPr>
            <w:tcW w:w="49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3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United States</w:t>
            </w:r>
          </w:p>
        </w:tc>
        <w:tc>
          <w:tcPr>
            <w:tcW w:w="33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3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Georgia</w:t>
            </w:r>
          </w:p>
        </w:tc>
        <w:tc>
          <w:tcPr>
            <w:tcW w:w="3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Michigan</w:t>
            </w:r>
          </w:p>
        </w:tc>
        <w:tc>
          <w:tcPr>
            <w:tcW w:w="3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Pennsylvania</w:t>
            </w:r>
          </w:p>
        </w:tc>
        <w:tc>
          <w:tcPr>
            <w:tcW w:w="3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Texas</w:t>
            </w:r>
          </w:p>
        </w:tc>
        <w:tc>
          <w:tcPr>
            <w:tcW w:w="3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state jurisdictions</w:t>
            </w:r>
          </w:p>
        </w:tc>
        <w:tc>
          <w:tcPr>
            <w:tcW w:w="3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3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62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China</w:t>
            </w:r>
          </w:p>
        </w:tc>
        <w:tc>
          <w:tcPr>
            <w:tcW w:w="33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taxes paid for continuing operations</w:t>
            </w:r>
          </w:p>
        </w:tc>
        <w:tc>
          <w:tcPr>
            <w:tcW w:w="336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725</w:t>
            </w: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Deferred income tax assets and deferred income tax liabilities for continuing operations at December 31, 2025 and 2024,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benefits</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4,511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Basis difference in capital assets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2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1,754</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 write-offs, divestitures and environmental accruals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857</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 and state NOL and credit carryforwards</w:t>
            </w:r>
          </w:p>
        </w:tc>
        <w:tc>
          <w:tcPr>
            <w:tcW w:w="2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35,000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38,706</w:t>
            </w:r>
          </w:p>
        </w:tc>
      </w:tr>
      <w:tr>
        <w:trPr>
          <w:trHeight w:val="230"/>
        </w:trPr>
        <w:tc>
          <w:tcPr>
            <w:tcW w:w="65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Capitalized R&amp;D expenditures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8,672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8,169</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2,933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r>
      <w:tr>
        <w:trPr>
          <w:trHeight w:val="230"/>
        </w:trPr>
        <w:tc>
          <w:tcPr>
            <w:tcW w:w="6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Interest expense limitation carryforward</w:t>
            </w:r>
          </w:p>
        </w:tc>
        <w:tc>
          <w:tcPr>
            <w:tcW w:w="2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Deferred income tax assets before valuation allowance</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54,790</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63,003</w:t>
            </w:r>
          </w:p>
        </w:tc>
      </w:tr>
      <w:tr>
        <w:trPr>
          <w:trHeight w:val="229"/>
        </w:trPr>
        <w:tc>
          <w:tcPr>
            <w:tcW w:w="6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14,623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15,220</w:t>
            </w:r>
          </w:p>
        </w:tc>
      </w:tr>
      <w:tr>
        <w:trPr>
          <w:trHeight w:val="223"/>
        </w:trPr>
        <w:tc>
          <w:tcPr>
            <w:tcW w:w="65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1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40,167</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47,783</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identifiable intangibles</w:t>
            </w:r>
          </w:p>
        </w:tc>
        <w:tc>
          <w:tcPr>
            <w:tcW w:w="21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1,704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18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7,502</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leased assets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r>
      <w:tr>
        <w:trPr>
          <w:trHeight w:val="230"/>
        </w:trPr>
        <w:tc>
          <w:tcPr>
            <w:tcW w:w="6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1,878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5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2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13,890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15,335</w:t>
            </w:r>
          </w:p>
        </w:tc>
      </w:tr>
      <w:tr>
        <w:trPr>
          <w:trHeight w:val="230"/>
        </w:trPr>
        <w:tc>
          <w:tcPr>
            <w:tcW w:w="6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26,277</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32,448</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recognized in the consolidated balance sheets:</w:t>
            </w:r>
          </w:p>
        </w:tc>
        <w:tc>
          <w:tcPr>
            <w:tcW w:w="2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 assets (noncurrent)</w:t>
            </w:r>
          </w:p>
        </w:tc>
        <w:tc>
          <w:tcPr>
            <w:tcW w:w="21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26,277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32,517</w:t>
            </w:r>
          </w:p>
        </w:tc>
      </w:tr>
      <w:tr>
        <w:trPr>
          <w:trHeight w:val="230"/>
        </w:trPr>
        <w:tc>
          <w:tcPr>
            <w:tcW w:w="65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liabilities (noncurrent)</w:t>
            </w:r>
          </w:p>
        </w:tc>
        <w:tc>
          <w:tcPr>
            <w:tcW w:w="2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65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Net deferred income tax assets (liabilities)</w:t>
            </w:r>
          </w:p>
        </w:tc>
        <w:tc>
          <w:tcPr>
            <w:tcW w:w="2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26,277</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32,448</w:t>
            </w:r>
          </w:p>
        </w:tc>
      </w:tr>
    </w:tbl>
    <w:p>
      <w:pPr>
        <w:spacing w:after="0" w:line="171"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Except as noted below, the Company believes that it is more likely than not that future taxable income will exceed future tax-deductible amounts thereby resulting in the realization of deferred income tax assets. The Company had U.S. federal and state tax credits of $21.2 million and state net operating loss carryforwards of $13.8 million at December 31, 2025. The Company had U.S. federal and state tax credits of $25.2 million and state net operating loss carryforwards of $13.5 million and a deferred interest limitation of $0.5 million at December 31, 2024. The U.S. federal foreign tax credits will expire between 2026-2035 and the U.S. federal research and development tax credits will expire between 2039-2045. The U.S. state carryforwards expire at different points over the next 20 years.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Valuation allowances of $13.7 million and $14.0 million at December 31, 2025 and 2024, respectively, are recorded against the tax benefit on state tax credits and net operating loss carryforwards generated by domestic subsidiaries that may not be recoverable in the carryforward period. The valuation allowance for unrealized capital losses from investments and other related items was $0.4 million and $0.2 million at December 31, 2025 and 2024, respectively. Valuation allowances of $0.5 million and $1.1 million at December 31, 2025 and 2024, respectively, were recorded against certain other deferred state tax assets. As circumstances and events warrant, allowances will be reversed when it is more likely than not that future taxable income will exceed deductible amounts, thereby resulting in the realization of deferred income tax assets.</w:t>
      </w:r>
    </w:p>
    <w:p>
      <w:pPr>
        <w:spacing w:after="0" w:line="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the Company’s unrecognized uncertain tax positions since January 1, 2023, is shown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14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tcPr>
          <w:p>
            <w:pPr>
              <w:spacing w:after="0"/>
              <w:rPr>
                <w:sz w:val="21"/>
                <w:szCs w:val="21"/>
                <w:color w:val="auto"/>
              </w:rPr>
            </w:pPr>
          </w:p>
        </w:tc>
        <w:tc>
          <w:tcPr>
            <w:tcW w:w="3100" w:type="dxa"/>
            <w:vAlign w:val="bottom"/>
            <w:tcBorders>
              <w:top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Years Ended December 31,</w:t>
            </w:r>
          </w:p>
        </w:tc>
        <w:tc>
          <w:tcPr>
            <w:tcW w:w="1080" w:type="dxa"/>
            <w:vAlign w:val="bottom"/>
            <w:tcBorders>
              <w:top w:val="single" w:sz="8" w:color="auto"/>
            </w:tcBorders>
          </w:tcPr>
          <w:p>
            <w:pPr>
              <w:spacing w:after="0"/>
              <w:rPr>
                <w:sz w:val="21"/>
                <w:szCs w:val="21"/>
                <w:color w:val="auto"/>
              </w:rPr>
            </w:pPr>
          </w:p>
        </w:tc>
      </w:tr>
      <w:tr>
        <w:trPr>
          <w:trHeight w:val="238"/>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659</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due to tax positions taken in:</w:t>
            </w:r>
          </w:p>
        </w:tc>
        <w:tc>
          <w:tcPr>
            <w:tcW w:w="1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period</w:t>
            </w:r>
          </w:p>
        </w:tc>
        <w:tc>
          <w:tcPr>
            <w:tcW w:w="19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period</w:t>
            </w:r>
          </w:p>
        </w:tc>
        <w:tc>
          <w:tcPr>
            <w:tcW w:w="192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19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840</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r>
    </w:tbl>
    <w:p>
      <w:pPr>
        <w:spacing w:after="0" w:line="17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At December 31, 2025, the Company had no unrecognized uncertain tax positions. The Company records interest expense related to uncertain tax positions in income tax expense on the Consolidated Statements of Income (Loss) with the balance of accrued interest in other noncurrent liabilities on the Consolidated Balance Sheet. The Company accrued immaterial interest expense related to uncertain tax positions for all periods presented.</w:t>
      </w:r>
    </w:p>
    <w:p>
      <w:pPr>
        <w:spacing w:after="0" w:line="4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Tredegar, or one of its subsidiaries, files income tax returns in the U.S. federal jurisdiction, various states and jurisdictions outside the U.S. With few exceptions, Tredegar is no longer subject to U.S. federal, state or non-U.S. income tax examinations by tax authorities for years before 2022.</w:t>
      </w:r>
    </w:p>
    <w:p>
      <w:pPr>
        <w:spacing w:after="0" w:line="40"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which have various effective dates. OBBBA did not have a material impact on the Company’s tax provision and effective rate for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BUSINESS SEGMENTS</w:t>
      </w:r>
    </w:p>
    <w:p>
      <w:pPr>
        <w:spacing w:after="0" w:line="94" w:lineRule="exact"/>
        <w:rPr>
          <w:sz w:val="20"/>
          <w:szCs w:val="20"/>
          <w:color w:val="auto"/>
        </w:rPr>
      </w:pPr>
    </w:p>
    <w:p>
      <w:pPr>
        <w:ind w:right="620" w:firstLine="405"/>
        <w:spacing w:after="0" w:line="261" w:lineRule="auto"/>
        <w:rPr>
          <w:sz w:val="20"/>
          <w:szCs w:val="20"/>
          <w:color w:val="auto"/>
        </w:rPr>
      </w:pPr>
      <w:r>
        <w:rPr>
          <w:rFonts w:ascii="Times New Roman" w:cs="Times New Roman" w:eastAsia="Times New Roman" w:hAnsi="Times New Roman"/>
          <w:sz w:val="18"/>
          <w:szCs w:val="18"/>
          <w:color w:val="auto"/>
        </w:rPr>
        <w:t>The Company's business segments are Aluminum Extrusions and High Performance Films. Aluminum Extrusions, also referred to as Bonnell Aluminum, produces high-quality, soft and medium strength alloyed aluminum extrusions, custom fabricated and finished, for the building and construction, automotive and transportation, consumer durables goods, machinery and equipment, electrical and renewable energy, and distribution markets. High Performance Films produces surface protection films, advanced packaging films and films for other markets.</w:t>
      </w:r>
    </w:p>
    <w:p>
      <w:pPr>
        <w:spacing w:after="0" w:line="5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Company’s reportable segments are based on its method of internal reporting, which is generally segregated by differences in products. Accounting standards for presentation of segments require an approach based on the way the Company organizes the segments for making operating decisions and how the chief operating decision maker (“CODM”) assesses performance. EBITDA from ongoing operations is the key profitability measure used by the CODM (Tredegar’s President and Chief Executive Officer) for purposes of assessing financial performance.</w:t>
      </w:r>
    </w:p>
    <w:p>
      <w:pPr>
        <w:spacing w:after="0" w:line="58"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EBITDA from ongoing operations used by the CODM excludes certain non-recurring items, such as restructuring costs, asset impairments and other items, which are reported separately. The CODM uses EBITDA from ongoing operations to evaluate the operating performance of Tredegar’s ongoing operations, monitor budget versus actual results, establish management’s compensation and allocate resources. EBITDA from ongoing operations is the primary measure of segment performance and is consistent with how the business is managed internally, in addition to being a key financial and analytic metric for borrowing capacity and estimated enterprise value.</w:t>
      </w:r>
    </w:p>
    <w:p>
      <w:pPr>
        <w:spacing w:after="0" w:line="48"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The Company uses sales less freight (“net sales”) as its measure of revenues from external customers at the segment level. This measure is separately included in the financial information regularly provided to the CODM.</w:t>
      </w:r>
    </w:p>
    <w:p>
      <w:pPr>
        <w:spacing w:after="0" w:line="40"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Information by business segment and geographic area for the last three years is provided in the segment tables below. There were no accounting transactions between segments.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tbl>
      <w:tblPr>
        <w:tblLayout w:type="fixed"/>
        <w:tblInd w:w="40" w:type="dxa"/>
        <w:tblCellMar>
          <w:top w:w="0" w:type="dxa"/>
          <w:left w:w="0" w:type="dxa"/>
          <w:bottom w:w="0" w:type="dxa"/>
          <w:right w:w="0" w:type="dxa"/>
        </w:tblCellMar>
      </w:tblPr>
      <w:tr>
        <w:trPr>
          <w:trHeight w:val="265"/>
        </w:trPr>
        <w:tc>
          <w:tcPr>
            <w:tcW w:w="8100" w:type="dxa"/>
            <w:vAlign w:val="bottom"/>
            <w:tcBorders>
              <w:top w:val="single" w:sz="8" w:color="auto"/>
            </w:tcBorders>
            <w:gridSpan w:val="4"/>
          </w:tcPr>
          <w:p>
            <w:pPr>
              <w:ind w:left="3080"/>
              <w:spacing w:after="0"/>
              <w:rPr>
                <w:sz w:val="20"/>
                <w:szCs w:val="20"/>
                <w:color w:val="auto"/>
              </w:rPr>
            </w:pPr>
            <w:r>
              <w:rPr>
                <w:rFonts w:ascii="Times New Roman" w:cs="Times New Roman" w:eastAsia="Times New Roman" w:hAnsi="Times New Roman"/>
                <w:sz w:val="18"/>
                <w:szCs w:val="18"/>
                <w:b w:val="1"/>
                <w:bCs w:val="1"/>
                <w:i w:val="1"/>
                <w:iCs w:val="1"/>
                <w:color w:val="auto"/>
                <w:w w:val="99"/>
              </w:rPr>
              <w:t>Segment Revenue, Segment Profit (Loss), and Significant Expenses</w:t>
            </w:r>
          </w:p>
        </w:tc>
        <w:tc>
          <w:tcPr>
            <w:tcW w:w="1700" w:type="dxa"/>
            <w:vAlign w:val="bottom"/>
            <w:tcBorders>
              <w:top w:val="single" w:sz="8" w:color="auto"/>
            </w:tcBorders>
            <w:vMerge w:val="restart"/>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6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30"/>
              <w:spacing w:after="0" w:line="169" w:lineRule="exact"/>
              <w:rPr>
                <w:sz w:val="20"/>
                <w:szCs w:val="20"/>
                <w:color w:val="auto"/>
              </w:rPr>
            </w:pPr>
            <w:r>
              <w:rPr>
                <w:rFonts w:ascii="Times New Roman" w:cs="Times New Roman" w:eastAsia="Times New Roman" w:hAnsi="Times New Roman"/>
                <w:sz w:val="18"/>
                <w:szCs w:val="18"/>
                <w:b w:val="1"/>
                <w:bCs w:val="1"/>
                <w:color w:val="auto"/>
              </w:rPr>
              <w:t>Aluminum</w:t>
            </w:r>
          </w:p>
        </w:tc>
        <w:tc>
          <w:tcPr>
            <w:tcW w:w="280" w:type="dxa"/>
            <w:vAlign w:val="bottom"/>
          </w:tcPr>
          <w:p>
            <w:pPr>
              <w:spacing w:after="0"/>
              <w:rPr>
                <w:sz w:val="14"/>
                <w:szCs w:val="14"/>
                <w:color w:val="auto"/>
              </w:rPr>
            </w:pPr>
          </w:p>
        </w:tc>
        <w:tc>
          <w:tcPr>
            <w:tcW w:w="170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High Performance</w:t>
            </w:r>
          </w:p>
        </w:tc>
        <w:tc>
          <w:tcPr>
            <w:tcW w:w="36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Extrusions</w:t>
            </w: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Films</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598,975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99,756</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698,731</w:t>
            </w: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back freight</w:t>
            </w:r>
          </w:p>
        </w:tc>
        <w:tc>
          <w:tcPr>
            <w:tcW w:w="2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24,133</w:t>
            </w:r>
          </w:p>
        </w:tc>
        <w:tc>
          <w:tcPr>
            <w:tcW w:w="0" w:type="dxa"/>
            <w:vAlign w:val="bottom"/>
          </w:tcPr>
          <w:p>
            <w:pPr>
              <w:spacing w:after="0"/>
              <w:rPr>
                <w:sz w:val="1"/>
                <w:szCs w:val="1"/>
                <w:color w:val="auto"/>
              </w:rPr>
            </w:pPr>
          </w:p>
        </w:tc>
      </w:tr>
      <w:tr>
        <w:trPr>
          <w:trHeight w:val="223"/>
        </w:trPr>
        <w:tc>
          <w:tcPr>
            <w:tcW w:w="6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722,864</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Less: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costs</w:t>
            </w:r>
          </w:p>
        </w:tc>
        <w:tc>
          <w:tcPr>
            <w:tcW w:w="2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454,249</w:t>
            </w:r>
          </w:p>
        </w:tc>
        <w:tc>
          <w:tcPr>
            <w:tcW w:w="2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46,596</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500,845</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6,741</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6,953</w:t>
            </w:r>
          </w:p>
        </w:tc>
        <w:tc>
          <w:tcPr>
            <w:tcW w:w="0" w:type="dxa"/>
            <w:vAlign w:val="bottom"/>
          </w:tcPr>
          <w:p>
            <w:pPr>
              <w:spacing w:after="0"/>
              <w:rPr>
                <w:sz w:val="1"/>
                <w:szCs w:val="1"/>
                <w:color w:val="auto"/>
              </w:rPr>
            </w:pPr>
          </w:p>
        </w:tc>
      </w:tr>
      <w:tr>
        <w:trPr>
          <w:trHeight w:val="230"/>
        </w:trPr>
        <w:tc>
          <w:tcPr>
            <w:tcW w:w="620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5</w:t>
            </w:r>
          </w:p>
        </w:tc>
        <w:tc>
          <w:tcPr>
            <w:tcW w:w="240" w:type="dxa"/>
            <w:vAlign w:val="bottom"/>
          </w:tcPr>
          <w:p>
            <w:pPr>
              <w:spacing w:after="0"/>
              <w:rPr>
                <w:sz w:val="19"/>
                <w:szCs w:val="19"/>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46,402</w:t>
            </w:r>
          </w:p>
        </w:tc>
        <w:tc>
          <w:tcPr>
            <w:tcW w:w="280" w:type="dxa"/>
            <w:vAlign w:val="bottom"/>
          </w:tcPr>
          <w:p>
            <w:pPr>
              <w:spacing w:after="0"/>
              <w:rPr>
                <w:sz w:val="19"/>
                <w:szCs w:val="19"/>
                <w:color w:val="auto"/>
              </w:rPr>
            </w:pP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14,134</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60,536</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5</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38,461</w:t>
            </w: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11,618</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50,079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6</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2,164</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2,223</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50,958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27,137</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78,095</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21,535</w:t>
            </w:r>
          </w:p>
        </w:tc>
        <w:tc>
          <w:tcPr>
            <w:tcW w:w="0" w:type="dxa"/>
            <w:vAlign w:val="bottom"/>
          </w:tcPr>
          <w:p>
            <w:pPr>
              <w:spacing w:after="0"/>
              <w:rPr>
                <w:sz w:val="1"/>
                <w:szCs w:val="1"/>
                <w:color w:val="auto"/>
              </w:rPr>
            </w:pPr>
          </w:p>
        </w:tc>
      </w:tr>
      <w:tr>
        <w:trPr>
          <w:trHeight w:val="229"/>
        </w:trPr>
        <w:tc>
          <w:tcPr>
            <w:tcW w:w="620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Plant shutdowns, asset impairments, restructurings and other</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2,790</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229"/>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4,003</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OPEB termination gain</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25,399</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30,669</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6,584</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24,085</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9,391</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33,476</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60" w:name="page61"/>
    <w:bookmarkEnd w:id="60"/>
    <w:tbl>
      <w:tblPr>
        <w:tblLayout w:type="fixed"/>
        <w:tblInd w:w="40" w:type="dxa"/>
        <w:tblCellMar>
          <w:top w:w="0" w:type="dxa"/>
          <w:left w:w="0" w:type="dxa"/>
          <w:bottom w:w="0" w:type="dxa"/>
          <w:right w:w="0" w:type="dxa"/>
        </w:tblCellMar>
      </w:tblPr>
      <w:tr>
        <w:trPr>
          <w:trHeight w:val="265"/>
        </w:trPr>
        <w:tc>
          <w:tcPr>
            <w:tcW w:w="81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Segment Revenue, Segment Profit (Loss), and Significant Expenses</w:t>
            </w:r>
          </w:p>
        </w:tc>
        <w:tc>
          <w:tcPr>
            <w:tcW w:w="1660" w:type="dxa"/>
            <w:vAlign w:val="bottom"/>
            <w:tcBorders>
              <w:top w:val="single" w:sz="8" w:color="auto"/>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6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240" w:type="dxa"/>
            <w:vAlign w:val="bottom"/>
          </w:tcPr>
          <w:p>
            <w:pPr>
              <w:spacing w:after="0"/>
              <w:rPr>
                <w:sz w:val="14"/>
                <w:szCs w:val="14"/>
                <w:color w:val="auto"/>
              </w:rPr>
            </w:pPr>
          </w:p>
        </w:tc>
        <w:tc>
          <w:tcPr>
            <w:tcW w:w="166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color w:val="auto"/>
              </w:rPr>
              <w:t>High Performance</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Extrusions</w:t>
            </w:r>
          </w:p>
        </w:tc>
        <w:tc>
          <w:tcPr>
            <w:tcW w:w="2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Films</w:t>
            </w: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471,815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105,199</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577,014</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w:t>
            </w:r>
          </w:p>
        </w:tc>
        <w:tc>
          <w:tcPr>
            <w:tcW w:w="0" w:type="dxa"/>
            <w:vAlign w:val="bottom"/>
          </w:tcPr>
          <w:p>
            <w:pPr>
              <w:spacing w:after="0"/>
              <w:rPr>
                <w:sz w:val="1"/>
                <w:szCs w:val="1"/>
                <w:color w:val="auto"/>
              </w:rPr>
            </w:pPr>
          </w:p>
        </w:tc>
      </w:tr>
      <w:tr>
        <w:trPr>
          <w:trHeight w:val="22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598,025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costs</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354,397</w:t>
            </w:r>
          </w:p>
        </w:tc>
        <w:tc>
          <w:tcPr>
            <w:tcW w:w="24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50,289</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404,686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29"/>
        </w:trPr>
        <w:tc>
          <w:tcPr>
            <w:tcW w:w="62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5</w:t>
            </w:r>
          </w:p>
        </w:tc>
        <w:tc>
          <w:tcPr>
            <w:tcW w:w="26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40,123</w:t>
            </w:r>
          </w:p>
        </w:tc>
        <w:tc>
          <w:tcPr>
            <w:tcW w:w="24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13,248</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5</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33,638</w:t>
            </w: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11,245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44,883</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6</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1,066</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30,486</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71,843</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0" w:type="dxa"/>
            <w:vAlign w:val="bottom"/>
          </w:tcPr>
          <w:p>
            <w:pPr>
              <w:spacing w:after="0"/>
              <w:rPr>
                <w:sz w:val="1"/>
                <w:szCs w:val="1"/>
                <w:color w:val="auto"/>
              </w:rPr>
            </w:pPr>
          </w:p>
        </w:tc>
      </w:tr>
      <w:tr>
        <w:trPr>
          <w:trHeight w:val="229"/>
        </w:trPr>
        <w:tc>
          <w:tcPr>
            <w:tcW w:w="628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Plant shutdowns, asset impairments, restructurings and other</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2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29"/>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24,520</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(65,610)</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(64,565)</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52"/>
        </w:trPr>
        <w:tc>
          <w:tcPr>
            <w:tcW w:w="80" w:type="dxa"/>
            <w:vAlign w:val="bottom"/>
          </w:tcPr>
          <w:p>
            <w:pPr>
              <w:spacing w:after="0"/>
              <w:rPr>
                <w:sz w:val="21"/>
                <w:szCs w:val="21"/>
                <w:color w:val="auto"/>
              </w:rPr>
            </w:pPr>
          </w:p>
        </w:tc>
        <w:tc>
          <w:tcPr>
            <w:tcW w:w="8540" w:type="dxa"/>
            <w:vAlign w:val="bottom"/>
            <w:tcBorders>
              <w:top w:val="single" w:sz="8" w:color="auto"/>
            </w:tcBorders>
            <w:gridSpan w:val="10"/>
          </w:tcPr>
          <w:p>
            <w:pPr>
              <w:ind w:left="3040"/>
              <w:spacing w:after="0"/>
              <w:rPr>
                <w:sz w:val="20"/>
                <w:szCs w:val="20"/>
                <w:color w:val="auto"/>
              </w:rPr>
            </w:pPr>
            <w:r>
              <w:rPr>
                <w:rFonts w:ascii="Times New Roman" w:cs="Times New Roman" w:eastAsia="Times New Roman" w:hAnsi="Times New Roman"/>
                <w:sz w:val="18"/>
                <w:szCs w:val="18"/>
                <w:b w:val="1"/>
                <w:bCs w:val="1"/>
                <w:i w:val="1"/>
                <w:iCs w:val="1"/>
                <w:color w:val="auto"/>
              </w:rPr>
              <w:t>Segment Revenue, Segment Profit (Loss), and Significant Expenses</w:t>
            </w:r>
          </w:p>
        </w:tc>
        <w:tc>
          <w:tcPr>
            <w:tcW w:w="3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right"/>
              <w:ind w:right="310"/>
              <w:spacing w:after="0" w:line="169" w:lineRule="exact"/>
              <w:rPr>
                <w:sz w:val="20"/>
                <w:szCs w:val="20"/>
                <w:color w:val="auto"/>
              </w:rPr>
            </w:pPr>
            <w:r>
              <w:rPr>
                <w:rFonts w:ascii="Times New Roman" w:cs="Times New Roman" w:eastAsia="Times New Roman" w:hAnsi="Times New Roman"/>
                <w:sz w:val="18"/>
                <w:szCs w:val="18"/>
                <w:color w:val="auto"/>
              </w:rPr>
              <w:t>Aluminum</w:t>
            </w:r>
          </w:p>
        </w:tc>
        <w:tc>
          <w:tcPr>
            <w:tcW w:w="1820" w:type="dxa"/>
            <w:vAlign w:val="bottom"/>
            <w:gridSpan w:val="3"/>
          </w:tcPr>
          <w:p>
            <w:pPr>
              <w:jc w:val="right"/>
              <w:ind w:right="70"/>
              <w:spacing w:after="0" w:line="169" w:lineRule="exact"/>
              <w:rPr>
                <w:sz w:val="20"/>
                <w:szCs w:val="20"/>
                <w:color w:val="auto"/>
              </w:rPr>
            </w:pPr>
            <w:r>
              <w:rPr>
                <w:rFonts w:ascii="Times New Roman" w:cs="Times New Roman" w:eastAsia="Times New Roman" w:hAnsi="Times New Roman"/>
                <w:sz w:val="18"/>
                <w:szCs w:val="18"/>
                <w:color w:val="auto"/>
              </w:rPr>
              <w:t>High Performance</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Extrusions</w:t>
            </w:r>
          </w:p>
        </w:tc>
        <w:tc>
          <w:tcPr>
            <w:tcW w:w="7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Films</w:t>
            </w: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474,803</w:t>
            </w:r>
          </w:p>
        </w:tc>
        <w:tc>
          <w:tcPr>
            <w:tcW w:w="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 freight</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Sales as shown in the consolidated statements of income (loss)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costs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365,320</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LIFO inventory adjustment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(1,333)</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Manufacturing fixed costs</w:t>
            </w:r>
            <w:r>
              <w:rPr>
                <w:rFonts w:ascii="Times New Roman" w:cs="Times New Roman" w:eastAsia="Times New Roman" w:hAnsi="Times New Roman"/>
                <w:sz w:val="23"/>
                <w:szCs w:val="23"/>
                <w:color w:val="auto"/>
                <w:vertAlign w:val="superscript"/>
              </w:rPr>
              <w:t>5</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41,028</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Selling, general and administrative costs</w:t>
            </w:r>
            <w:r>
              <w:rPr>
                <w:rFonts w:ascii="Times New Roman" w:cs="Times New Roman" w:eastAsia="Times New Roman" w:hAnsi="Times New Roman"/>
                <w:sz w:val="23"/>
                <w:szCs w:val="23"/>
                <w:color w:val="auto"/>
                <w:vertAlign w:val="superscript"/>
              </w:rPr>
              <w:t>5</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tcBorders>
              <w:bottom w:val="single" w:sz="8" w:color="auto"/>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6</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 from ongoing operations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37,976</w:t>
            </w:r>
          </w:p>
        </w:tc>
        <w:tc>
          <w:tcPr>
            <w:tcW w:w="7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(loss):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80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Plant shutdowns, asset impairments, restructurings and other</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investment in kaleo, inc.</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option-based compensation expense</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settlement loss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tcBorders>
              <w:bottom w:val="single" w:sz="8" w:color="auto"/>
            </w:tcBorders>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Corporate expenses, net</w:t>
            </w:r>
            <w:r>
              <w:rPr>
                <w:rFonts w:ascii="Times New Roman" w:cs="Times New Roman" w:eastAsia="Times New Roman" w:hAnsi="Times New Roman"/>
                <w:sz w:val="23"/>
                <w:szCs w:val="23"/>
                <w:color w:val="auto"/>
                <w:vertAlign w:val="superscript"/>
              </w:rPr>
              <w:t>4</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9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Income (loss) from discontinued operations, net of tax</w:t>
            </w:r>
          </w:p>
        </w:tc>
        <w:tc>
          <w:tcPr>
            <w:tcW w:w="8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gridSpan w:val="2"/>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500" w:type="dxa"/>
            <w:vAlign w:val="bottom"/>
            <w:tcBorders>
              <w:bottom w:val="single" w:sz="8" w:color="auto"/>
            </w:tcBorders>
            <w:gridSpan w:val="2"/>
            <w:vMerge w:val="continue"/>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269,802</w:t>
            </w:r>
          </w:p>
        </w:tc>
        <w:tc>
          <w:tcPr>
            <w:tcW w:w="56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52,998</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55,081</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CCEEFF"/>
          </w:tcPr>
          <w:p>
            <w:pPr>
              <w:spacing w:after="0"/>
              <w:rPr>
                <w:sz w:val="19"/>
                <w:szCs w:val="19"/>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Subtotal</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322,800</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302,286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41,843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2</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6,729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auto"/>
            </w:tcBorders>
            <w:shd w:val="clear" w:color="auto" w:fill="CCEEFF"/>
          </w:tcPr>
          <w:p>
            <w:pPr>
              <w:spacing w:after="0"/>
              <w:rPr>
                <w:sz w:val="20"/>
                <w:szCs w:val="20"/>
                <w:color w:val="auto"/>
              </w:rPr>
            </w:pPr>
          </w:p>
        </w:tc>
        <w:tc>
          <w:tcPr>
            <w:tcW w:w="34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371,372</w:t>
            </w:r>
          </w:p>
        </w:tc>
        <w:tc>
          <w:tcPr>
            <w:tcW w:w="560" w:type="dxa"/>
            <w:vAlign w:val="bottom"/>
            <w:tcBorders>
              <w:bottom w:val="single" w:sz="8" w:color="auto"/>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356,357</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6"/>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5"/>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20" w:type="dxa"/>
            <w:vAlign w:val="bottom"/>
            <w:gridSpan w:val="6"/>
          </w:tcPr>
          <w:p>
            <w:pPr>
              <w:jc w:val="right"/>
              <w:ind w:right="61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520" w:type="dxa"/>
            <w:vAlign w:val="bottom"/>
          </w:tcPr>
          <w:p>
            <w:pPr>
              <w:spacing w:after="0"/>
              <w:rPr>
                <w:sz w:val="19"/>
                <w:szCs w:val="19"/>
                <w:color w:val="auto"/>
              </w:rPr>
            </w:pPr>
          </w:p>
        </w:tc>
        <w:tc>
          <w:tcPr>
            <w:tcW w:w="23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16,640</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17,722</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15,392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5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4,895</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5,200</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1,849</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shd w:val="clear" w:color="auto" w:fill="CCEEFF"/>
          </w:tcPr>
          <w:p>
            <w:pPr>
              <w:spacing w:after="0"/>
              <w:rPr>
                <w:sz w:val="19"/>
                <w:szCs w:val="19"/>
                <w:color w:val="auto"/>
              </w:rPr>
            </w:pPr>
          </w:p>
        </w:tc>
        <w:tc>
          <w:tcPr>
            <w:tcW w:w="3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Subtotal</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21,535</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22,922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24,449</w:t>
            </w: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17,241</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General corporate</w:t>
            </w:r>
            <w:r>
              <w:rPr>
                <w:rFonts w:ascii="Times New Roman" w:cs="Times New Roman" w:eastAsia="Times New Roman" w:hAnsi="Times New Roman"/>
                <w:sz w:val="23"/>
                <w:szCs w:val="23"/>
                <w:color w:val="auto"/>
                <w:vertAlign w:val="superscript"/>
              </w:rPr>
              <w:t>4</w:t>
            </w:r>
          </w:p>
        </w:tc>
        <w:tc>
          <w:tcPr>
            <w:tcW w:w="520" w:type="dxa"/>
            <w:vAlign w:val="bottom"/>
          </w:tcPr>
          <w:p>
            <w:pPr>
              <w:spacing w:after="0"/>
              <w:rPr>
                <w:sz w:val="19"/>
                <w:szCs w:val="19"/>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194</w:t>
            </w:r>
          </w:p>
        </w:tc>
        <w:tc>
          <w:tcPr>
            <w:tcW w:w="2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2,313</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21,729</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25,537</w:t>
            </w:r>
          </w:p>
        </w:tc>
        <w:tc>
          <w:tcPr>
            <w:tcW w:w="38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27,683</w:t>
            </w:r>
          </w:p>
        </w:tc>
        <w:tc>
          <w:tcPr>
            <w:tcW w:w="5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14,347</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26,446</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1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337"/>
        </w:trPr>
        <w:tc>
          <w:tcPr>
            <w:tcW w:w="36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60" w:type="dxa"/>
            <w:vAlign w:val="bottom"/>
            <w:tcBorders>
              <w:top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i w:val="1"/>
                <w:iCs w:val="1"/>
                <w:color w:val="auto"/>
              </w:rPr>
              <w:t>Net Sales by Geographic Area</w:t>
            </w:r>
            <w:r>
              <w:rPr>
                <w:rFonts w:ascii="Times New Roman" w:cs="Times New Roman" w:eastAsia="Times New Roman" w:hAnsi="Times New Roman"/>
                <w:sz w:val="23"/>
                <w:szCs w:val="23"/>
                <w:b w:val="1"/>
                <w:bCs w:val="1"/>
                <w:i w:val="1"/>
                <w:iCs w:val="1"/>
                <w:color w:val="auto"/>
                <w:vertAlign w:val="superscript"/>
              </w:rPr>
              <w:t>3</w:t>
            </w: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49"/>
        </w:trPr>
        <w:tc>
          <w:tcPr>
            <w:tcW w:w="360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632,806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514,743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506,475</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Exports from the United States to:</w:t>
            </w:r>
          </w:p>
        </w:tc>
        <w:tc>
          <w:tcPr>
            <w:tcW w:w="1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1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42,399</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46,724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26,217</w:t>
            </w:r>
          </w:p>
        </w:tc>
        <w:tc>
          <w:tcPr>
            <w:tcW w:w="0" w:type="dxa"/>
            <w:vAlign w:val="bottom"/>
          </w:tcPr>
          <w:p>
            <w:pPr>
              <w:spacing w:after="0"/>
              <w:rPr>
                <w:sz w:val="1"/>
                <w:szCs w:val="1"/>
                <w:color w:val="auto"/>
              </w:rPr>
            </w:pPr>
          </w:p>
        </w:tc>
      </w:tr>
      <w:tr>
        <w:trPr>
          <w:trHeight w:val="229"/>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14,856</w:t>
            </w:r>
          </w:p>
        </w:tc>
        <w:tc>
          <w:tcPr>
            <w:tcW w:w="3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9,541</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Europe</w:t>
            </w:r>
          </w:p>
        </w:tc>
        <w:tc>
          <w:tcPr>
            <w:tcW w:w="1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Latin America</w:t>
            </w:r>
          </w:p>
        </w:tc>
        <w:tc>
          <w:tcPr>
            <w:tcW w:w="1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7,437</w:t>
            </w:r>
          </w:p>
        </w:tc>
        <w:tc>
          <w:tcPr>
            <w:tcW w:w="3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5,068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9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Asia</w:t>
            </w:r>
          </w:p>
        </w:tc>
        <w:tc>
          <w:tcPr>
            <w:tcW w:w="1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1,196</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698,731</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577,014</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551,566</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660" w:type="dxa"/>
            <w:vAlign w:val="bottom"/>
            <w:gridSpan w:val="3"/>
          </w:tcPr>
          <w:p>
            <w:pPr>
              <w:jc w:val="right"/>
              <w:ind w:right="73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Identifiable Assets</w:t>
            </w:r>
          </w:p>
        </w:tc>
        <w:tc>
          <w:tcPr>
            <w:tcW w:w="340" w:type="dxa"/>
            <w:vAlign w:val="bottom"/>
          </w:tcPr>
          <w:p>
            <w:pPr>
              <w:spacing w:after="0"/>
              <w:rPr>
                <w:sz w:val="15"/>
                <w:szCs w:val="15"/>
                <w:color w:val="auto"/>
              </w:rPr>
            </w:pPr>
          </w:p>
        </w:tc>
        <w:tc>
          <w:tcPr>
            <w:tcW w:w="2720" w:type="dxa"/>
            <w:vAlign w:val="bottom"/>
            <w:gridSpan w:val="3"/>
          </w:tcPr>
          <w:p>
            <w:pPr>
              <w:jc w:val="right"/>
              <w:ind w:right="290"/>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Property, Plant &amp; Equipment,</w:t>
            </w: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60" w:type="dxa"/>
            <w:vAlign w:val="bottom"/>
            <w:gridSpan w:val="3"/>
          </w:tcPr>
          <w:p>
            <w:pPr>
              <w:jc w:val="right"/>
              <w:ind w:right="630"/>
              <w:spacing w:after="0" w:line="234" w:lineRule="exact"/>
              <w:rPr>
                <w:sz w:val="20"/>
                <w:szCs w:val="20"/>
                <w:color w:val="auto"/>
              </w:rPr>
            </w:pPr>
            <w:r>
              <w:rPr>
                <w:rFonts w:ascii="Times New Roman" w:cs="Times New Roman" w:eastAsia="Times New Roman" w:hAnsi="Times New Roman"/>
                <w:sz w:val="18"/>
                <w:szCs w:val="18"/>
                <w:b w:val="1"/>
                <w:bCs w:val="1"/>
                <w:i w:val="1"/>
                <w:iCs w:val="1"/>
                <w:color w:val="auto"/>
              </w:rPr>
              <w:t>by Geographic Area</w:t>
            </w:r>
            <w:r>
              <w:rPr>
                <w:rFonts w:ascii="Times New Roman" w:cs="Times New Roman" w:eastAsia="Times New Roman" w:hAnsi="Times New Roman"/>
                <w:sz w:val="23"/>
                <w:szCs w:val="23"/>
                <w:b w:val="1"/>
                <w:bCs w:val="1"/>
                <w:i w:val="1"/>
                <w:iCs w:val="1"/>
                <w:color w:val="auto"/>
                <w:vertAlign w:val="superscript"/>
              </w:rPr>
              <w:t>3</w:t>
            </w:r>
          </w:p>
        </w:tc>
        <w:tc>
          <w:tcPr>
            <w:tcW w:w="340" w:type="dxa"/>
            <w:vAlign w:val="bottom"/>
          </w:tcPr>
          <w:p>
            <w:pPr>
              <w:spacing w:after="0"/>
              <w:rPr>
                <w:sz w:val="20"/>
                <w:szCs w:val="20"/>
                <w:color w:val="auto"/>
              </w:rPr>
            </w:pPr>
          </w:p>
        </w:tc>
        <w:tc>
          <w:tcPr>
            <w:tcW w:w="2720" w:type="dxa"/>
            <w:vAlign w:val="bottom"/>
            <w:gridSpan w:val="3"/>
          </w:tcPr>
          <w:p>
            <w:pPr>
              <w:jc w:val="right"/>
              <w:ind w:right="470"/>
              <w:spacing w:after="0" w:line="234" w:lineRule="exact"/>
              <w:rPr>
                <w:sz w:val="20"/>
                <w:szCs w:val="20"/>
                <w:color w:val="auto"/>
              </w:rPr>
            </w:pPr>
            <w:r>
              <w:rPr>
                <w:rFonts w:ascii="Times New Roman" w:cs="Times New Roman" w:eastAsia="Times New Roman" w:hAnsi="Times New Roman"/>
                <w:sz w:val="18"/>
                <w:szCs w:val="18"/>
                <w:b w:val="1"/>
                <w:bCs w:val="1"/>
                <w:i w:val="1"/>
                <w:iCs w:val="1"/>
                <w:color w:val="auto"/>
              </w:rPr>
              <w:t>Net by Geographic Area</w:t>
            </w:r>
            <w:r>
              <w:rPr>
                <w:rFonts w:ascii="Times New Roman" w:cs="Times New Roman" w:eastAsia="Times New Roman" w:hAnsi="Times New Roman"/>
                <w:sz w:val="23"/>
                <w:szCs w:val="23"/>
                <w:b w:val="1"/>
                <w:bCs w:val="1"/>
                <w:i w:val="1"/>
                <w:iCs w:val="1"/>
                <w:color w:val="auto"/>
                <w:vertAlign w:val="superscript"/>
              </w:rPr>
              <w:t>3</w:t>
            </w:r>
          </w:p>
        </w:tc>
        <w:tc>
          <w:tcPr>
            <w:tcW w:w="0" w:type="dxa"/>
            <w:vAlign w:val="bottom"/>
          </w:tcPr>
          <w:p>
            <w:pPr>
              <w:spacing w:after="0"/>
              <w:rPr>
                <w:sz w:val="1"/>
                <w:szCs w:val="1"/>
                <w:color w:val="auto"/>
              </w:rPr>
            </w:pPr>
          </w:p>
        </w:tc>
      </w:tr>
      <w:tr>
        <w:trPr>
          <w:trHeight w:val="238"/>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316,412</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294,303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126,234</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127,992</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outside the United States:</w:t>
            </w:r>
          </w:p>
        </w:tc>
        <w:tc>
          <w:tcPr>
            <w:tcW w:w="19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China</w:t>
            </w:r>
          </w:p>
        </w:tc>
        <w:tc>
          <w:tcPr>
            <w:tcW w:w="19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6,388</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7,983</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5,555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corporate</w:t>
            </w:r>
          </w:p>
        </w:tc>
        <w:tc>
          <w:tcPr>
            <w:tcW w:w="1920" w:type="dxa"/>
            <w:vAlign w:val="bottom"/>
          </w:tcPr>
          <w:p>
            <w:pPr>
              <w:spacing w:after="0"/>
              <w:rPr>
                <w:sz w:val="19"/>
                <w:szCs w:val="19"/>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41,843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46,883</w:t>
            </w:r>
          </w:p>
        </w:tc>
        <w:tc>
          <w:tcPr>
            <w:tcW w:w="34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1,186</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29"/>
        </w:trPr>
        <w:tc>
          <w:tcPr>
            <w:tcW w:w="3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2</w:t>
            </w:r>
          </w:p>
        </w:tc>
        <w:tc>
          <w:tcPr>
            <w:tcW w:w="19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6,729</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9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371,372</w:t>
            </w:r>
          </w:p>
        </w:tc>
        <w:tc>
          <w:tcPr>
            <w:tcW w:w="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356,357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132,975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137,032</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 to Notes to Financial Tables that follow these tables.</w:t>
      </w:r>
    </w:p>
    <w:p>
      <w:pPr>
        <w:spacing w:after="0" w:line="119" w:lineRule="exact"/>
        <w:rPr>
          <w:sz w:val="20"/>
          <w:szCs w:val="20"/>
          <w:color w:val="auto"/>
        </w:rPr>
      </w:pPr>
    </w:p>
    <w:p>
      <w:pPr>
        <w:ind w:right="60" w:firstLine="405"/>
        <w:spacing w:after="0" w:line="290" w:lineRule="auto"/>
        <w:rPr>
          <w:sz w:val="20"/>
          <w:szCs w:val="20"/>
          <w:color w:val="auto"/>
        </w:rPr>
      </w:pPr>
      <w:r>
        <w:rPr>
          <w:rFonts w:ascii="Times New Roman" w:cs="Times New Roman" w:eastAsia="Times New Roman" w:hAnsi="Times New Roman"/>
          <w:sz w:val="17"/>
          <w:szCs w:val="17"/>
          <w:color w:val="auto"/>
        </w:rPr>
        <w:t>The Company’s facilities in Pottsville, PA (“PV”) and Guangzhou, China (“GZ”) have a tolling arrangement whereby certain surface protection films are manufactured in GZ for a fee with raw materials supplied from PV that are then shipped by GZ directly to customers principally in the Asian market</w:t>
      </w:r>
    </w:p>
    <w:p>
      <w:pPr>
        <w:ind w:right="200"/>
        <w:spacing w:after="0" w:line="282" w:lineRule="auto"/>
        <w:rPr>
          <w:sz w:val="20"/>
          <w:szCs w:val="20"/>
          <w:color w:val="auto"/>
        </w:rPr>
      </w:pPr>
      <w:r>
        <w:rPr>
          <w:rFonts w:ascii="Times New Roman" w:cs="Times New Roman" w:eastAsia="Times New Roman" w:hAnsi="Times New Roman"/>
          <w:sz w:val="18"/>
          <w:szCs w:val="18"/>
          <w:color w:val="auto"/>
        </w:rPr>
        <w:t>but paid by customers directly to PV. Amounts associated with this intercompany tolling arrangement are reported in the table above as export sales from the U.S. to Asia, and include net sales of $26.1 million in 2025, $26.9 million in 2024 and $15.9 million in 2023.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65"/>
        </w:trPr>
        <w:tc>
          <w:tcPr>
            <w:tcW w:w="38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1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Net Sales by Product Group</w:t>
            </w: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4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1"/>
        </w:trPr>
        <w:tc>
          <w:tcPr>
            <w:tcW w:w="3880" w:type="dxa"/>
            <w:vAlign w:val="bottom"/>
            <w:tcBorders>
              <w:bottom w:val="single" w:sz="8" w:color="auto"/>
            </w:tcBorders>
            <w:vMerge w:val="continue"/>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Aluminum Extrusions: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Nonresidential building &amp; construction</w:t>
            </w:r>
          </w:p>
        </w:tc>
        <w:tc>
          <w:tcPr>
            <w:tcW w:w="3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317,064</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265,496</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273,648</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Consumer durables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48,774</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31,911</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37,257</w:t>
            </w:r>
          </w:p>
        </w:tc>
        <w:tc>
          <w:tcPr>
            <w:tcW w:w="0" w:type="dxa"/>
            <w:vAlign w:val="bottom"/>
          </w:tcPr>
          <w:p>
            <w:pPr>
              <w:spacing w:after="0"/>
              <w:rPr>
                <w:sz w:val="1"/>
                <w:szCs w:val="1"/>
                <w:color w:val="auto"/>
              </w:rPr>
            </w:pPr>
          </w:p>
        </w:tc>
      </w:tr>
      <w:tr>
        <w:trPr>
          <w:trHeight w:val="229"/>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Automotive</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44,581</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39,283</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Machinery &amp; equipment</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71,928</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51,149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0" w:type="dxa"/>
            <w:vAlign w:val="bottom"/>
          </w:tcPr>
          <w:p>
            <w:pPr>
              <w:spacing w:after="0"/>
              <w:rPr>
                <w:sz w:val="1"/>
                <w:szCs w:val="1"/>
                <w:color w:val="auto"/>
              </w:rPr>
            </w:pPr>
          </w:p>
        </w:tc>
      </w:tr>
      <w:tr>
        <w:trPr>
          <w:trHeight w:val="230"/>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w:t>
            </w:r>
          </w:p>
        </w:tc>
        <w:tc>
          <w:tcPr>
            <w:tcW w:w="3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19,248</w:t>
            </w:r>
          </w:p>
        </w:tc>
        <w:tc>
          <w:tcPr>
            <w:tcW w:w="42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11,750</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 building &amp; construction</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41,374</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36,303</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36,774</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Electrical</w:t>
            </w: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56,006</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35,923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25,483</w:t>
            </w:r>
          </w:p>
        </w:tc>
        <w:tc>
          <w:tcPr>
            <w:tcW w:w="0" w:type="dxa"/>
            <w:vAlign w:val="bottom"/>
          </w:tcPr>
          <w:p>
            <w:pPr>
              <w:spacing w:after="0"/>
              <w:rPr>
                <w:sz w:val="1"/>
                <w:szCs w:val="1"/>
                <w:color w:val="auto"/>
              </w:rPr>
            </w:pPr>
          </w:p>
        </w:tc>
      </w:tr>
      <w:tr>
        <w:trPr>
          <w:trHeight w:val="223"/>
        </w:trPr>
        <w:tc>
          <w:tcPr>
            <w:tcW w:w="3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598,975</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471,815</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474,803</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 Performance Films:</w:t>
            </w:r>
          </w:p>
        </w:tc>
        <w:tc>
          <w:tcPr>
            <w:tcW w:w="3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Surface protection films</w:t>
            </w:r>
          </w:p>
        </w:tc>
        <w:tc>
          <w:tcPr>
            <w:tcW w:w="3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71,852</w:t>
            </w: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75,909</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47,463</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Advanced packaging</w:t>
            </w:r>
          </w:p>
        </w:tc>
        <w:tc>
          <w:tcPr>
            <w:tcW w:w="3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27,904</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29,290</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Subtotal</w:t>
            </w:r>
          </w:p>
        </w:tc>
        <w:tc>
          <w:tcPr>
            <w:tcW w:w="3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99,756</w:t>
            </w:r>
          </w:p>
        </w:tc>
        <w:tc>
          <w:tcPr>
            <w:tcW w:w="4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105,199</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76,763</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698,731</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577,014</w:t>
            </w: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551,566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20" w:hanging="331"/>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1 for more information on losses associated with plant shutdowns, asset impairments and restructurings and other items.</w:t>
      </w:r>
    </w:p>
    <w:p>
      <w:pPr>
        <w:spacing w:after="0" w:line="27" w:lineRule="exact"/>
        <w:rPr>
          <w:rFonts w:ascii="Times New Roman" w:cs="Times New Roman" w:eastAsia="Times New Roman" w:hAnsi="Times New Roman"/>
          <w:sz w:val="14"/>
          <w:szCs w:val="14"/>
          <w:color w:val="auto"/>
        </w:rPr>
      </w:pPr>
    </w:p>
    <w:p>
      <w:pPr>
        <w:ind w:left="420" w:hanging="331"/>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and cash equivalents includes funds held in locations outside the U.S. of $1.9 million and $1.6 million at December 31, 2025 and 2024, respectively.</w:t>
      </w:r>
    </w:p>
    <w:p>
      <w:pPr>
        <w:spacing w:after="0" w:line="14" w:lineRule="exact"/>
        <w:rPr>
          <w:rFonts w:ascii="Times New Roman" w:cs="Times New Roman" w:eastAsia="Times New Roman" w:hAnsi="Times New Roman"/>
          <w:sz w:val="14"/>
          <w:szCs w:val="14"/>
          <w:color w:val="auto"/>
        </w:rPr>
      </w:pPr>
    </w:p>
    <w:p>
      <w:pPr>
        <w:ind w:left="420" w:hanging="331"/>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Export sales relate primarily to High Performance Films.</w:t>
      </w:r>
    </w:p>
    <w:p>
      <w:pPr>
        <w:spacing w:after="0" w:line="14" w:lineRule="exact"/>
        <w:rPr>
          <w:rFonts w:ascii="Times New Roman" w:cs="Times New Roman" w:eastAsia="Times New Roman" w:hAnsi="Times New Roman"/>
          <w:sz w:val="14"/>
          <w:szCs w:val="14"/>
          <w:color w:val="auto"/>
        </w:rPr>
      </w:pPr>
    </w:p>
    <w:p>
      <w:pPr>
        <w:ind w:left="420" w:hanging="331"/>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depreciation and amortization are included in corporate expenses, net, on the Segment Revenue, Segment Profit (Loss), and Significant Expenses tables above.</w:t>
      </w:r>
    </w:p>
    <w:p>
      <w:pPr>
        <w:spacing w:after="0" w:line="14" w:lineRule="exact"/>
        <w:rPr>
          <w:rFonts w:ascii="Times New Roman" w:cs="Times New Roman" w:eastAsia="Times New Roman" w:hAnsi="Times New Roman"/>
          <w:sz w:val="14"/>
          <w:szCs w:val="14"/>
          <w:color w:val="auto"/>
        </w:rPr>
      </w:pPr>
    </w:p>
    <w:p>
      <w:pPr>
        <w:ind w:left="420" w:hanging="331"/>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related depreciation and amortization.</w:t>
      </w:r>
    </w:p>
    <w:p>
      <w:pPr>
        <w:spacing w:after="0" w:line="4" w:lineRule="exact"/>
        <w:rPr>
          <w:rFonts w:ascii="Times New Roman" w:cs="Times New Roman" w:eastAsia="Times New Roman" w:hAnsi="Times New Roman"/>
          <w:sz w:val="14"/>
          <w:szCs w:val="14"/>
          <w:color w:val="auto"/>
        </w:rPr>
      </w:pPr>
    </w:p>
    <w:p>
      <w:pPr>
        <w:ind w:left="420" w:hanging="331"/>
        <w:spacing w:after="0"/>
        <w:tabs>
          <w:tab w:leader="none" w:pos="4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include segment allocated employee compensation benefits expense.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SAVINGS PLAN</w:t>
      </w:r>
    </w:p>
    <w:p>
      <w:pPr>
        <w:spacing w:after="0" w:line="94" w:lineRule="exact"/>
        <w:rPr>
          <w:sz w:val="20"/>
          <w:szCs w:val="20"/>
          <w:color w:val="auto"/>
        </w:rPr>
      </w:pPr>
    </w:p>
    <w:p>
      <w:pPr>
        <w:ind w:right="500" w:firstLine="405"/>
        <w:spacing w:after="0" w:line="266" w:lineRule="auto"/>
        <w:rPr>
          <w:sz w:val="20"/>
          <w:szCs w:val="20"/>
          <w:color w:val="auto"/>
        </w:rPr>
      </w:pPr>
      <w:r>
        <w:rPr>
          <w:rFonts w:ascii="Times New Roman" w:cs="Times New Roman" w:eastAsia="Times New Roman" w:hAnsi="Times New Roman"/>
          <w:sz w:val="18"/>
          <w:szCs w:val="18"/>
          <w:color w:val="auto"/>
        </w:rPr>
        <w:t>Tredegar has a savings plan that allows eligible employees to voluntarily contribute a percentage of their compensation, up to IRS limitations. Charges recognized for the savings plan were $4.3 million in 2025, $3.7 million in 2024 and $3.8 million in 2023. The provisions of the savings plan provided the following benefits for salaried and certain hourly employees:</w:t>
      </w:r>
    </w:p>
    <w:p>
      <w:pPr>
        <w:spacing w:after="0" w:line="54" w:lineRule="exact"/>
        <w:rPr>
          <w:sz w:val="20"/>
          <w:szCs w:val="20"/>
          <w:color w:val="auto"/>
        </w:rPr>
      </w:pPr>
    </w:p>
    <w:p>
      <w:pPr>
        <w:ind w:left="740" w:right="1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matching contributions to the savings plan of $1 for every $1 an employee contributes per pay period up to a maximum of 5% of eligible compensation.</w:t>
      </w:r>
    </w:p>
    <w:p>
      <w:pPr>
        <w:spacing w:after="0" w:line="40" w:lineRule="exact"/>
        <w:rPr>
          <w:rFonts w:ascii="Times New Roman" w:cs="Times New Roman" w:eastAsia="Times New Roman" w:hAnsi="Times New Roman"/>
          <w:sz w:val="18"/>
          <w:szCs w:val="18"/>
          <w:color w:val="auto"/>
        </w:rPr>
      </w:pPr>
    </w:p>
    <w:p>
      <w:pPr>
        <w:ind w:left="740" w:right="440" w:hanging="327"/>
        <w:spacing w:after="0" w:line="282" w:lineRule="auto"/>
        <w:tabs>
          <w:tab w:leader="none" w:pos="7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savings plan includes immediate vesting of matching contributions and automatic enrollment at 3% of eligible compensation unless the employee opts out or elects a different percentage.</w:t>
      </w:r>
    </w:p>
    <w:p>
      <w:pPr>
        <w:spacing w:after="0" w:line="2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Company also has a non-qualified plan that restores matching benefits for employees suspended from the savings plan due to certain limitations imposed by income tax regulations (“restoration plan”). The Company’s liability under the restoration plan was $0.7 million at December 31, 2025 (consisting of 100,510 phantom shares of common stock) and $0.7 million at December 31, 2024 (consisting of 88,148 phantom shares of common stock) and valued at the closing market price on those dates. Charges recognized for the restoration plan were immaterial for the years 2025, 2024 and 2023.</w:t>
      </w:r>
    </w:p>
    <w:p>
      <w:pPr>
        <w:spacing w:after="0" w:line="5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Tredegar Corporation Benefits Plan Trust (the “Trust”) purchased 7,200 shares of the Company’s common stock in 1998 for $0.2 million and 46,671 shares of its common stock in 1997 for $1.0 million. There have been no shares purchased since 1998 except for re-invested dividends. The cost of the shares held by the Trust is shown as a reduction to shareholders’ equity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CONTINGENCIES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Tredegar is involved in various stages of investigation and remediation relating to environmental matters at certain current and former plant locations. Where the Company has determined the nature and scope of any required environmental remediation activity, estimates of cleanup costs have been obtained and accrued. As efforts to maintain compliance with applicable environmental laws and regulations continue, additional contingencies may be identified. If additional contingencies are identified in the future, the Company’s practice is to determine at that time the nature and scope of those contingencies, obtain and accrue estimates of the cost of remediation, and perform remediation. While the Company believes it is currently adequately accrued for known environmental issues, it is possible that unexpected future costs for known or unknown environmental issues could have a material adverse effect on its financial condition, results of operations and cash flows at that time.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64" w:name="page65"/>
    <w:bookmarkEnd w:id="64"/>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other legal actions arising in the normal course of business. After taking into consideration the relevant information, the Company believes that it has sufficiently accrued for probable losses and that the actions will not have a material adverse effect on its financial position.</w:t>
      </w:r>
    </w:p>
    <w:p>
      <w:pPr>
        <w:spacing w:after="0" w:line="4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From time to time, the Company enters into transactions with third parties in connection with the sale of assets or businesses in which it agrees to indemnify the buyers or third parties involved in the transaction, or in which the sellers or third parties involved in the transaction agree to indemnify Tredegar, for certain liabilities or risks related to the assets or business. Also, in the ordinary course of its business, the Company may enter into agreements with third parties for the sale of goods or services that may contain indemnification provisions. In the event that an indemnification claim is asserted, liability for indemnification would be subject to an assessment of the underlying facts and circumstances under the terms of the applicable agreement. For these reasons, Tredegar is unable to estimate the maximum amount of the potential future liability under the indemnity provisions of these agreements. The Company does, however, accrue for losses for any known contingent liability, including those that may arise from indemnification provisions, when future payment is probable and the amount is reasonably estimable. The Company discloses contingent liabilities if the probability of loss is reasonably possible and considered to be material.</w:t>
      </w:r>
    </w:p>
    <w:p>
      <w:pPr>
        <w:spacing w:after="0" w:line="67"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agreement pursuant to which the Company sold its former flexible packaging business headquartered in Brazil to Oben, the Company agreed to indemnify Oben for certain liabilities related to Terphane. On January 16, 2026, Oben informed the Company that Terphane received a tax infraction notice from the State Treasury of Pernambuco (“State Treasury”) providing an assessment for the collection of ICMS state value-added tax as well as interest and penalties alleging Terphane made use of certain tax credits without complying with the requirements for the use of such tax credits, for the 2021 and 2022 tax years.</w:t>
      </w:r>
    </w:p>
    <w:p>
      <w:pPr>
        <w:spacing w:after="0" w:line="62"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Company assumed the defense of the matter and filed a response with the State Treasury contesting the assessment. The proceedings are in the early stages of the administrative review process. Any adverse outcomes at the administrative level will be eligible for appeal through judicial processes. The Company has not recorded any liability relating to this notice and cannot reasonably estimate any reasonably possible loss at this time.</w:t>
      </w:r>
    </w:p>
    <w:p>
      <w:pPr>
        <w:spacing w:after="0" w:line="37" w:lineRule="exact"/>
        <w:rPr>
          <w:sz w:val="20"/>
          <w:szCs w:val="20"/>
          <w:color w:val="auto"/>
        </w:rPr>
      </w:pPr>
    </w:p>
    <w:p>
      <w:pPr>
        <w:jc w:val="center"/>
        <w:ind w:right="9380" w:firstLine="8"/>
        <w:spacing w:after="0" w:line="383" w:lineRule="auto"/>
        <w:tabs>
          <w:tab w:leader="none" w:pos="27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DIVESTITURES </w:t>
      </w:r>
      <w:r>
        <w:rPr>
          <w:rFonts w:ascii="Times New Roman" w:cs="Times New Roman" w:eastAsia="Times New Roman" w:hAnsi="Times New Roman"/>
          <w:sz w:val="17"/>
          <w:szCs w:val="17"/>
          <w:i w:val="1"/>
          <w:iCs w:val="1"/>
          <w:color w:val="auto"/>
        </w:rPr>
        <w:t>Flexible Packaging Films</w:t>
      </w:r>
    </w:p>
    <w:p>
      <w:pPr>
        <w:spacing w:after="0" w:line="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On September 1, 2023, the Company entered into an agreement to sell Terphane, headquartered in Brazil, to Oben for net cash-free and debt-free base consideration of $116 million.</w:t>
      </w:r>
    </w:p>
    <w:p>
      <w:pPr>
        <w:spacing w:after="0" w:line="27"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November 1, 2024, Tredegar completed the sale of Terphane to Oben. At closing, Tredegar received $60 million in cash, which is net of Terphane debt assumed by Oben of $20 million and estimated Terphane cash retained by Oben of $2 million. The cash proceeds received by Tredegar at closing are after deducting net working capital adjustments and closing indebtedness ($20.5 million), escrow funds ($19.8 million), projected Brazil withholding taxes ($10.8 million), and transaction expenses ($4.4 million). In February 2025, the Company received $9.8 million from post-closing settlement of the transaction. The proceeds from the sale of Terphane were required to be used to pay down debt outstanding under the ABL Facility.</w:t>
      </w:r>
    </w:p>
    <w:p>
      <w:pPr>
        <w:spacing w:after="0" w:line="62"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Upon completion of the sale, the Company recognized a pre-tax loss of $74.9 million for the year ended December 31, 2024, which includes the realization of other comprehensive losses on foreign currency translation adjustments, net of gains on derivative financial instruments of $102.3 million previously reflected in accumulated other comprehensive income (loss).</w:t>
      </w:r>
    </w:p>
    <w:p>
      <w:pPr>
        <w:spacing w:after="0" w:line="54"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financial results of discontinued operations reflected in the Consolidated Statements of Income (Loss) for the years ended December 31, 2025, 2024 and 2023:</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tbl>
      <w:tblPr>
        <w:tblLayout w:type="fixed"/>
        <w:tblInd w:w="40" w:type="dxa"/>
        <w:tblCellMar>
          <w:top w:w="0" w:type="dxa"/>
          <w:left w:w="0" w:type="dxa"/>
          <w:bottom w:w="0" w:type="dxa"/>
          <w:right w:w="0" w:type="dxa"/>
        </w:tblCellMar>
      </w:tblPr>
      <w:tr>
        <w:trPr>
          <w:trHeight w:val="248"/>
        </w:trPr>
        <w:tc>
          <w:tcPr>
            <w:tcW w:w="59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356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Years Ended December 31,</w:t>
            </w: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and other items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118,382</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131,502</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118,390</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131,504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4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97,919</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Freight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5,598</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5,177</w:t>
            </w: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387</w:t>
            </w:r>
          </w:p>
        </w:tc>
        <w:tc>
          <w:tcPr>
            <w:tcW w:w="4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7,608</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(a)</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7,532</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Asset impairments and costs associated with exit and disposal activities, net of</w:t>
            </w:r>
          </w:p>
        </w:tc>
        <w:tc>
          <w:tcPr>
            <w:tcW w:w="400" w:type="dxa"/>
            <w:vAlign w:val="bottom"/>
          </w:tcPr>
          <w:p>
            <w:pPr>
              <w:spacing w:after="0"/>
              <w:rPr>
                <w:sz w:val="15"/>
                <w:szCs w:val="15"/>
                <w:color w:val="auto"/>
              </w:rPr>
            </w:pPr>
          </w:p>
        </w:tc>
        <w:tc>
          <w:tcPr>
            <w:tcW w:w="13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w:t>
            </w:r>
          </w:p>
        </w:tc>
        <w:tc>
          <w:tcPr>
            <w:tcW w:w="4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sale of business</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(9,657)</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74,877</w:t>
            </w: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(9,270)</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194,267</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141,069</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before income tax</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9,270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(75,877)</w:t>
            </w: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(10,267)</w:t>
            </w: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4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9,391</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(65,610)</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0" w:type="dxa"/>
            <w:vAlign w:val="bottom"/>
          </w:tcPr>
          <w:p>
            <w:pPr>
              <w:spacing w:after="0"/>
              <w:rPr>
                <w:sz w:val="1"/>
                <w:szCs w:val="1"/>
                <w:color w:val="auto"/>
              </w:rPr>
            </w:pPr>
          </w:p>
        </w:tc>
      </w:tr>
    </w:tbl>
    <w:p>
      <w:pPr>
        <w:ind w:left="60" w:right="420" w:hanging="7"/>
        <w:spacing w:after="0" w:line="234" w:lineRule="auto"/>
        <w:tabs>
          <w:tab w:leader="none" w:pos="3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2024 and 2023, interest expense includes $1.9 million and $0.4 million, respectively, directly related to the $20 million of outstanding Terphane debt assumed by Oben.</w:t>
      </w:r>
    </w:p>
    <w:p>
      <w:pPr>
        <w:spacing w:after="0" w:line="172"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Interest expense allocated to discontinued operations was determined by applying the ABL Facility weighted-average interest rate to the Terphane sale proceeds, as the sale proceeds were required to be used to pay down debt outstanding under the ABL Facility.</w:t>
      </w:r>
    </w:p>
    <w:p>
      <w:pPr>
        <w:spacing w:after="0" w:line="40"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At December 31, 2024, assets and liabilities of the discontinued operations totaled $0.1 million and $0.7 million, respectively. At December 31, 2025, the Company had no remaining assets or liabilities associated with the discontinued operations.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significant operating, investing and financing cash flow information for discontinued operations:</w:t>
      </w:r>
    </w:p>
    <w:p>
      <w:pPr>
        <w:spacing w:after="0" w:line="129" w:lineRule="exact"/>
        <w:rPr>
          <w:sz w:val="20"/>
          <w:szCs w:val="20"/>
          <w:color w:val="auto"/>
        </w:rPr>
      </w:pPr>
    </w:p>
    <w:tbl>
      <w:tblPr>
        <w:tblLayout w:type="fixed"/>
        <w:tblInd w:w="80" w:type="dxa"/>
        <w:tblCellMar>
          <w:top w:w="0" w:type="dxa"/>
          <w:left w:w="0" w:type="dxa"/>
          <w:bottom w:w="0" w:type="dxa"/>
          <w:right w:w="0" w:type="dxa"/>
        </w:tblCellMar>
      </w:tblPr>
      <w:tr>
        <w:trPr>
          <w:trHeight w:val="252"/>
        </w:trPr>
        <w:tc>
          <w:tcPr>
            <w:tcW w:w="46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36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2,313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the sale of divested business</w:t>
            </w:r>
          </w:p>
        </w:tc>
        <w:tc>
          <w:tcPr>
            <w:tcW w:w="16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(9,657)</w:t>
            </w:r>
          </w:p>
        </w:tc>
        <w:tc>
          <w:tcPr>
            <w:tcW w:w="5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74,877</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(9,657)</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77,190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proceeds on sale of divested business</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9,835</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54,631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16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(2,489)</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23"/>
        </w:trPr>
        <w:tc>
          <w:tcPr>
            <w:tcW w:w="4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9,835</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52,142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Borrowings</w:t>
            </w: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u w:val="single" w:color="auto"/>
          <w:color w:val="auto"/>
        </w:rPr>
        <w:t>FORM 10-K SUMMARY</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80" w:type="dxa"/>
            <w:vAlign w:val="bottom"/>
            <w:gridSpan w:val="36"/>
          </w:tcPr>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53"/>
        </w:trPr>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114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018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Purchase and Sale Agreement, dated as of September 1, 2023, by and among Packfilm US LLC, Film Trading Importacao e Representacao</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32"/>
            <w:shd w:val="clear" w:color="auto" w:fill="CCEEFF"/>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Ltda., Terphane LLC, Terphane Limitada, Tredegar Film Products (Latin America), Inc., Terphane Acquisition Corporation II, TAC</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69"/>
        </w:trPr>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9480" w:type="dxa"/>
            <w:vAlign w:val="bottom"/>
            <w:tcBorders>
              <w:top w:val="single" w:sz="8" w:color="0000FF"/>
              <w:bottom w:val="single" w:sz="8" w:color="0000FF"/>
            </w:tcBorders>
            <w:gridSpan w:val="15"/>
            <w:shd w:val="clear" w:color="auto" w:fill="CCEEFF"/>
          </w:tcPr>
          <w:p>
            <w:pPr>
              <w:spacing w:after="0" w:line="169" w:lineRule="exact"/>
              <w:rPr>
                <w:rFonts w:ascii="Times New Roman" w:cs="Times New Roman" w:eastAsia="Times New Roman" w:hAnsi="Times New Roman"/>
                <w:sz w:val="18"/>
                <w:szCs w:val="18"/>
                <w:color w:val="0000FF"/>
                <w:w w:val="97"/>
              </w:rPr>
            </w:pPr>
            <w:hyperlink r:id="rId102">
              <w:r>
                <w:rPr>
                  <w:rFonts w:ascii="Times New Roman" w:cs="Times New Roman" w:eastAsia="Times New Roman" w:hAnsi="Times New Roman"/>
                  <w:sz w:val="18"/>
                  <w:szCs w:val="18"/>
                  <w:color w:val="0000FF"/>
                  <w:w w:val="97"/>
                </w:rPr>
                <w:t>Holdings, LLC, Tredegar Investments LLC, Tredegar Corporation and Oben Holding Group S.A.C. (filed as Exhibit 2.1 of Tredegar’s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80" w:type="dxa"/>
            <w:vAlign w:val="bottom"/>
            <w:tcBorders>
              <w:top w:val="single" w:sz="8" w:color="CCEEFF"/>
              <w:bottom w:val="single" w:sz="8" w:color="0000FF"/>
            </w:tcBorders>
            <w:shd w:val="clear" w:color="auto" w:fill="CCEEFF"/>
          </w:tcPr>
          <w:p>
            <w:pPr>
              <w:spacing w:after="0"/>
              <w:rPr>
                <w:sz w:val="14"/>
                <w:szCs w:val="14"/>
                <w:color w:val="auto"/>
              </w:rPr>
            </w:pPr>
          </w:p>
        </w:tc>
        <w:tc>
          <w:tcPr>
            <w:tcW w:w="6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6"/>
        </w:trPr>
        <w:tc>
          <w:tcPr>
            <w:tcW w:w="1140" w:type="dxa"/>
            <w:vAlign w:val="bottom"/>
            <w:shd w:val="clear" w:color="auto" w:fill="CCEEFF"/>
          </w:tcPr>
          <w:p>
            <w:pPr>
              <w:spacing w:after="0"/>
              <w:rPr>
                <w:sz w:val="13"/>
                <w:szCs w:val="13"/>
                <w:color w:val="auto"/>
              </w:rPr>
            </w:pPr>
          </w:p>
        </w:tc>
        <w:tc>
          <w:tcPr>
            <w:tcW w:w="9660" w:type="dxa"/>
            <w:vAlign w:val="bottom"/>
            <w:gridSpan w:val="19"/>
            <w:shd w:val="clear" w:color="auto" w:fill="CCEEFF"/>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Current Report on Form 8-K (File No. 1-10258), filed on September 5, 2023, and incorporated herein by reference)</w:t>
              </w:r>
            </w:hyperlink>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9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2.2</w:t>
            </w:r>
          </w:p>
        </w:tc>
        <w:tc>
          <w:tcPr>
            <w:tcW w:w="10180" w:type="dxa"/>
            <w:vAlign w:val="bottom"/>
            <w:gridSpan w:val="39"/>
          </w:tcPr>
          <w:p>
            <w:pPr>
              <w:spacing w:after="0" w:line="18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First Amendment to Purchase and Sale Agreement, dated October 31, 2024, by and among Oben US, LLC (f/k/a Packfilm US, LLC), Film</w:t>
              </w:r>
            </w:hyperlink>
          </w:p>
        </w:tc>
      </w:tr>
      <w:tr>
        <w:trPr>
          <w:trHeight w:val="156"/>
        </w:trPr>
        <w:tc>
          <w:tcPr>
            <w:tcW w:w="1140" w:type="dxa"/>
            <w:vAlign w:val="bottom"/>
          </w:tcPr>
          <w:p>
            <w:pPr>
              <w:spacing w:after="0"/>
              <w:rPr>
                <w:sz w:val="13"/>
                <w:szCs w:val="13"/>
                <w:color w:val="auto"/>
              </w:rPr>
            </w:pPr>
          </w:p>
        </w:tc>
        <w:tc>
          <w:tcPr>
            <w:tcW w:w="100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Trading Importaçãcao e Representaçãcao Ltda., Terphane LLC, Terphane Limitada, Tredegar Film Products (Latin America), Inc.,</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140" w:type="dxa"/>
            <w:vAlign w:val="bottom"/>
          </w:tcPr>
          <w:p>
            <w:pPr>
              <w:spacing w:after="0"/>
              <w:rPr>
                <w:sz w:val="14"/>
                <w:szCs w:val="14"/>
                <w:color w:val="auto"/>
              </w:rPr>
            </w:pPr>
          </w:p>
        </w:tc>
        <w:tc>
          <w:tcPr>
            <w:tcW w:w="10180" w:type="dxa"/>
            <w:vAlign w:val="bottom"/>
            <w:gridSpan w:val="39"/>
          </w:tcPr>
          <w:p>
            <w:pPr>
              <w:spacing w:after="0" w:line="169"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Terphane Acquisition Corp. II, TAC Holdings, LLC, Tredegar Investments LLC, Oben Holding Group S.A.C. and Tredegar Corporation</w:t>
              </w:r>
            </w:hyperlink>
          </w:p>
        </w:tc>
      </w:tr>
      <w:tr>
        <w:trPr>
          <w:trHeight w:val="156"/>
        </w:trPr>
        <w:tc>
          <w:tcPr>
            <w:tcW w:w="1140" w:type="dxa"/>
            <w:vAlign w:val="bottom"/>
          </w:tcPr>
          <w:p>
            <w:pPr>
              <w:spacing w:after="0"/>
              <w:rPr>
                <w:sz w:val="13"/>
                <w:szCs w:val="13"/>
                <w:color w:val="auto"/>
              </w:rPr>
            </w:pPr>
          </w:p>
        </w:tc>
        <w:tc>
          <w:tcPr>
            <w:tcW w:w="98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(filed as Exhibit 2.2 of Tredegar’s Current Report on Form 8-K (File No. 1-10258), filed on November 6, 2024, and incorporated herein</w:t>
              </w:r>
            </w:hyperlink>
          </w:p>
        </w:tc>
        <w:tc>
          <w:tcPr>
            <w:tcW w:w="360" w:type="dxa"/>
            <w:vAlign w:val="bottom"/>
            <w:gridSpan w:val="17"/>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by</w:t>
              </w:r>
            </w:hyperlink>
          </w:p>
        </w:tc>
      </w:tr>
      <w:tr>
        <w:trPr>
          <w:trHeight w:val="156"/>
        </w:trPr>
        <w:tc>
          <w:tcPr>
            <w:tcW w:w="1140" w:type="dxa"/>
            <w:vAlign w:val="bottom"/>
          </w:tcPr>
          <w:p>
            <w:pPr>
              <w:spacing w:after="0"/>
              <w:rPr>
                <w:sz w:val="13"/>
                <w:szCs w:val="13"/>
                <w:color w:val="auto"/>
              </w:rPr>
            </w:pPr>
          </w:p>
        </w:tc>
        <w:tc>
          <w:tcPr>
            <w:tcW w:w="1006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3.1</w:t>
            </w:r>
          </w:p>
        </w:tc>
        <w:tc>
          <w:tcPr>
            <w:tcW w:w="1018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Amended and Restated Articles of Incorporation of Tredegar (filed as Exhibit 3.1 to Tredegar’s Annual Report on Form 10-K (File No. 1-</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29"/>
            <w:shd w:val="clear" w:color="auto" w:fill="CCEEFF"/>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10258) for the year ended December 31, 2004,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39"/>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Articles of Amendment to Amended and Restated Articles of Incorporation of Tredegar (filed as Exhibit 3.3 to Tredegar’s Annual Report</w:t>
              </w:r>
            </w:hyperlink>
          </w:p>
        </w:tc>
      </w:tr>
      <w:tr>
        <w:trPr>
          <w:trHeight w:val="156"/>
        </w:trPr>
        <w:tc>
          <w:tcPr>
            <w:tcW w:w="114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on Form 10-K (File No. 1-10258) for the year ended December 31, 2004,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Articles of Amendment to Amended and Restated Articles of Incorporation of Tredegar, as of May 24, 2013 (filed as Exhibit 3.1 to</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944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Tredegar’s Current Report on Form 8-K (File No. 1-10258), filed on May 29, 2013 and incorporated herein by reference)</w:t>
              </w:r>
            </w:hyperlink>
          </w:p>
        </w:tc>
        <w:tc>
          <w:tcPr>
            <w:tcW w:w="6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6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3.1.3</w:t>
            </w:r>
          </w:p>
        </w:tc>
        <w:tc>
          <w:tcPr>
            <w:tcW w:w="10180" w:type="dxa"/>
            <w:vAlign w:val="bottom"/>
            <w:gridSpan w:val="39"/>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Articles of Amendment to Amended and Restated Articles of Incorporation of Tredegar, as of May 4, 2016 (filed as Exhibit 3.1 to</w:t>
              </w:r>
            </w:hyperlink>
          </w:p>
        </w:tc>
      </w:tr>
      <w:tr>
        <w:trPr>
          <w:trHeight w:val="155"/>
        </w:trPr>
        <w:tc>
          <w:tcPr>
            <w:tcW w:w="1140" w:type="dxa"/>
            <w:vAlign w:val="bottom"/>
          </w:tcPr>
          <w:p>
            <w:pPr>
              <w:spacing w:after="0"/>
              <w:rPr>
                <w:sz w:val="13"/>
                <w:szCs w:val="13"/>
                <w:color w:val="auto"/>
              </w:rPr>
            </w:pPr>
          </w:p>
        </w:tc>
        <w:tc>
          <w:tcPr>
            <w:tcW w:w="93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Tredegar’s Current Report on Form 8-K (File No. 1-10258), filed on May 6, 2016, and incorporated herein by reference)</w:t>
              </w:r>
            </w:hyperlink>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18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Amended and Restated Bylaws of Tredegar Corporation, as of August 4, 2023 (filed as Exhibit 3.1 of Tredegar’s Current Report on Form</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7"/>
            <w:shd w:val="clear" w:color="auto" w:fill="CCEEFF"/>
          </w:tcPr>
          <w:p>
            <w:pPr>
              <w:spacing w:after="0" w:line="15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8-K (File No. 1-10258), filed on August 7, 2023, and incorporated 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19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180" w:type="dxa"/>
            <w:vAlign w:val="bottom"/>
            <w:gridSpan w:val="39"/>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Description of Registered Securities (filed as Exhibit 4.1 to Tredegar’s Annual Report on Form 10-K (File No 1-10258) for the year ended</w:t>
              </w:r>
            </w:hyperlink>
          </w:p>
        </w:tc>
      </w:tr>
      <w:tr>
        <w:trPr>
          <w:trHeight w:val="155"/>
        </w:trPr>
        <w:tc>
          <w:tcPr>
            <w:tcW w:w="114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December 31, 2019, and incorporated herein by reference)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tcBorders>
              <w:bottom w:val="single" w:sz="8" w:color="CCEEFF"/>
            </w:tcBorders>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FF"/>
            </w:tcBorders>
            <w:gridSpan w:val="21"/>
            <w:shd w:val="clear" w:color="auto" w:fill="CCEEFF"/>
          </w:tcPr>
          <w:p>
            <w:pPr>
              <w:spacing w:after="0" w:line="189"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Second Amended and Restated Credit Agreement, dated as of June 29, 2022, among Tredegar, as borrower, the lenders named therein,</w:t>
              </w:r>
            </w:hyperlink>
          </w:p>
        </w:tc>
        <w:tc>
          <w:tcPr>
            <w:tcW w:w="480" w:type="dxa"/>
            <w:vAlign w:val="bottom"/>
            <w:tcBorders>
              <w:bottom w:val="single" w:sz="8" w:color="CCEEFF"/>
            </w:tcBorders>
            <w:gridSpan w:val="18"/>
            <w:shd w:val="clear" w:color="auto" w:fill="CCEEFF"/>
          </w:tcPr>
          <w:p>
            <w:pPr>
              <w:spacing w:after="0"/>
              <w:rPr>
                <w:sz w:val="16"/>
                <w:szCs w:val="16"/>
                <w:color w:val="auto"/>
              </w:rPr>
            </w:pPr>
          </w:p>
        </w:tc>
      </w:tr>
      <w:tr>
        <w:trPr>
          <w:trHeight w:val="156"/>
        </w:trPr>
        <w:tc>
          <w:tcPr>
            <w:tcW w:w="1140" w:type="dxa"/>
            <w:vAlign w:val="bottom"/>
            <w:tcBorders>
              <w:bottom w:val="single" w:sz="8" w:color="CCEEFF"/>
            </w:tcBorders>
            <w:shd w:val="clear" w:color="auto" w:fill="CCEEFF"/>
          </w:tcPr>
          <w:p>
            <w:pPr>
              <w:spacing w:after="0"/>
              <w:rPr>
                <w:sz w:val="13"/>
                <w:szCs w:val="13"/>
                <w:color w:val="auto"/>
              </w:rPr>
            </w:pPr>
          </w:p>
        </w:tc>
        <w:tc>
          <w:tcPr>
            <w:tcW w:w="9860" w:type="dxa"/>
            <w:vAlign w:val="bottom"/>
            <w:tcBorders>
              <w:bottom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JPMorgan Chase Bank N.A., as administrative agent, Citizens Bank N.A and PNC Bank, National Association, as co-syndication agents,</w:t>
              </w:r>
            </w:hyperlink>
          </w:p>
        </w:tc>
        <w:tc>
          <w:tcPr>
            <w:tcW w:w="320" w:type="dxa"/>
            <w:vAlign w:val="bottom"/>
            <w:tcBorders>
              <w:bottom w:val="single" w:sz="8" w:color="CCEEFF"/>
            </w:tcBorders>
            <w:gridSpan w:val="16"/>
            <w:shd w:val="clear" w:color="auto" w:fill="CCEEFF"/>
          </w:tcPr>
          <w:p>
            <w:pPr>
              <w:spacing w:after="0"/>
              <w:rPr>
                <w:sz w:val="13"/>
                <w:szCs w:val="13"/>
                <w:color w:val="auto"/>
              </w:rPr>
            </w:pPr>
          </w:p>
        </w:tc>
      </w:tr>
      <w:tr>
        <w:trPr>
          <w:trHeight w:val="169"/>
        </w:trPr>
        <w:tc>
          <w:tcPr>
            <w:tcW w:w="1140" w:type="dxa"/>
            <w:vAlign w:val="bottom"/>
            <w:shd w:val="clear" w:color="auto" w:fill="CCEEFF"/>
          </w:tcPr>
          <w:p>
            <w:pPr>
              <w:spacing w:after="0"/>
              <w:rPr>
                <w:sz w:val="14"/>
                <w:szCs w:val="14"/>
                <w:color w:val="auto"/>
              </w:rPr>
            </w:pPr>
          </w:p>
        </w:tc>
        <w:tc>
          <w:tcPr>
            <w:tcW w:w="10180" w:type="dxa"/>
            <w:vAlign w:val="bottom"/>
            <w:gridSpan w:val="39"/>
            <w:shd w:val="clear" w:color="auto" w:fill="CCEEFF"/>
          </w:tcPr>
          <w:p>
            <w:pPr>
              <w:spacing w:after="0" w:line="16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and Bank of America, N.A., U.S. Bank National Association and Wells Fargo Bank, National Association, as co-documentation agents, and</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140" w:type="dxa"/>
            <w:vAlign w:val="bottom"/>
            <w:tcBorders>
              <w:top w:val="single" w:sz="8" w:color="0000FF"/>
            </w:tcBorders>
            <w:gridSpan w:val="37"/>
            <w:shd w:val="clear" w:color="auto" w:fill="CCEEFF"/>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the other lenders party thereto (filed as Exhibit 4.1 to Tredegar’s Current Report on Form 8-K (File No. 1-10258), filed on June 30, 2022,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24"/>
            <w:shd w:val="clear" w:color="auto" w:fill="CCEEFF"/>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and incorporated herein by reference)</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6"/>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500" w:type="dxa"/>
            <w:vAlign w:val="bottom"/>
            <w:tcBorders>
              <w:top w:val="single" w:sz="8" w:color="CCEEFF"/>
            </w:tcBorders>
            <w:shd w:val="clear" w:color="auto" w:fill="CCEEFF"/>
          </w:tcPr>
          <w:p>
            <w:pPr>
              <w:spacing w:after="0"/>
              <w:rPr>
                <w:sz w:val="2"/>
                <w:szCs w:val="2"/>
                <w:color w:val="auto"/>
              </w:rPr>
            </w:pPr>
          </w:p>
        </w:tc>
        <w:tc>
          <w:tcPr>
            <w:tcW w:w="19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10.1.1</w:t>
            </w:r>
          </w:p>
        </w:tc>
        <w:tc>
          <w:tcPr>
            <w:tcW w:w="10180" w:type="dxa"/>
            <w:vAlign w:val="bottom"/>
            <w:gridSpan w:val="39"/>
          </w:tcPr>
          <w:p>
            <w:pPr>
              <w:spacing w:after="0" w:line="18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Second Amended and Restated Guaranty, dated as of June 29, 2022, by and among the subsidiaries of Tredegar listed on the signature</w:t>
              </w:r>
            </w:hyperlink>
          </w:p>
        </w:tc>
      </w:tr>
      <w:tr>
        <w:trPr>
          <w:trHeight w:val="155"/>
        </w:trPr>
        <w:tc>
          <w:tcPr>
            <w:tcW w:w="114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pages thereto in favor of JPMorgan Chase Bank, N.A., as administrative agent, for the ratable benefit of the Holders of Guaranteed</w:t>
              </w:r>
            </w:hyperlink>
          </w:p>
        </w:tc>
        <w:tc>
          <w:tcPr>
            <w:tcW w:w="22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10180" w:type="dxa"/>
            <w:vAlign w:val="bottom"/>
            <w:gridSpan w:val="39"/>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Obligations (as defined therein) (filed as Exhibit 4.2 to Tredegar’s Current Report on Form 8-K (File No. 1-10258), filed on June 30, 2022,</w:t>
              </w:r>
            </w:hyperlink>
          </w:p>
        </w:tc>
      </w:tr>
      <w:tr>
        <w:trPr>
          <w:trHeight w:val="155"/>
        </w:trPr>
        <w:tc>
          <w:tcPr>
            <w:tcW w:w="1140" w:type="dxa"/>
            <w:vAlign w:val="bottom"/>
          </w:tcPr>
          <w:p>
            <w:pPr>
              <w:spacing w:after="0"/>
              <w:rPr>
                <w:sz w:val="13"/>
                <w:szCs w:val="13"/>
                <w:color w:val="auto"/>
              </w:rPr>
            </w:pPr>
          </w:p>
        </w:tc>
        <w:tc>
          <w:tcPr>
            <w:tcW w:w="10080" w:type="dxa"/>
            <w:vAlign w:val="bottom"/>
            <w:tcBorders>
              <w:top w:val="single" w:sz="8" w:color="0000FF"/>
            </w:tcBorders>
            <w:gridSpan w:val="34"/>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4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40" w:type="dxa"/>
            <w:vAlign w:val="bottom"/>
            <w:tcBorders>
              <w:bottom w:val="single" w:sz="8" w:color="CCEEFF"/>
            </w:tcBorders>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10.1.2</w:t>
            </w:r>
          </w:p>
        </w:tc>
        <w:tc>
          <w:tcPr>
            <w:tcW w:w="9680" w:type="dxa"/>
            <w:vAlign w:val="bottom"/>
            <w:tcBorders>
              <w:bottom w:val="single" w:sz="8" w:color="0000FF"/>
            </w:tcBorders>
            <w:gridSpan w:val="20"/>
            <w:shd w:val="clear" w:color="auto" w:fill="CCEEFF"/>
          </w:tcPr>
          <w:p>
            <w:pPr>
              <w:spacing w:after="0" w:line="189"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Second Amended and Restated Pledge Agreement, dated as of June 29, 2022, by and among Tredegar and the subsidiaries of Tredegar</w:t>
              </w:r>
            </w:hyperlink>
          </w:p>
        </w:tc>
        <w:tc>
          <w:tcPr>
            <w:tcW w:w="500" w:type="dxa"/>
            <w:vAlign w:val="bottom"/>
            <w:tcBorders>
              <w:bottom w:val="single" w:sz="8" w:color="CCEEFF"/>
            </w:tcBorders>
            <w:gridSpan w:val="19"/>
            <w:shd w:val="clear" w:color="auto" w:fill="CCEEFF"/>
          </w:tcPr>
          <w:p>
            <w:pPr>
              <w:spacing w:after="0"/>
              <w:rPr>
                <w:sz w:val="16"/>
                <w:szCs w:val="16"/>
                <w:color w:val="auto"/>
              </w:rPr>
            </w:pPr>
          </w:p>
        </w:tc>
      </w:tr>
      <w:tr>
        <w:trPr>
          <w:trHeight w:val="155"/>
        </w:trPr>
        <w:tc>
          <w:tcPr>
            <w:tcW w:w="1140" w:type="dxa"/>
            <w:vAlign w:val="bottom"/>
            <w:shd w:val="clear" w:color="auto" w:fill="CCEEFF"/>
          </w:tcPr>
          <w:p>
            <w:pPr>
              <w:spacing w:after="0"/>
              <w:rPr>
                <w:sz w:val="13"/>
                <w:szCs w:val="13"/>
                <w:color w:val="auto"/>
              </w:rPr>
            </w:pPr>
          </w:p>
        </w:tc>
        <w:tc>
          <w:tcPr>
            <w:tcW w:w="10180" w:type="dxa"/>
            <w:vAlign w:val="bottom"/>
            <w:gridSpan w:val="39"/>
            <w:shd w:val="clear" w:color="auto" w:fill="CCEEFF"/>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listed on the signature pages thereto and JPMorgan Chase Bank, N.A., as administrative agent, for the ratable benefit of the Secured Parties</w:t>
              </w:r>
            </w:hyperlink>
          </w:p>
        </w:tc>
      </w:tr>
      <w:tr>
        <w:trPr>
          <w:trHeight w:val="169"/>
        </w:trPr>
        <w:tc>
          <w:tcPr>
            <w:tcW w:w="1140" w:type="dxa"/>
            <w:vAlign w:val="bottom"/>
            <w:tcBorders>
              <w:top w:val="single" w:sz="8" w:color="CCEEFF"/>
            </w:tcBorders>
            <w:shd w:val="clear" w:color="auto" w:fill="CCEEFF"/>
          </w:tcPr>
          <w:p>
            <w:pPr>
              <w:spacing w:after="0"/>
              <w:rPr>
                <w:sz w:val="14"/>
                <w:szCs w:val="14"/>
                <w:color w:val="auto"/>
              </w:rPr>
            </w:pPr>
          </w:p>
        </w:tc>
        <w:tc>
          <w:tcPr>
            <w:tcW w:w="10100" w:type="dxa"/>
            <w:vAlign w:val="bottom"/>
            <w:tcBorders>
              <w:top w:val="single" w:sz="8" w:color="0000FF"/>
            </w:tcBorders>
            <w:gridSpan w:val="35"/>
            <w:shd w:val="clear" w:color="auto" w:fill="CCEEFF"/>
          </w:tcPr>
          <w:p>
            <w:pPr>
              <w:spacing w:after="0" w:line="16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(as defined therein) (filed as Exhibit 4.3 to Tredegar’s Current Report on Form 8-K (File No. 1-10258), filed on June 30, 2022, and</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r>
      <w:tr>
        <w:trPr>
          <w:trHeight w:val="176"/>
        </w:trPr>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240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incorporated herein by reference)</w:t>
              </w:r>
            </w:hyperlink>
          </w:p>
        </w:tc>
        <w:tc>
          <w:tcPr>
            <w:tcW w:w="7020" w:type="dxa"/>
            <w:vAlign w:val="bottom"/>
            <w:tcBorders>
              <w:top w:val="single" w:sz="8" w:color="0000FF"/>
              <w:bottom w:val="single" w:sz="8" w:color="CCEEFF"/>
            </w:tcBorders>
            <w:gridSpan w:val="11"/>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60" w:type="dxa"/>
            <w:vAlign w:val="bottom"/>
            <w:tcBorders>
              <w:top w:val="single" w:sz="8" w:color="CCEEFF"/>
              <w:bottom w:val="single" w:sz="8" w:color="CCEEFF"/>
            </w:tcBorders>
            <w:gridSpan w:val="7"/>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60" w:type="dxa"/>
            <w:vAlign w:val="bottom"/>
            <w:tcBorders>
              <w:top w:val="single" w:sz="8" w:color="CCEEFF"/>
              <w:bottom w:val="single" w:sz="8" w:color="CCEEFF"/>
            </w:tcBorders>
            <w:gridSpan w:val="8"/>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9"/>
        </w:trPr>
        <w:tc>
          <w:tcPr>
            <w:tcW w:w="11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10.1.3</w:t>
            </w:r>
          </w:p>
        </w:tc>
        <w:tc>
          <w:tcPr>
            <w:tcW w:w="10180" w:type="dxa"/>
            <w:vAlign w:val="bottom"/>
            <w:gridSpan w:val="39"/>
          </w:tcPr>
          <w:p>
            <w:pPr>
              <w:spacing w:after="0" w:line="18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Amendment No. 1 to Second Amended and Restated Credit Agreement, dated as of November 29, 2022, among Tredegar Corporation, as</w:t>
              </w:r>
            </w:hyperlink>
          </w:p>
        </w:tc>
      </w:tr>
      <w:tr>
        <w:trPr>
          <w:trHeight w:val="156"/>
        </w:trPr>
        <w:tc>
          <w:tcPr>
            <w:tcW w:w="114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borrower, the lenders named therein, JPMorgan Chase Bank, N.A., as administrative agent, Citizens Bank, N.A. and PNC Bank, National</w:t>
              </w:r>
            </w:hyperlink>
          </w:p>
        </w:tc>
        <w:tc>
          <w:tcPr>
            <w:tcW w:w="16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140" w:type="dxa"/>
            <w:vAlign w:val="bottom"/>
          </w:tcPr>
          <w:p>
            <w:pPr>
              <w:spacing w:after="0"/>
              <w:rPr>
                <w:sz w:val="14"/>
                <w:szCs w:val="14"/>
                <w:color w:val="auto"/>
              </w:rPr>
            </w:pPr>
          </w:p>
        </w:tc>
        <w:tc>
          <w:tcPr>
            <w:tcW w:w="99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Association, as co-syndication agents, and Bank of America, N.A., U.S. Bank National Association and Wells Fargo Bank, National</w:t>
              </w:r>
            </w:hyperlink>
          </w:p>
        </w:tc>
        <w:tc>
          <w:tcPr>
            <w:tcW w:w="200" w:type="dxa"/>
            <w:vAlign w:val="bottom"/>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6360" w:type="dxa"/>
            <w:vAlign w:val="bottom"/>
            <w:gridSpan w:val="7"/>
            <w:shd w:val="clear" w:color="auto" w:fill="0000FF"/>
          </w:tcPr>
          <w:p>
            <w:pPr>
              <w:spacing w:after="0" w:line="20" w:lineRule="exact"/>
              <w:rPr>
                <w:sz w:val="1"/>
                <w:szCs w:val="1"/>
                <w:color w:val="auto"/>
              </w:rPr>
            </w:pPr>
          </w:p>
        </w:tc>
        <w:tc>
          <w:tcPr>
            <w:tcW w:w="314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1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140" w:type="dxa"/>
            <w:vAlign w:val="bottom"/>
          </w:tcPr>
          <w:p>
            <w:pPr>
              <w:spacing w:after="0"/>
              <w:rPr>
                <w:sz w:val="13"/>
                <w:szCs w:val="13"/>
                <w:color w:val="auto"/>
              </w:rPr>
            </w:pPr>
          </w:p>
        </w:tc>
        <w:tc>
          <w:tcPr>
            <w:tcW w:w="10180" w:type="dxa"/>
            <w:vAlign w:val="bottom"/>
            <w:gridSpan w:val="39"/>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Association, as co-documentation agents, and the other lenders party thereto (filed as Exhibit 10.1 of Tredegar’s Second Quarter 2023 Form</w:t>
              </w:r>
            </w:hyperlink>
          </w:p>
        </w:tc>
      </w:tr>
      <w:tr>
        <w:trPr>
          <w:trHeight w:val="156"/>
        </w:trPr>
        <w:tc>
          <w:tcPr>
            <w:tcW w:w="1140" w:type="dxa"/>
            <w:vAlign w:val="bottom"/>
          </w:tcPr>
          <w:p>
            <w:pPr>
              <w:spacing w:after="0"/>
              <w:rPr>
                <w:sz w:val="13"/>
                <w:szCs w:val="13"/>
                <w:color w:val="auto"/>
              </w:rPr>
            </w:pPr>
          </w:p>
        </w:tc>
        <w:tc>
          <w:tcPr>
            <w:tcW w:w="1016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10-Q (File No. 1-10258), filed on August 9, 2023, and incorporated herein by reference)</w:t>
              </w:r>
            </w:hyperlink>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19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shd w:val="clear" w:color="auto" w:fill="CCEEFF"/>
          </w:tcPr>
          <w:p>
            <w:pPr>
              <w:ind w:left="280"/>
              <w:spacing w:after="0" w:line="189" w:lineRule="exact"/>
              <w:rPr>
                <w:sz w:val="20"/>
                <w:szCs w:val="20"/>
                <w:color w:val="auto"/>
              </w:rPr>
            </w:pPr>
            <w:r>
              <w:rPr>
                <w:rFonts w:ascii="Times New Roman" w:cs="Times New Roman" w:eastAsia="Times New Roman" w:hAnsi="Times New Roman"/>
                <w:sz w:val="18"/>
                <w:szCs w:val="18"/>
                <w:color w:val="auto"/>
              </w:rPr>
              <w:t>10.1.4</w:t>
            </w:r>
          </w:p>
        </w:tc>
        <w:tc>
          <w:tcPr>
            <w:tcW w:w="10180" w:type="dxa"/>
            <w:vAlign w:val="bottom"/>
            <w:gridSpan w:val="39"/>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Amendment No. 2 to Second Amended and Restated Credit Agreement, dated as of August 3, 2023, among Tredegar Corporation, as</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9580" w:type="dxa"/>
            <w:vAlign w:val="bottom"/>
            <w:gridSpan w:val="17"/>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60" w:type="dxa"/>
            <w:vAlign w:val="bottom"/>
            <w:gridSpan w:val="17"/>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r>
      <w:tr>
        <w:trPr>
          <w:trHeight w:val="155"/>
        </w:trPr>
        <w:tc>
          <w:tcPr>
            <w:tcW w:w="1140" w:type="dxa"/>
            <w:vAlign w:val="bottom"/>
            <w:shd w:val="clear" w:color="auto" w:fill="CCEEFF"/>
          </w:tcPr>
          <w:p>
            <w:pPr>
              <w:spacing w:after="0"/>
              <w:rPr>
                <w:sz w:val="13"/>
                <w:szCs w:val="13"/>
                <w:color w:val="auto"/>
              </w:rPr>
            </w:pPr>
          </w:p>
        </w:tc>
        <w:tc>
          <w:tcPr>
            <w:tcW w:w="10180" w:type="dxa"/>
            <w:vAlign w:val="bottom"/>
            <w:gridSpan w:val="39"/>
            <w:shd w:val="clear" w:color="auto" w:fill="CCEEFF"/>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borrower, the lenders named therein, JPMorgan Chase Bank, N.A., as administrative agent, Citizens Bank, N.A. and PNC Bank, National</w:t>
              </w:r>
            </w:hyperlink>
          </w:p>
        </w:tc>
      </w:tr>
      <w:tr>
        <w:trPr>
          <w:trHeight w:val="169"/>
        </w:trPr>
        <w:tc>
          <w:tcPr>
            <w:tcW w:w="1140" w:type="dxa"/>
            <w:vAlign w:val="bottom"/>
            <w:tcBorders>
              <w:top w:val="single" w:sz="8" w:color="CCEEFF"/>
            </w:tcBorders>
            <w:shd w:val="clear" w:color="auto" w:fill="CCEEFF"/>
          </w:tcPr>
          <w:p>
            <w:pPr>
              <w:spacing w:after="0"/>
              <w:rPr>
                <w:sz w:val="14"/>
                <w:szCs w:val="14"/>
                <w:color w:val="auto"/>
              </w:rPr>
            </w:pPr>
          </w:p>
        </w:tc>
        <w:tc>
          <w:tcPr>
            <w:tcW w:w="992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Association, as co-syndication agents, and Bank of America, N.A., U.S. Bank National Association and Wells Fargo Bank, National</w:t>
              </w:r>
            </w:hyperlink>
          </w:p>
        </w:tc>
        <w:tc>
          <w:tcPr>
            <w:tcW w:w="200" w:type="dxa"/>
            <w:vAlign w:val="bottom"/>
            <w:tcBorders>
              <w:top w:val="single" w:sz="8" w:color="CCEEFF"/>
            </w:tcBorders>
            <w:gridSpan w:val="10"/>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9500" w:type="dxa"/>
            <w:vAlign w:val="bottom"/>
            <w:gridSpan w:val="16"/>
            <w:shd w:val="clear" w:color="auto" w:fill="0000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460" w:type="dxa"/>
            <w:vAlign w:val="bottom"/>
            <w:gridSpan w:val="17"/>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r>
      <w:tr>
        <w:trPr>
          <w:trHeight w:val="155"/>
        </w:trPr>
        <w:tc>
          <w:tcPr>
            <w:tcW w:w="1140" w:type="dxa"/>
            <w:vAlign w:val="bottom"/>
            <w:shd w:val="clear" w:color="auto" w:fill="CCEEFF"/>
          </w:tcPr>
          <w:p>
            <w:pPr>
              <w:spacing w:after="0"/>
              <w:rPr>
                <w:sz w:val="13"/>
                <w:szCs w:val="13"/>
                <w:color w:val="auto"/>
              </w:rPr>
            </w:pPr>
          </w:p>
        </w:tc>
        <w:tc>
          <w:tcPr>
            <w:tcW w:w="10180" w:type="dxa"/>
            <w:vAlign w:val="bottom"/>
            <w:gridSpan w:val="39"/>
            <w:shd w:val="clear" w:color="auto" w:fill="CCEEFF"/>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Association, as co-documentation agents, and the other lenders party thereto (filed as Exhibit 10.2 of Tredegar’s Second Quarter 2023 Form</w:t>
              </w:r>
            </w:hyperlink>
          </w:p>
        </w:tc>
      </w:tr>
      <w:tr>
        <w:trPr>
          <w:trHeight w:val="190"/>
        </w:trPr>
        <w:tc>
          <w:tcPr>
            <w:tcW w:w="1140" w:type="dxa"/>
            <w:vAlign w:val="bottom"/>
            <w:tcBorders>
              <w:top w:val="single" w:sz="8" w:color="CCEEFF"/>
              <w:bottom w:val="single" w:sz="8" w:color="CCEEFF"/>
            </w:tcBorders>
            <w:shd w:val="clear" w:color="auto" w:fill="CCEEFF"/>
          </w:tcPr>
          <w:p>
            <w:pPr>
              <w:spacing w:after="0"/>
              <w:rPr>
                <w:sz w:val="16"/>
                <w:szCs w:val="16"/>
                <w:color w:val="auto"/>
              </w:rPr>
            </w:pPr>
          </w:p>
        </w:tc>
        <w:tc>
          <w:tcPr>
            <w:tcW w:w="6360" w:type="dxa"/>
            <w:vAlign w:val="bottom"/>
            <w:tcBorders>
              <w:top w:val="single" w:sz="8" w:color="0000FF"/>
              <w:bottom w:val="single" w:sz="8" w:color="0000FF"/>
            </w:tcBorders>
            <w:gridSpan w:val="7"/>
            <w:shd w:val="clear" w:color="auto" w:fill="CCEEFF"/>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10-Q (File No. 1-10258), filed on August 9, 2023, and incorporated herein by reference)</w:t>
              </w:r>
            </w:hyperlink>
          </w:p>
        </w:tc>
        <w:tc>
          <w:tcPr>
            <w:tcW w:w="3800" w:type="dxa"/>
            <w:vAlign w:val="bottom"/>
            <w:tcBorders>
              <w:top w:val="single" w:sz="8" w:color="0000FF"/>
              <w:bottom w:val="single" w:sz="8" w:color="CCEEFF"/>
            </w:tcBorders>
            <w:gridSpan w:val="31"/>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114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10.1.5</w:t>
            </w:r>
          </w:p>
        </w:tc>
        <w:tc>
          <w:tcPr>
            <w:tcW w:w="10180" w:type="dxa"/>
            <w:vAlign w:val="bottom"/>
            <w:gridSpan w:val="39"/>
          </w:tcPr>
          <w:p>
            <w:pPr>
              <w:spacing w:after="0" w:line="18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Amendment No. 3, dated December 27, 2023, to the Second Amended and Restated Credit Agreement, dated June 29, 2022, by and among</w:t>
              </w:r>
            </w:hyperlink>
          </w:p>
        </w:tc>
      </w:tr>
      <w:tr>
        <w:trPr>
          <w:trHeight w:val="155"/>
        </w:trPr>
        <w:tc>
          <w:tcPr>
            <w:tcW w:w="1140" w:type="dxa"/>
            <w:vAlign w:val="bottom"/>
          </w:tcPr>
          <w:p>
            <w:pPr>
              <w:spacing w:after="0"/>
              <w:rPr>
                <w:sz w:val="13"/>
                <w:szCs w:val="13"/>
                <w:color w:val="auto"/>
              </w:rPr>
            </w:pPr>
          </w:p>
        </w:tc>
        <w:tc>
          <w:tcPr>
            <w:tcW w:w="96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Tredegar Corporation, as borrower, certain of Tredegar Corporation’s material domestic subsidiaries, as guarantors, the lenders named</w:t>
              </w:r>
            </w:hyperlink>
          </w:p>
        </w:tc>
        <w:tc>
          <w:tcPr>
            <w:tcW w:w="46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r>
    </w:tbl>
    <w:p>
      <w:pPr>
        <w:ind w:left="1140" w:right="60"/>
        <w:spacing w:after="0" w:line="221"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therein, JPMorgan Chase Bank, N.A., as administrative agent, Citizens Bank, N.A. and PNC Bank, National Association, as co-syndication</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agents, and Bank of America, N.A., U.S. Bank National Association and Wells Fargo Bank, National Association, as co-documentation</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agents (filed as Exhibit 4.1 to Tredegar’s Current Report on Form 8-K (File No. 1-10258), filed on December 28, 2023, and incorporated</w:t>
        </w:r>
      </w:hyperlink>
    </w:p>
    <w:p>
      <w:pPr>
        <w:spacing w:after="0" w:line="2" w:lineRule="exact"/>
        <w:rPr>
          <w:rFonts w:ascii="Times New Roman" w:cs="Times New Roman" w:eastAsia="Times New Roman" w:hAnsi="Times New Roman"/>
          <w:sz w:val="17"/>
          <w:szCs w:val="17"/>
          <w:u w:val="single" w:color="auto"/>
          <w:color w:val="0000FF"/>
        </w:rPr>
      </w:pPr>
    </w:p>
    <w:p>
      <w:pPr>
        <w:ind w:left="114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herein by reference)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37"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both"/>
        <w:ind w:left="860" w:right="40" w:hanging="850"/>
        <w:spacing w:after="0" w:line="216"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17">
        <w:r>
          <w:rPr>
            <w:rFonts w:ascii="Times New Roman" w:cs="Times New Roman" w:eastAsia="Times New Roman" w:hAnsi="Times New Roman"/>
            <w:sz w:val="18"/>
            <w:szCs w:val="18"/>
            <w:u w:val="single" w:color="auto"/>
            <w:color w:val="0000FF"/>
          </w:rPr>
          <w:t>Third Amended and Restated Pledge and Security Agreement, dated as of December 27, 2023, by and among Tredegar Corporation and the</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subsidiaries of Tredegar Corporation listed on the signature pages thereto and JPMorgan Chase Bank, N.A., as administrative agent, for the</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ratable benefit of the Secured Parties (as defined therein) (filed as Exhibit 4.1 to Tredegar’s Current Report on Form 8-K (File No. 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-351155</wp:posOffset>
            </wp:positionV>
            <wp:extent cx="7132320" cy="4889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ind w:left="86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10258), filed on December 28, 2023, and incorporated herein by reference)</w:t>
        </w:r>
      </w:hyperlink>
    </w:p>
    <w:p>
      <w:pPr>
        <w:spacing w:after="0" w:line="7" w:lineRule="exact"/>
        <w:rPr>
          <w:rFonts w:ascii="Times New Roman" w:cs="Times New Roman" w:eastAsia="Times New Roman" w:hAnsi="Times New Roman"/>
          <w:sz w:val="18"/>
          <w:szCs w:val="18"/>
          <w:u w:val="single" w:color="auto"/>
          <w:color w:val="0000FF"/>
        </w:rPr>
      </w:pPr>
    </w:p>
    <w:p>
      <w:pPr>
        <w:ind w:left="860" w:right="40" w:hanging="850"/>
        <w:spacing w:after="0" w:line="227"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19">
        <w:r>
          <w:rPr>
            <w:rFonts w:ascii="Times New Roman" w:cs="Times New Roman" w:eastAsia="Times New Roman" w:hAnsi="Times New Roman"/>
            <w:sz w:val="17"/>
            <w:szCs w:val="17"/>
            <w:u w:val="single" w:color="auto"/>
            <w:color w:val="0000FF"/>
          </w:rPr>
          <w:t>Amendment No. 4, dated April 16, 2024, to the Second Amended and Restated Credit Agreement, dated June 29, 2022, by and among</w:t>
        </w:r>
      </w:hyperlink>
      <w:r>
        <w:rPr>
          <w:rFonts w:ascii="Times New Roman" w:cs="Times New Roman" w:eastAsia="Times New Roman" w:hAnsi="Times New Roman"/>
          <w:sz w:val="17"/>
          <w:szCs w:val="17"/>
          <w:u w:val="single" w:color="auto"/>
          <w:color w:val="0000FF"/>
        </w:rPr>
        <w:t xml:space="preserve"> </w:t>
      </w:r>
      <w:hyperlink r:id="rId119">
        <w:r>
          <w:rPr>
            <w:rFonts w:ascii="Times New Roman" w:cs="Times New Roman" w:eastAsia="Times New Roman" w:hAnsi="Times New Roman"/>
            <w:sz w:val="17"/>
            <w:szCs w:val="17"/>
            <w:u w:val="single" w:color="auto"/>
            <w:color w:val="0000FF"/>
          </w:rPr>
          <w:t>Tredegar Corporation, as borrower, certain of Tredegar Corporation’s material domestic subsidiaries, as guarantors, the lenders named</w:t>
        </w:r>
      </w:hyperlink>
      <w:r>
        <w:rPr>
          <w:rFonts w:ascii="Times New Roman" w:cs="Times New Roman" w:eastAsia="Times New Roman" w:hAnsi="Times New Roman"/>
          <w:sz w:val="17"/>
          <w:szCs w:val="17"/>
          <w:u w:val="single" w:color="auto"/>
          <w:color w:val="0000FF"/>
        </w:rPr>
        <w:t xml:space="preserve"> </w:t>
      </w:r>
      <w:hyperlink r:id="rId119">
        <w:r>
          <w:rPr>
            <w:rFonts w:ascii="Times New Roman" w:cs="Times New Roman" w:eastAsia="Times New Roman" w:hAnsi="Times New Roman"/>
            <w:sz w:val="17"/>
            <w:szCs w:val="17"/>
            <w:u w:val="single" w:color="auto"/>
            <w:color w:val="0000FF"/>
          </w:rPr>
          <w:t>therein, JPMorgan Chase Bank, N.A., as administrative agent, Citizens Bank, N.A. and PNC Bank, National Association, as co-syndication</w:t>
        </w:r>
      </w:hyperlink>
    </w:p>
    <w:p>
      <w:pPr>
        <w:ind w:left="860"/>
        <w:spacing w:after="0" w:line="218"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agents, and Bank of America, N.A., U.S. Bank National Association and Wells Fargo Bank, National Association, as co-documentation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agents (filed as Exhibit 10.1 of Tredegar’s Current Report on Form 8-K (File No. 1-10258), filed on April 22, 2024, and incorporated herein</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by reference)</w:t>
        </w:r>
      </w:hyperlink>
    </w:p>
    <w:p>
      <w:pPr>
        <w:spacing w:after="0" w:line="10" w:lineRule="exact"/>
        <w:rPr>
          <w:rFonts w:ascii="Times New Roman" w:cs="Times New Roman" w:eastAsia="Times New Roman" w:hAnsi="Times New Roman"/>
          <w:sz w:val="18"/>
          <w:szCs w:val="18"/>
          <w:u w:val="single" w:color="auto"/>
          <w:color w:val="0000FF"/>
        </w:rPr>
      </w:pPr>
    </w:p>
    <w:p>
      <w:pPr>
        <w:ind w:left="860" w:right="260" w:hanging="850"/>
        <w:spacing w:after="0" w:line="229"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20">
        <w:r>
          <w:rPr>
            <w:rFonts w:ascii="Times New Roman" w:cs="Times New Roman" w:eastAsia="Times New Roman" w:hAnsi="Times New Roman"/>
            <w:sz w:val="17"/>
            <w:szCs w:val="17"/>
            <w:u w:val="single" w:color="auto"/>
            <w:color w:val="0000FF"/>
          </w:rPr>
          <w:t>Amendment No. 5, dated May 6, 2025, to Second Amended and Restated Credit Agreement, dated as of June 29, 2022, by and among</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Tredegar Corporation, as borrower, certain of Tredegar Corporation’s material domestic subsidiaries, as guarantors, the lenders named</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therein, JPMorgan Chase Bank, N.A., as administrative agent, and JPMorgan Chase Bank, N.A., Bank of America, N.A., Citizens Bank,</w:t>
        </w:r>
      </w:hyperlink>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-351790</wp:posOffset>
            </wp:positionV>
            <wp:extent cx="7132320" cy="6083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32320" cy="608330"/>
                    </a:xfrm>
                    <a:prstGeom prst="rect">
                      <a:avLst/>
                    </a:prstGeom>
                    <a:noFill/>
                  </pic:spPr>
                </pic:pic>
              </a:graphicData>
            </a:graphic>
          </wp:anchor>
        </w:drawing>
      </w:r>
    </w:p>
    <w:p>
      <w:pPr>
        <w:ind w:left="860" w:right="220"/>
        <w:spacing w:after="0" w:line="226"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N.A., and PNC Capital Markets LLC, as Joint Bookrunners and Joint Lead Arrangers. (filed as Exhibit 10.1 to Tredegar's Current Report</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on Form 8-K (File No. 1-10258), filed on May 9, 2025, and incorporated herein by reference)</w:t>
        </w:r>
      </w:hyperlink>
    </w:p>
    <w:p>
      <w:pPr>
        <w:spacing w:after="0" w:line="9" w:lineRule="exact"/>
        <w:rPr>
          <w:sz w:val="20"/>
          <w:szCs w:val="20"/>
          <w:color w:val="auto"/>
        </w:rPr>
      </w:pPr>
    </w:p>
    <w:p>
      <w:pPr>
        <w:ind w:left="860" w:right="120" w:hanging="850"/>
        <w:spacing w:after="0" w:line="256"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122">
        <w:r>
          <w:rPr>
            <w:rFonts w:ascii="Times New Roman" w:cs="Times New Roman" w:eastAsia="Times New Roman" w:hAnsi="Times New Roman"/>
            <w:sz w:val="17"/>
            <w:szCs w:val="17"/>
            <w:u w:val="single" w:color="auto"/>
            <w:color w:val="0000FF"/>
          </w:rPr>
          <w:t>Reorganization and Distribution Agreement, dated as of June 1, 1989, between Tredegar and Ethyl Corporation (filed as Exhibit 10.1 to</w:t>
        </w:r>
      </w:hyperlink>
      <w:r>
        <w:rPr>
          <w:rFonts w:ascii="Times New Roman" w:cs="Times New Roman" w:eastAsia="Times New Roman" w:hAnsi="Times New Roman"/>
          <w:sz w:val="17"/>
          <w:szCs w:val="17"/>
          <w:u w:val="single" w:color="auto"/>
          <w:color w:val="0000FF"/>
        </w:rPr>
        <w:t xml:space="preserve"> </w:t>
      </w:r>
      <w:hyperlink r:id="rId122">
        <w:r>
          <w:rPr>
            <w:rFonts w:ascii="Times New Roman" w:cs="Times New Roman" w:eastAsia="Times New Roman" w:hAnsi="Times New Roman"/>
            <w:sz w:val="17"/>
            <w:szCs w:val="17"/>
            <w:u w:val="single" w:color="auto"/>
            <w:color w:val="0000FF"/>
          </w:rPr>
          <w:t>Tredegar’s Annual Report on Form 10-K (File No. 1-10258) for the year ended December 31, 2004, and incorporated herein by reference)</w:t>
        </w:r>
      </w:hyperlink>
    </w:p>
    <w:p>
      <w:pPr>
        <w:spacing w:after="0" w:line="1" w:lineRule="exact"/>
        <w:rPr>
          <w:sz w:val="20"/>
          <w:szCs w:val="20"/>
          <w:color w:val="auto"/>
        </w:rPr>
      </w:pPr>
    </w:p>
    <w:p>
      <w:pPr>
        <w:ind w:left="860" w:right="440" w:hanging="850"/>
        <w:spacing w:after="0" w:line="256" w:lineRule="auto"/>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123">
        <w:r>
          <w:rPr>
            <w:rFonts w:ascii="Times New Roman" w:cs="Times New Roman" w:eastAsia="Times New Roman" w:hAnsi="Times New Roman"/>
            <w:sz w:val="17"/>
            <w:szCs w:val="17"/>
            <w:u w:val="single" w:color="auto"/>
            <w:color w:val="0000FF"/>
          </w:rPr>
          <w:t>Employee Benefits Agreement, dated as of June 1, 1989, between Tredegar and Ethyl Corporation (filed as Exhibit 10.2 to Tredegar’s</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Annual Report on Form 10-K (File No. 1-10258) for the year ended December 31, 2004,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-260985</wp:posOffset>
            </wp:positionV>
            <wp:extent cx="7132320" cy="2654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60" w:right="38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125">
        <w:r>
          <w:rPr>
            <w:rFonts w:ascii="Times New Roman" w:cs="Times New Roman" w:eastAsia="Times New Roman" w:hAnsi="Times New Roman"/>
            <w:sz w:val="18"/>
            <w:szCs w:val="18"/>
            <w:u w:val="single" w:color="auto"/>
            <w:color w:val="0000FF"/>
          </w:rPr>
          <w:t>Tax Sharing Agreement, dated as of June 1, 1989, between Tredegar and Ethyl Corporation (filed as Exhibit 10.3 to Tredegar’s Annual</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Report on Form 10-K (File No. 1-10258) for the year ended December 31, 2004, and incorporated herein by reference)</w:t>
        </w:r>
      </w:hyperlink>
    </w:p>
    <w:p>
      <w:pPr>
        <w:spacing w:after="0" w:line="10" w:lineRule="exact"/>
        <w:rPr>
          <w:sz w:val="20"/>
          <w:szCs w:val="20"/>
          <w:color w:val="auto"/>
        </w:rPr>
      </w:pPr>
    </w:p>
    <w:p>
      <w:pPr>
        <w:ind w:left="860" w:right="10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126">
        <w:r>
          <w:rPr>
            <w:rFonts w:ascii="Times New Roman" w:cs="Times New Roman" w:eastAsia="Times New Roman" w:hAnsi="Times New Roman"/>
            <w:sz w:val="18"/>
            <w:szCs w:val="18"/>
            <w:u w:val="single" w:color="auto"/>
            <w:color w:val="0000FF"/>
          </w:rPr>
          <w:t>Indemnification Agreement, dated as of June 1, 1989, between Tredegar and Ethyl Corporation (filed as Exhibit 10.4 to Tredegar’s Annual</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Report on Form 10-K (File No. 1-10258) for the year ended December 31, 2004,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-255905</wp:posOffset>
            </wp:positionV>
            <wp:extent cx="7132320" cy="2654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128">
        <w:r>
          <w:rPr>
            <w:rFonts w:ascii="Times New Roman" w:cs="Times New Roman" w:eastAsia="Times New Roman" w:hAnsi="Times New Roman"/>
            <w:sz w:val="17"/>
            <w:szCs w:val="17"/>
            <w:u w:val="single" w:color="auto"/>
            <w:color w:val="0000FF"/>
          </w:rPr>
          <w:t>Tredegar Industries, Inc. Retirement Benefit Restoration Plan (filed as Exhibit 10.7 to Tredegar’s Annual Report on Form 10-K (File No. 1-</w:t>
        </w:r>
      </w:hyperlink>
    </w:p>
    <w:p>
      <w:pPr>
        <w:ind w:left="86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10258) for the year ended December 31, 2004, and incorporated herein by reference)</w:t>
        </w:r>
      </w:hyperlink>
    </w:p>
    <w:p>
      <w:pPr>
        <w:spacing w:after="0" w:line="16" w:lineRule="exact"/>
        <w:rPr>
          <w:sz w:val="20"/>
          <w:szCs w:val="20"/>
          <w:color w:val="auto"/>
        </w:rPr>
      </w:pPr>
    </w:p>
    <w:p>
      <w:pPr>
        <w:ind w:left="860" w:right="24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*10.6.1</w:t>
      </w:r>
      <w:r>
        <w:rPr>
          <w:sz w:val="20"/>
          <w:szCs w:val="20"/>
          <w:color w:val="auto"/>
        </w:rPr>
        <w:tab/>
      </w:r>
      <w:hyperlink r:id="rId129">
        <w:r>
          <w:rPr>
            <w:rFonts w:ascii="Times New Roman" w:cs="Times New Roman" w:eastAsia="Times New Roman" w:hAnsi="Times New Roman"/>
            <w:sz w:val="18"/>
            <w:szCs w:val="18"/>
            <w:u w:val="single" w:color="auto"/>
            <w:color w:val="0000FF"/>
          </w:rPr>
          <w:t>Amendment to the Tredegar Industries, Inc. Retirement Benefit Restoration Plan (filed as Exhibit 10.7.1 to Tredegar’s Annual Report on</w:t>
        </w:r>
      </w:hyperlink>
      <w:r>
        <w:rPr>
          <w:rFonts w:ascii="Times New Roman" w:cs="Times New Roman" w:eastAsia="Times New Roman" w:hAnsi="Times New Roman"/>
          <w:sz w:val="18"/>
          <w:szCs w:val="18"/>
          <w:u w:val="single" w:color="auto"/>
          <w:color w:val="0000FF"/>
        </w:rPr>
        <w:t xml:space="preserve"> </w:t>
      </w:r>
      <w:hyperlink r:id="rId129">
        <w:r>
          <w:rPr>
            <w:rFonts w:ascii="Times New Roman" w:cs="Times New Roman" w:eastAsia="Times New Roman" w:hAnsi="Times New Roman"/>
            <w:sz w:val="18"/>
            <w:szCs w:val="18"/>
            <w:u w:val="single" w:color="auto"/>
            <w:color w:val="0000FF"/>
          </w:rPr>
          <w:t>Form 10-K (File No. 1-10258) for the year ended December 31, 2004,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-255905</wp:posOffset>
            </wp:positionV>
            <wp:extent cx="7132320"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131">
        <w:r>
          <w:rPr>
            <w:rFonts w:ascii="Times New Roman" w:cs="Times New Roman" w:eastAsia="Times New Roman" w:hAnsi="Times New Roman"/>
            <w:sz w:val="17"/>
            <w:szCs w:val="17"/>
            <w:u w:val="single" w:color="auto"/>
            <w:color w:val="0000FF"/>
          </w:rPr>
          <w:t>Tredegar Industries, Inc. Savings Plan Benefit Restoration Plan (filed as Exhibit 10.6 to Tredegar’s Annual Report on Form 10-K (File No.</w:t>
        </w:r>
      </w:hyperlink>
    </w:p>
    <w:p>
      <w:pPr>
        <w:ind w:left="86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1-10258) for the year ended December 31, 2013, and incorporated herein by reference)</w:t>
        </w:r>
      </w:hyperlink>
    </w:p>
    <w:p>
      <w:pPr>
        <w:spacing w:after="0" w:line="16" w:lineRule="exact"/>
        <w:rPr>
          <w:sz w:val="20"/>
          <w:szCs w:val="20"/>
          <w:color w:val="auto"/>
        </w:rPr>
      </w:pPr>
    </w:p>
    <w:p>
      <w:pPr>
        <w:ind w:left="860" w:right="220" w:hanging="850"/>
        <w:spacing w:after="0" w:line="226"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*10.7.1</w:t>
      </w:r>
      <w:r>
        <w:rPr>
          <w:sz w:val="20"/>
          <w:szCs w:val="20"/>
          <w:color w:val="auto"/>
        </w:rPr>
        <w:tab/>
      </w:r>
      <w:hyperlink r:id="rId132">
        <w:r>
          <w:rPr>
            <w:rFonts w:ascii="Times New Roman" w:cs="Times New Roman" w:eastAsia="Times New Roman" w:hAnsi="Times New Roman"/>
            <w:sz w:val="18"/>
            <w:szCs w:val="18"/>
            <w:u w:val="single" w:color="auto"/>
            <w:color w:val="0000FF"/>
          </w:rPr>
          <w:t>Resolutions of the Executive Committee of the Board of Directors of Tredegar adopted on December 28, 2004 (effective as of December</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31, 2004) amending the Tredegar Corporation Retirement Savings Plan Benefit Restoration Plan (filed as Exhibit 10.9.1 to Tredegar’s</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Current Report on Form 8-K (File No. 1-10258), filed on December 30, 2004, and 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-367665</wp:posOffset>
            </wp:positionV>
            <wp:extent cx="7132320" cy="3771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860" w:right="10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134">
        <w:r>
          <w:rPr>
            <w:rFonts w:ascii="Times New Roman" w:cs="Times New Roman" w:eastAsia="Times New Roman" w:hAnsi="Times New Roman"/>
            <w:sz w:val="18"/>
            <w:szCs w:val="18"/>
            <w:u w:val="single" w:color="auto"/>
            <w:color w:val="0000FF"/>
          </w:rPr>
          <w:t>Tredegar 2004 Equity Incentive Plan as Amended and Restated Effective March 27, 2009 (filed as Annex 1 to Tredegar’s Definitive Proxy</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Statement on Schedule 14A (File No. 1-10258) filed on April 14, 2009 and incorporated herein by reference)</w:t>
        </w:r>
      </w:hyperlink>
    </w:p>
    <w:p>
      <w:pPr>
        <w:spacing w:after="0" w:line="10" w:lineRule="exact"/>
        <w:rPr>
          <w:sz w:val="20"/>
          <w:szCs w:val="20"/>
          <w:color w:val="auto"/>
        </w:rPr>
      </w:pPr>
    </w:p>
    <w:p>
      <w:pPr>
        <w:ind w:left="860" w:right="68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135">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10.3 to</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Tredegar’s Current Report on Form 8-K (File No. 1-10258), filed on February 27, 2013,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-255905</wp:posOffset>
            </wp:positionV>
            <wp:extent cx="7132320" cy="2654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860" w:right="26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37">
        <w:r>
          <w:rPr>
            <w:rFonts w:ascii="Times New Roman" w:cs="Times New Roman" w:eastAsia="Times New Roman" w:hAnsi="Times New Roman"/>
            <w:sz w:val="18"/>
            <w:szCs w:val="18"/>
            <w:u w:val="single" w:color="auto"/>
            <w:color w:val="0000FF"/>
          </w:rPr>
          <w:t>Form of Notice of Stock Unit Award and Stock Unit Award Terms and Conditions (filed as Exhibit 10.1 to Tredegar’s Current Report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Form 8-K (File No. 1-10258), filed on March 1, 2016, and incorporated herein by reference)</w:t>
        </w:r>
      </w:hyperlink>
    </w:p>
    <w:p>
      <w:pPr>
        <w:spacing w:after="0" w:line="10" w:lineRule="exact"/>
        <w:rPr>
          <w:sz w:val="20"/>
          <w:szCs w:val="20"/>
          <w:color w:val="auto"/>
        </w:rPr>
      </w:pPr>
    </w:p>
    <w:p>
      <w:pPr>
        <w:ind w:left="860" w:right="22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38">
        <w:r>
          <w:rPr>
            <w:rFonts w:ascii="Times New Roman" w:cs="Times New Roman" w:eastAsia="Times New Roman" w:hAnsi="Times New Roman"/>
            <w:sz w:val="18"/>
            <w:szCs w:val="18"/>
            <w:u w:val="single" w:color="auto"/>
            <w:color w:val="0000FF"/>
          </w:rPr>
          <w:t>Form of Notice of Stock Award and Stock Award Terms and Conditions (filed as Exhibit 10.2 to Tredegar’s Current Report on Form 8-K</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(File No. 1-10258), filed on March 1, 2016, and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-255905</wp:posOffset>
            </wp:positionV>
            <wp:extent cx="7132320" cy="2660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860" w:right="40" w:hanging="850"/>
        <w:spacing w:after="0" w:line="237"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40">
        <w:r>
          <w:rPr>
            <w:rFonts w:ascii="Times New Roman" w:cs="Times New Roman" w:eastAsia="Times New Roman" w:hAnsi="Times New Roman"/>
            <w:sz w:val="18"/>
            <w:szCs w:val="18"/>
            <w:u w:val="single" w:color="auto"/>
            <w:color w:val="0000FF"/>
          </w:rPr>
          <w:t>Form of Notice of Stock Award and Stock Award Terms and Conditions (filed as Exhibit 10.18 to Tredegar’s Quarterly Report on Form 10-</w:t>
        </w:r>
      </w:hyperlink>
      <w:hyperlink r:id="rId140">
        <w:r>
          <w:rPr>
            <w:rFonts w:ascii="Times New Roman" w:cs="Times New Roman" w:eastAsia="Times New Roman" w:hAnsi="Times New Roman"/>
            <w:sz w:val="18"/>
            <w:szCs w:val="18"/>
            <w:u w:val="single" w:color="auto"/>
            <w:color w:val="0000FF"/>
          </w:rPr>
          <w:t>Q (File No. 1-10258) for the quarterly period ended March 31, 2020, and incorporated herein by reference)</w:t>
        </w:r>
      </w:hyperlink>
    </w:p>
    <w:p>
      <w:pPr>
        <w:spacing w:after="0" w:line="10" w:lineRule="exact"/>
        <w:rPr>
          <w:sz w:val="20"/>
          <w:szCs w:val="20"/>
          <w:color w:val="auto"/>
        </w:rPr>
      </w:pPr>
    </w:p>
    <w:p>
      <w:pPr>
        <w:ind w:left="860" w:right="160" w:hanging="850"/>
        <w:spacing w:after="0" w:line="226"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41">
        <w:r>
          <w:rPr>
            <w:rFonts w:ascii="Times New Roman" w:cs="Times New Roman" w:eastAsia="Times New Roman" w:hAnsi="Times New Roman"/>
            <w:sz w:val="18"/>
            <w:szCs w:val="18"/>
            <w:u w:val="single" w:color="auto"/>
            <w:color w:val="0000FF"/>
          </w:rPr>
          <w:t>Form of Notice of Stock Appreciation Right Grant and Stock Appreciation Right Terms and Conditions (filed as Exhibit 10.19 to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Tredegar’s Quarterly Report on Form 10-Q (File No. 1-10258) for the quarterly period ended March 31, 2020, and incorporated herein by</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-367665</wp:posOffset>
            </wp:positionV>
            <wp:extent cx="7132320" cy="3771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860" w:right="160" w:hanging="850"/>
        <w:spacing w:after="0" w:line="250" w:lineRule="auto"/>
        <w:tabs>
          <w:tab w:leader="none" w:pos="8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43">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10.20 to</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Tredegar’s Quarterly Report on Form 10-Q (File No. 1-10258) for the quarterly period ended March 31, 2020, and incorporated herein by</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reference)</w:t>
        </w:r>
      </w:hyperlink>
    </w:p>
    <w:p>
      <w:pPr>
        <w:spacing w:after="0" w:line="17" w:lineRule="exact"/>
        <w:rPr>
          <w:rFonts w:ascii="Times New Roman" w:cs="Times New Roman" w:eastAsia="Times New Roman" w:hAnsi="Times New Roman"/>
          <w:sz w:val="18"/>
          <w:szCs w:val="18"/>
          <w:u w:val="single" w:color="auto"/>
          <w:color w:val="0000FF"/>
        </w:rPr>
      </w:pPr>
    </w:p>
    <w:p>
      <w:pPr>
        <w:spacing w:after="0"/>
        <w:tabs>
          <w:tab w:leader="none" w:pos="8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144">
        <w:r>
          <w:rPr>
            <w:rFonts w:ascii="Times New Roman" w:cs="Times New Roman" w:eastAsia="Times New Roman" w:hAnsi="Times New Roman"/>
            <w:sz w:val="17"/>
            <w:szCs w:val="17"/>
            <w:u w:val="single" w:color="auto"/>
            <w:color w:val="0000FF"/>
          </w:rPr>
          <w:t>Tredegar 2018 Equity Incentive Plan, as amended and restated (filed as Annex A to Tredegar’s Definitive Proxy Statement on Schedule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-172085</wp:posOffset>
            </wp:positionH>
            <wp:positionV relativeFrom="paragraph">
              <wp:posOffset>-120650</wp:posOffset>
            </wp:positionV>
            <wp:extent cx="7132320" cy="2660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860"/>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14A (File No. 1-10258) filed on March 25, 2021, and incorporated herein by reference)</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37" w:lineRule="exact"/>
        <w:rPr>
          <w:rFonts w:ascii="Times New Roman" w:cs="Times New Roman" w:eastAsia="Times New Roman" w:hAnsi="Times New Roman"/>
          <w:sz w:val="18"/>
          <w:szCs w:val="18"/>
          <w:u w:val="single" w:color="auto"/>
          <w:color w:val="0000FF"/>
        </w:rPr>
      </w:pPr>
    </w:p>
    <w:p>
      <w:pPr>
        <w:jc w:val="center"/>
        <w:ind w:right="2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-184785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00" w:top="1026" w:right="359" w:bottom="1440" w:gutter="0" w:footer="0" w:header="0"/>
        </w:sectPr>
      </w:pPr>
    </w:p>
    <w:bookmarkStart w:id="68" w:name="page69"/>
    <w:bookmarkEnd w:id="68"/>
    <w:p>
      <w:pPr>
        <w:ind w:left="1140" w:right="700" w:hanging="850"/>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147">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10.1 to</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Tredegar’s Current Report on Form 8-K (File No. 1-10258), filed on May 7, 2018, and incorporated herein by reference)</w:t>
        </w:r>
      </w:hyperlink>
    </w:p>
    <w:p>
      <w:pPr>
        <w:spacing w:after="0" w:line="10" w:lineRule="exact"/>
        <w:rPr>
          <w:sz w:val="20"/>
          <w:szCs w:val="20"/>
          <w:color w:val="auto"/>
        </w:rPr>
      </w:pPr>
    </w:p>
    <w:p>
      <w:pPr>
        <w:ind w:left="1140" w:right="380" w:hanging="850"/>
        <w:spacing w:after="0" w:line="226"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148">
        <w:r>
          <w:rPr>
            <w:rFonts w:ascii="Times New Roman" w:cs="Times New Roman" w:eastAsia="Times New Roman" w:hAnsi="Times New Roman"/>
            <w:sz w:val="18"/>
            <w:szCs w:val="18"/>
            <w:u w:val="single" w:color="auto"/>
            <w:color w:val="0000FF"/>
          </w:rPr>
          <w:t>Form of Notice of Nonstatutory Stock Option Grant and Nonstatutory Stock Option Terms and Conditions (filed as Exhibit 10.3 to</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Tredegar Corporation’s Registration Statement on Form S-8 (Registration No. 333-230386), filed on March 19, 2019, and incorporated</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280"/>
        <w:spacing w:after="0"/>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150">
        <w:r>
          <w:rPr>
            <w:rFonts w:ascii="Times New Roman" w:cs="Times New Roman" w:eastAsia="Times New Roman" w:hAnsi="Times New Roman"/>
            <w:sz w:val="17"/>
            <w:szCs w:val="17"/>
            <w:u w:val="single" w:color="auto"/>
            <w:color w:val="0000FF"/>
          </w:rPr>
          <w:t>Form of Executive Change-in-Control Severance Agreement (filed as Exhibit 10.1 of Tredegar’s Current Report on Form 8-K (File No. 1-</w:t>
        </w:r>
      </w:hyperlink>
    </w:p>
    <w:p>
      <w:pPr>
        <w:ind w:left="114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10258), filed on October 4, 2023, and incorporated herein by reference)</w:t>
        </w:r>
      </w:hyperlink>
    </w:p>
    <w:p>
      <w:pPr>
        <w:spacing w:after="0" w:line="16" w:lineRule="exact"/>
        <w:rPr>
          <w:rFonts w:ascii="Times New Roman" w:cs="Times New Roman" w:eastAsia="Times New Roman" w:hAnsi="Times New Roman"/>
          <w:sz w:val="18"/>
          <w:szCs w:val="18"/>
          <w:u w:val="single" w:color="auto"/>
          <w:color w:val="0000FF"/>
        </w:rPr>
      </w:pPr>
    </w:p>
    <w:p>
      <w:pPr>
        <w:jc w:val="both"/>
        <w:ind w:left="1140" w:right="160" w:hanging="850"/>
        <w:spacing w:after="0" w:line="226"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151">
        <w:r>
          <w:rPr>
            <w:rFonts w:ascii="Times New Roman" w:cs="Times New Roman" w:eastAsia="Times New Roman" w:hAnsi="Times New Roman"/>
            <w:sz w:val="18"/>
            <w:szCs w:val="18"/>
            <w:u w:val="single" w:color="auto"/>
            <w:color w:val="0000FF"/>
          </w:rPr>
          <w:t>Standard Buyout Commitment Agreement, dated October 31, 2023, by and between Tredegar Corporation and Massachusetts Mutual Life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Insurance Company (filed as Exhibit 10.1 of Tredegar’s Current Report on Form 8-K (File No. 1-10258), filed on November 6, 2023, and</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herein by reference)</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3771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1140" w:right="440" w:hanging="850"/>
        <w:spacing w:after="0" w:line="256" w:lineRule="auto"/>
        <w:tabs>
          <w:tab w:leader="none" w:pos="11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153">
        <w:r>
          <w:rPr>
            <w:rFonts w:ascii="Times New Roman" w:cs="Times New Roman" w:eastAsia="Times New Roman" w:hAnsi="Times New Roman"/>
            <w:sz w:val="17"/>
            <w:szCs w:val="17"/>
            <w:u w:val="single" w:color="auto"/>
            <w:color w:val="0000FF"/>
          </w:rPr>
          <w:t>Form of Notice of Phantom Unit Award and Phantom Unit Award Terms and Conditions (filed as Exhibit 10.2 to Tredegar’s Quarterly</w:t>
        </w:r>
      </w:hyperlink>
      <w:r>
        <w:rPr>
          <w:rFonts w:ascii="Times New Roman" w:cs="Times New Roman" w:eastAsia="Times New Roman" w:hAnsi="Times New Roman"/>
          <w:sz w:val="17"/>
          <w:szCs w:val="17"/>
          <w:u w:val="single" w:color="auto"/>
          <w:color w:val="0000FF"/>
        </w:rPr>
        <w:t xml:space="preserve"> </w:t>
      </w:r>
      <w:hyperlink r:id="rId153">
        <w:r>
          <w:rPr>
            <w:rFonts w:ascii="Times New Roman" w:cs="Times New Roman" w:eastAsia="Times New Roman" w:hAnsi="Times New Roman"/>
            <w:sz w:val="17"/>
            <w:szCs w:val="17"/>
            <w:u w:val="single" w:color="auto"/>
            <w:color w:val="0000FF"/>
          </w:rPr>
          <w:t>Report on Form 10-Q (File No. 1-10258) for the quarterly period ended March 31, 2024, and incorporated herein by reference)</w:t>
        </w:r>
      </w:hyperlink>
    </w:p>
    <w:p>
      <w:pPr>
        <w:spacing w:after="0" w:line="1" w:lineRule="exact"/>
        <w:rPr>
          <w:sz w:val="20"/>
          <w:szCs w:val="20"/>
          <w:color w:val="auto"/>
        </w:rPr>
      </w:pPr>
    </w:p>
    <w:p>
      <w:pPr>
        <w:ind w:left="1140" w:right="60" w:hanging="1114"/>
        <w:spacing w:after="0" w:line="237" w:lineRule="auto"/>
        <w:tabs>
          <w:tab w:leader="none" w:pos="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*10.21</w:t>
      </w:r>
      <w:r>
        <w:rPr>
          <w:rFonts w:ascii="Times New Roman" w:cs="Times New Roman" w:eastAsia="Times New Roman" w:hAnsi="Times New Roman"/>
          <w:sz w:val="18"/>
          <w:szCs w:val="18"/>
          <w:u w:val="single" w:color="auto"/>
          <w:color w:val="0000FF"/>
        </w:rPr>
        <w:t>Executive Retirement Agreement, General Waiver and Release, dated January 29, 2026, by and between Tredegar Corporation and John M. Steitz</w:t>
      </w:r>
    </w:p>
    <w:p>
      <w:pPr>
        <w:spacing w:after="0" w:line="9" w:lineRule="exact"/>
        <w:rPr>
          <w:rFonts w:ascii="Times New Roman" w:cs="Times New Roman" w:eastAsia="Times New Roman" w:hAnsi="Times New Roman"/>
          <w:sz w:val="18"/>
          <w:szCs w:val="18"/>
          <w:color w:val="auto"/>
        </w:rPr>
      </w:pPr>
    </w:p>
    <w:p>
      <w:pPr>
        <w:ind w:left="1140" w:right="540" w:hanging="1114"/>
        <w:spacing w:after="0" w:line="237" w:lineRule="auto"/>
        <w:tabs>
          <w:tab w:leader="none" w:pos="28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*10.22</w:t>
      </w:r>
      <w:r>
        <w:rPr>
          <w:rFonts w:ascii="Times New Roman" w:cs="Times New Roman" w:eastAsia="Times New Roman" w:hAnsi="Times New Roman"/>
          <w:sz w:val="18"/>
          <w:szCs w:val="18"/>
          <w:u w:val="single" w:color="auto"/>
          <w:color w:val="0000FF"/>
        </w:rPr>
        <w:t>Retirement Release and Equity Vesting Agreement, dated December 31, 2025, by and between Tredegar Corporation and D. Andrew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7132320" cy="265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90"/>
              <w:spacing w:after="0" w:line="204" w:lineRule="exact"/>
              <w:rPr>
                <w:sz w:val="20"/>
                <w:szCs w:val="20"/>
                <w:color w:val="auto"/>
              </w:rPr>
            </w:pPr>
            <w:r>
              <w:rPr>
                <w:rFonts w:ascii="Times New Roman" w:cs="Times New Roman" w:eastAsia="Times New Roman" w:hAnsi="Times New Roman"/>
                <w:sz w:val="18"/>
                <w:szCs w:val="18"/>
                <w:color w:val="auto"/>
              </w:rPr>
              <w:t>19</w:t>
            </w:r>
          </w:p>
        </w:tc>
        <w:tc>
          <w:tcPr>
            <w:tcW w:w="10100" w:type="dxa"/>
            <w:vAlign w:val="bottom"/>
            <w:gridSpan w:val="5"/>
            <w:shd w:val="clear" w:color="auto" w:fill="CCEEFF"/>
          </w:tcPr>
          <w:p>
            <w:pPr>
              <w:spacing w:after="0" w:line="204"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Insider Trading Policy (filed as Exhibit 19 to Tredegar’s Annual Report on Form 10-K (File No. 1-10258) for the year ended December 31,</w:t>
              </w:r>
            </w:hyperlink>
          </w:p>
        </w:tc>
      </w:tr>
      <w:tr>
        <w:trPr>
          <w:trHeight w:val="190"/>
        </w:trPr>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3160" w:type="dxa"/>
            <w:vAlign w:val="bottom"/>
            <w:tcBorders>
              <w:top w:val="single" w:sz="8" w:color="0000FF"/>
              <w:bottom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2024, and incorporated herein by reference)</w:t>
              </w:r>
            </w:hyperlink>
          </w:p>
        </w:tc>
        <w:tc>
          <w:tcPr>
            <w:tcW w:w="6860" w:type="dxa"/>
            <w:vAlign w:val="bottom"/>
            <w:tcBorders>
              <w:top w:val="single" w:sz="8" w:color="0000FF"/>
              <w:bottom w:val="single" w:sz="8" w:color="CCEEFF"/>
            </w:tcBorders>
            <w:gridSpan w:val="2"/>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2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tcPr>
          <w:p>
            <w:pPr>
              <w:jc w:val="right"/>
              <w:ind w:right="590"/>
              <w:spacing w:after="0" w:line="189" w:lineRule="exact"/>
              <w:rPr>
                <w:sz w:val="20"/>
                <w:szCs w:val="20"/>
                <w:color w:val="auto"/>
              </w:rPr>
            </w:pPr>
            <w:r>
              <w:rPr>
                <w:rFonts w:ascii="Times New Roman" w:cs="Times New Roman" w:eastAsia="Times New Roman" w:hAnsi="Times New Roman"/>
                <w:sz w:val="18"/>
                <w:szCs w:val="18"/>
                <w:color w:val="auto"/>
              </w:rPr>
              <w:t>21</w:t>
            </w:r>
          </w:p>
        </w:tc>
        <w:tc>
          <w:tcPr>
            <w:tcW w:w="1010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FF"/>
              </w:rPr>
              <w:t>Subsidiaries of Tredegar</w:t>
            </w:r>
          </w:p>
        </w:tc>
      </w:tr>
      <w:tr>
        <w:trPr>
          <w:trHeight w:val="21"/>
        </w:trPr>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9"/>
        </w:trPr>
        <w:tc>
          <w:tcPr>
            <w:tcW w:w="2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98"/>
              </w:rPr>
              <w:t>+</w:t>
            </w:r>
          </w:p>
        </w:tc>
        <w:tc>
          <w:tcPr>
            <w:tcW w:w="940" w:type="dxa"/>
            <w:vAlign w:val="bottom"/>
            <w:shd w:val="clear" w:color="auto" w:fill="CCEEFF"/>
          </w:tcPr>
          <w:p>
            <w:pPr>
              <w:jc w:val="right"/>
              <w:ind w:right="590"/>
              <w:spacing w:after="0" w:line="189" w:lineRule="exact"/>
              <w:rPr>
                <w:sz w:val="20"/>
                <w:szCs w:val="20"/>
                <w:color w:val="auto"/>
              </w:rPr>
            </w:pPr>
            <w:r>
              <w:rPr>
                <w:rFonts w:ascii="Times New Roman" w:cs="Times New Roman" w:eastAsia="Times New Roman" w:hAnsi="Times New Roman"/>
                <w:sz w:val="18"/>
                <w:szCs w:val="18"/>
                <w:color w:val="auto"/>
              </w:rPr>
              <w:t>23</w:t>
            </w:r>
          </w:p>
        </w:tc>
        <w:tc>
          <w:tcPr>
            <w:tcW w:w="1010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KPMG LLP, Independent Registered Public Accounting Firm</w:t>
            </w:r>
          </w:p>
        </w:tc>
      </w:tr>
      <w:tr>
        <w:trPr>
          <w:trHeight w:val="20"/>
        </w:trPr>
        <w:tc>
          <w:tcPr>
            <w:tcW w:w="2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4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ind w:left="280" w:hanging="254"/>
        <w:spacing w:after="0" w:line="234" w:lineRule="auto"/>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31.1</w:t>
      </w:r>
      <w:r>
        <w:rPr>
          <w:rFonts w:ascii="Times New Roman" w:cs="Times New Roman" w:eastAsia="Times New Roman" w:hAnsi="Times New Roman"/>
          <w:sz w:val="17"/>
          <w:szCs w:val="17"/>
          <w:u w:val="single" w:color="auto"/>
          <w:color w:val="0000FF"/>
        </w:rPr>
        <w:t>Certification of President and Chief Executive Officer (Principal Executive Officer) of Tredegar, pursuant to Rules 13a-14(a) and 15d-14(a)</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promulgated under the Securities Exchange Act of 1934, as adopted pursuant to Section 302 of the Sarbanes-Oxley Act of 2002</w:t>
      </w:r>
    </w:p>
    <w:p>
      <w:pPr>
        <w:spacing w:after="0" w:line="16" w:lineRule="exact"/>
        <w:rPr>
          <w:rFonts w:ascii="Times New Roman" w:cs="Times New Roman" w:eastAsia="Times New Roman" w:hAnsi="Times New Roman"/>
          <w:sz w:val="18"/>
          <w:szCs w:val="18"/>
          <w:color w:val="auto"/>
        </w:rPr>
      </w:pPr>
    </w:p>
    <w:p>
      <w:pPr>
        <w:ind w:left="1140" w:right="160" w:hanging="1114"/>
        <w:spacing w:after="0" w:line="256" w:lineRule="auto"/>
        <w:tabs>
          <w:tab w:leader="none" w:pos="2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w:t>
      </w:r>
      <w:r>
        <w:rPr>
          <w:rFonts w:ascii="Times New Roman" w:cs="Times New Roman" w:eastAsia="Times New Roman" w:hAnsi="Times New Roman"/>
          <w:sz w:val="17"/>
          <w:szCs w:val="17"/>
          <w:u w:val="single" w:color="auto"/>
          <w:color w:val="0000FF"/>
        </w:rPr>
        <w:t>Certification of Vice President and Chief Financial Officer (Principal Financial Officer) of Tredegar, pursuant to Rules 13a-14(a) and 15d-14(a) promulgated under the Securities Exchange Act of 1934, as adopted pursuant to Section 302 of the Sarbanes-Oxley Act of 2002</w:t>
      </w:r>
    </w:p>
    <w:p>
      <w:pPr>
        <w:spacing w:after="0" w:line="1" w:lineRule="exact"/>
        <w:rPr>
          <w:rFonts w:ascii="Times New Roman" w:cs="Times New Roman" w:eastAsia="Times New Roman" w:hAnsi="Times New Roman"/>
          <w:sz w:val="18"/>
          <w:szCs w:val="18"/>
          <w:color w:val="auto"/>
        </w:rPr>
      </w:pPr>
    </w:p>
    <w:p>
      <w:pPr>
        <w:ind w:left="1140" w:right="320" w:hanging="1114"/>
        <w:spacing w:after="0" w:line="237" w:lineRule="auto"/>
        <w:tabs>
          <w:tab w:leader="none" w:pos="2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18"/>
          <w:szCs w:val="18"/>
          <w:u w:val="single" w:color="auto"/>
          <w:color w:val="0000FF"/>
        </w:rPr>
        <w:t>Certification of President and Chief Executive Officer (Principal Executive Officer) of Tredegar, pursuant to 18 U.S.C. Section 1350, as adopted pursuant to Section 906 of the Sarbanes-Oxley Act of 2002</w:t>
      </w:r>
    </w:p>
    <w:p>
      <w:pPr>
        <w:spacing w:after="0" w:line="9" w:lineRule="exact"/>
        <w:rPr>
          <w:rFonts w:ascii="Times New Roman" w:cs="Times New Roman" w:eastAsia="Times New Roman" w:hAnsi="Times New Roman"/>
          <w:sz w:val="18"/>
          <w:szCs w:val="18"/>
          <w:color w:val="auto"/>
        </w:rPr>
      </w:pPr>
    </w:p>
    <w:p>
      <w:pPr>
        <w:ind w:left="1140" w:right="40" w:hanging="1114"/>
        <w:spacing w:after="0" w:line="237" w:lineRule="auto"/>
        <w:tabs>
          <w:tab w:leader="none" w:pos="2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18"/>
          <w:szCs w:val="18"/>
          <w:u w:val="single" w:color="auto"/>
          <w:color w:val="0000FF"/>
        </w:rPr>
        <w:t>Certification of Vice President and Chief Financial Officer (Principal Financial Officer) of Tredegar,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132320" cy="265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140" w:right="260" w:hanging="858"/>
        <w:spacing w:after="0" w:line="237" w:lineRule="auto"/>
        <w:tabs>
          <w:tab w:leader="none" w:pos="1140" w:val="left"/>
        </w:tabs>
        <w:numPr>
          <w:ilvl w:val="1"/>
          <w:numId w:val="38"/>
        </w:numPr>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Executive Incentive-based Compensation Recoupment Policy (filed as exhibit 97 to Tredegar's Annual Report on Form 10-K (File no. 1-</w:t>
        </w:r>
      </w:hyperlink>
      <w:hyperlink r:id="rId158">
        <w:r>
          <w:rPr>
            <w:rFonts w:ascii="Times New Roman" w:cs="Times New Roman" w:eastAsia="Times New Roman" w:hAnsi="Times New Roman"/>
            <w:sz w:val="18"/>
            <w:szCs w:val="18"/>
            <w:u w:val="single" w:color="auto"/>
            <w:color w:val="0000FF"/>
          </w:rPr>
          <w:t>10258) for the year ended December 31, 2023, and incorporated her by reference)</w:t>
        </w:r>
      </w:hyperlink>
    </w:p>
    <w:p>
      <w:pPr>
        <w:spacing w:after="0" w:line="9" w:lineRule="exact"/>
        <w:rPr>
          <w:rFonts w:ascii="Times New Roman" w:cs="Times New Roman" w:eastAsia="Times New Roman" w:hAnsi="Times New Roman"/>
          <w:sz w:val="18"/>
          <w:szCs w:val="18"/>
          <w:u w:val="single" w:color="auto"/>
          <w:color w:val="0000FF"/>
        </w:rPr>
      </w:pPr>
    </w:p>
    <w:p>
      <w:pPr>
        <w:ind w:left="280" w:hanging="254"/>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7"/>
          <w:szCs w:val="17"/>
          <w:color w:val="auto"/>
        </w:rPr>
        <w:t>XBRL Instance Document and Related Items</w:t>
      </w:r>
    </w:p>
    <w:p>
      <w:pPr>
        <w:spacing w:after="0" w:line="27"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(formatted in iXBRL and contained in Exhibit 101)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6" w:lineRule="exact"/>
        <w:rPr>
          <w:rFonts w:ascii="Times New Roman" w:cs="Times New Roman" w:eastAsia="Times New Roman" w:hAnsi="Times New Roman"/>
          <w:sz w:val="18"/>
          <w:szCs w:val="18"/>
          <w:color w:val="auto"/>
        </w:rPr>
      </w:pPr>
    </w:p>
    <w:p>
      <w:pPr>
        <w:ind w:left="20" w:right="5600" w:firstLine="6"/>
        <w:spacing w:after="0" w:line="548" w:lineRule="auto"/>
        <w:tabs>
          <w:tab w:leader="none" w:pos="4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compensatory plans or arrangements or management contracts. + Filed herewith</w:t>
      </w:r>
    </w:p>
    <w:p>
      <w:pPr>
        <w:spacing w:after="0" w:line="35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TREDEGAR CORPORATION</w:t>
            </w:r>
          </w:p>
        </w:tc>
      </w:tr>
      <w:tr>
        <w:trPr>
          <w:trHeight w:val="234"/>
        </w:trPr>
        <w:tc>
          <w:tcPr>
            <w:tcW w:w="3740" w:type="dxa"/>
            <w:vAlign w:val="bottom"/>
          </w:tcPr>
          <w:p>
            <w:pPr>
              <w:spacing w:after="0"/>
              <w:rPr>
                <w:sz w:val="20"/>
                <w:szCs w:val="20"/>
                <w:color w:val="auto"/>
              </w:rPr>
            </w:pPr>
          </w:p>
        </w:tc>
        <w:tc>
          <w:tcPr>
            <w:tcW w:w="748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(Registrant)</w:t>
            </w:r>
          </w:p>
        </w:tc>
      </w:tr>
      <w:tr>
        <w:trPr>
          <w:trHeight w:val="37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11, 2026</w:t>
            </w:r>
          </w:p>
        </w:tc>
        <w:tc>
          <w:tcPr>
            <w:tcW w:w="7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By   /s/ Arijit (Bapi) DasGupta</w:t>
            </w:r>
          </w:p>
        </w:tc>
      </w:tr>
      <w:tr>
        <w:trPr>
          <w:trHeight w:val="218"/>
        </w:trPr>
        <w:tc>
          <w:tcPr>
            <w:tcW w:w="37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Arijit (Bapi) DasGupta</w:t>
            </w:r>
          </w:p>
        </w:tc>
      </w:tr>
      <w:tr>
        <w:trPr>
          <w:trHeight w:val="234"/>
        </w:trPr>
        <w:tc>
          <w:tcPr>
            <w:tcW w:w="3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38"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11, 2026.</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328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98"/>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Arijit (Bapi) DasGupta</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(Arijit (Bapi) DasGupta)</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w w:val="99"/>
              </w:rPr>
              <w:t>Vice President, Chief Financial Officer and Treasurer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(Frasier W. Brickhouse, II)</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Paul Goldschmiedt</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Corporate Controller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(Paul Goldschmiedt)</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(Gregory A. Pratt)</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(George C. Freeman,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(Kenneth R. Newsome)</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David Parks</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(David Parks)</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(Thomas G. Snead, Jr.)</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(Carl E. Tack, III)</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3"/>
        </w:trPr>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44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Christine R. Vlahcevic</w:t>
            </w:r>
          </w:p>
        </w:tc>
        <w:tc>
          <w:tcPr>
            <w:tcW w:w="42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00" w:type="dxa"/>
            <w:vAlign w:val="bottom"/>
          </w:tcPr>
          <w:p>
            <w:pPr>
              <w:spacing w:after="0"/>
              <w:rPr>
                <w:sz w:val="19"/>
                <w:szCs w:val="19"/>
                <w:color w:val="auto"/>
              </w:rPr>
            </w:pPr>
          </w:p>
        </w:tc>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(Christine R. Vlahcevic)</w:t>
            </w:r>
          </w:p>
        </w:tc>
        <w:tc>
          <w:tcPr>
            <w:tcW w:w="3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386"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22"/>
          <w:szCs w:val="22"/>
          <w:b w:val="1"/>
          <w:bCs w:val="1"/>
          <w:u w:val="single" w:color="auto"/>
          <w:color w:val="auto"/>
        </w:rPr>
        <w:t>EXECUTIVE RETIREMENT AGREEMENT, GENERAL WAIVER AND RELEASE</w:t>
      </w:r>
    </w:p>
    <w:p>
      <w:pPr>
        <w:spacing w:after="0" w:line="10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22"/>
          <w:szCs w:val="22"/>
          <w:color w:val="auto"/>
        </w:rPr>
        <w:t>This Executive Retirement Agreement, General Waiver and Release (“Agreement”) is between John M. Steitz, on behalf of himself and his agents, representatives, assignees, heirs, executors, beneficiaries, and trustees (collectively “Executive”), and Tredegar Corporation, on behalf of itself, its divisions, parents, subsidiaries, affiliates, and each of their predecessors, successors, related entities, directors, officers, fiduciaries, employees, agents, attorneys and representatives (collectively “Employer”). In consideration of the mutual covenants and promises contained herein, the parties hereby agree as follows:</w:t>
      </w:r>
    </w:p>
    <w:p>
      <w:pPr>
        <w:spacing w:after="0" w:line="55" w:lineRule="exact"/>
        <w:rPr>
          <w:sz w:val="20"/>
          <w:szCs w:val="20"/>
          <w:color w:val="auto"/>
        </w:rPr>
      </w:pPr>
    </w:p>
    <w:p>
      <w:pPr>
        <w:jc w:val="both"/>
        <w:ind w:firstLine="413"/>
        <w:spacing w:after="0" w:line="250" w:lineRule="auto"/>
        <w:tabs>
          <w:tab w:leader="none" w:pos="999"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Retirement; Resignation of Officer and Director Positions; Retirement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was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employed as the President and CEO of Employer, and by virtue of that role, Executive was also a member of Employer’s Board of Directors. Executive retired from Employer, resigned from the Tredegar Corporation Board of Directors, and further resigned from any officer or director positions Executive held with any Tredegar Corporation subsidiary on December 31, 2025 (“Retirement Date”). Executive received Executive’s normal compensation through the Retirement Date, and Executive’s benefits terminated in accordance with the applicable policies and summary plan descriptions. In complete settlement of any and all claims that Executive may have against Employer and other covenants and promises contained herein:</w:t>
      </w:r>
    </w:p>
    <w:p>
      <w:pPr>
        <w:spacing w:after="0" w:line="63" w:lineRule="exact"/>
        <w:rPr>
          <w:sz w:val="20"/>
          <w:szCs w:val="20"/>
          <w:color w:val="auto"/>
        </w:rPr>
      </w:pPr>
    </w:p>
    <w:p>
      <w:pPr>
        <w:jc w:val="both"/>
        <w:ind w:firstLine="413"/>
        <w:spacing w:after="0" w:line="256" w:lineRule="auto"/>
        <w:tabs>
          <w:tab w:leader="none" w:pos="77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Awards</w:t>
      </w:r>
      <w:r>
        <w:rPr>
          <w:rFonts w:ascii="Times New Roman" w:cs="Times New Roman" w:eastAsia="Times New Roman" w:hAnsi="Times New Roman"/>
          <w:sz w:val="22"/>
          <w:szCs w:val="22"/>
          <w:color w:val="auto"/>
        </w:rPr>
        <w:t>. Employer agrees that the following outstanding restricted stock awards (“Restricted Stock”) shall vest to the same extent and on the same date, that such Restricted Stock would have vested if Executive had remained employed through and including the 2026 vesting date, notwithstanding that Executive’s Retirement Date precedes the 2026 vesting date:</w:t>
      </w:r>
    </w:p>
    <w:p>
      <w:pPr>
        <w:spacing w:after="0" w:line="62" w:lineRule="exact"/>
        <w:rPr>
          <w:sz w:val="20"/>
          <w:szCs w:val="20"/>
          <w:color w:val="auto"/>
        </w:rPr>
      </w:pPr>
    </w:p>
    <w:tbl>
      <w:tblPr>
        <w:tblLayout w:type="fixed"/>
        <w:tblInd w:w="43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Original Award Date</w:t>
            </w:r>
          </w:p>
        </w:tc>
        <w:tc>
          <w:tcPr>
            <w:tcW w:w="34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Number of Shares</w:t>
            </w:r>
          </w:p>
        </w:tc>
        <w:tc>
          <w:tcPr>
            <w:tcW w:w="31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Vesting Date</w:t>
            </w:r>
          </w:p>
        </w:tc>
      </w:tr>
      <w:tr>
        <w:trPr>
          <w:trHeight w:val="290"/>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May 11, 2023</w:t>
            </w:r>
          </w:p>
        </w:tc>
        <w:tc>
          <w:tcPr>
            <w:tcW w:w="3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75,000 (as amended)</w:t>
            </w:r>
          </w:p>
        </w:tc>
        <w:tc>
          <w:tcPr>
            <w:tcW w:w="31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May 11, 2026</w:t>
            </w:r>
          </w:p>
        </w:tc>
      </w:tr>
    </w:tbl>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Any remaining restricted stock, performance unit, and phantom unit awards will be forfeited.</w:t>
      </w:r>
    </w:p>
    <w:p>
      <w:pPr>
        <w:spacing w:after="0" w:line="98" w:lineRule="exact"/>
        <w:rPr>
          <w:sz w:val="20"/>
          <w:szCs w:val="20"/>
          <w:color w:val="auto"/>
        </w:rPr>
      </w:pPr>
    </w:p>
    <w:p>
      <w:pPr>
        <w:jc w:val="both"/>
        <w:ind w:firstLine="413"/>
        <w:spacing w:after="0" w:line="251" w:lineRule="auto"/>
        <w:tabs>
          <w:tab w:leader="none" w:pos="787"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Non-Compete</w:t>
      </w:r>
      <w:r>
        <w:rPr>
          <w:rFonts w:ascii="Times New Roman" w:cs="Times New Roman" w:eastAsia="Times New Roman" w:hAnsi="Times New Roman"/>
          <w:sz w:val="22"/>
          <w:szCs w:val="22"/>
          <w:color w:val="auto"/>
        </w:rPr>
        <w:t xml:space="preserve">. Employer agrees to release Executive from certain restrictive covenants. Executive and Employer entered into an Employee Non-Compete Agreement (“NCA”), for the benefit of Employer and its affiliates, a copy of which is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for Executive’s convenience. Employer agrees to release Executive from paragraphs 2 (Non-Competition Covenant) and 6 of the NCA as of the Retirement Date, and as a result such paragraphs shall not be enforceable by Employer with respect to any acts by Executive taken after the Retirement Date. All other covenants in the NCA remain in full force and effect.</w:t>
      </w:r>
    </w:p>
    <w:p>
      <w:pPr>
        <w:spacing w:after="0" w:line="46"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22"/>
          <w:szCs w:val="22"/>
          <w:color w:val="auto"/>
        </w:rPr>
        <w:t>Executive acknowledges that the Restricted Stock and Release of the NCA described in this Section 1 (collectively, “Retirement Benefits”) constitutes valid and sufficient consideration for the promises contained in the Agreement and that Employer was not otherwise obligated to provide Executive such benefit. Executive hereby agrees that the performances described in Section 1 are all that Executive shall be entitled to receive from Employer, except (i) accrued, unused vacation time, if any, which will be paid pursuant to the Employer’s policy; (ii) vested qualified retirement benefits or equity awards, if any, to which Executive may be entitled under</w:t>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Employer’s ERISA plans or equity plans; and (iii) the right to continuation in Employer’s group health insurance plans as provided by COBRA, if applicable.</w:t>
      </w:r>
    </w:p>
    <w:p>
      <w:pPr>
        <w:spacing w:after="0" w:line="32" w:lineRule="exact"/>
        <w:rPr>
          <w:sz w:val="20"/>
          <w:szCs w:val="20"/>
          <w:color w:val="auto"/>
        </w:rPr>
      </w:pPr>
    </w:p>
    <w:p>
      <w:pPr>
        <w:jc w:val="both"/>
        <w:ind w:firstLine="413"/>
        <w:spacing w:after="0" w:line="249" w:lineRule="auto"/>
        <w:tabs>
          <w:tab w:leader="none" w:pos="837"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 Misconduct Resulting in Cessation of Retirement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any conduct occurring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after the Retirement Date that materially harms the reputation, business interests, or legal standing of Employer or any of its affiliates shall constitute misconduct. Such conduct includes, but is not limited to: (a) any act of violence or threatening behavior by Executive towards employees, vendors, or customers of Employer; (b) destruction of property belonging to Employer or its employees, vendors or customers; (c) publication of any materially false or disparaging information concerning Employer or its employees, vendors, customers or business practices that damages the reputation of the aggrieved party; or (d) intentional disclosure or misuse of Employer’s trade secrets or confidential information in violation of any continuing obligations identified herein.</w:t>
      </w:r>
    </w:p>
    <w:p>
      <w:pPr>
        <w:spacing w:after="0" w:line="64"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22"/>
          <w:szCs w:val="22"/>
          <w:color w:val="auto"/>
        </w:rPr>
        <w:t>In the event such misconduct occurs, Employer shall be entitled to (i) cease any remaining Retirement Benefits not yet vested; or (ii) seek all appropriate legal and equitable relief as a consequence of Executive’s misconduct, as well as any and all damages, expenses, attorneys’ fees, and costs that Employer incurs as a result of such misconduct.</w:t>
      </w:r>
    </w:p>
    <w:p>
      <w:pPr>
        <w:spacing w:after="0" w:line="47" w:lineRule="exact"/>
        <w:rPr>
          <w:sz w:val="20"/>
          <w:szCs w:val="20"/>
          <w:color w:val="auto"/>
        </w:rPr>
      </w:pPr>
    </w:p>
    <w:p>
      <w:pPr>
        <w:jc w:val="both"/>
        <w:ind w:firstLine="413"/>
        <w:spacing w:after="0" w:line="262" w:lineRule="auto"/>
        <w:tabs>
          <w:tab w:leader="none" w:pos="837" w:val="left"/>
        </w:tabs>
        <w:numPr>
          <w:ilvl w:val="0"/>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General Release.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hereby waives, releases and forever discharges Employer from any and all KNOWN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UNKNOWN actions, causes of action, claims or liabilities of any kind (“Claims”) which have been or could be asserted against Employer by reason of his employment and/or retirement from Employer or resignation from the Board arising up to and including the date Executive signs this Agreement, including but not limited to any and all Claims arising under Title VII of the Civil Rights Act of 1964, the Executive Retirement Income Security Act, the Rehabilitation Act of 1973, the Americans with Disabilities Act, the Family and Medical Leave Act, the Fair Labor Standards Act, the Equal Pay Act, the Occupational Safety and Health Act, the Genetic Information Nondiscrimination Act, the Sarbanes-Oxley Act, the Dodd-Frank Wall Street Reform and Consumer Program Act, the False Claims Act, the Virginia Human Rights Act, each as may be amended, and/or any and all other federal, state, local, or municipal employment discrimination statutes, regulations, executive orders and/or ordinances pertaining to employment, as well as Claims under state contract or tort law including, but not limited to, those based on allegations of wrongful discharge, breach of contract, promissory estoppel, defamation, and infliction of emotional distress.</w:t>
      </w:r>
    </w:p>
    <w:p>
      <w:pPr>
        <w:spacing w:after="0" w:line="43" w:lineRule="exact"/>
        <w:rPr>
          <w:rFonts w:ascii="Times New Roman" w:cs="Times New Roman" w:eastAsia="Times New Roman" w:hAnsi="Times New Roman"/>
          <w:sz w:val="21"/>
          <w:szCs w:val="21"/>
          <w:b w:val="1"/>
          <w:bCs w:val="1"/>
          <w:color w:val="auto"/>
        </w:rPr>
      </w:pPr>
    </w:p>
    <w:p>
      <w:pPr>
        <w:jc w:val="both"/>
        <w:ind w:firstLine="413"/>
        <w:spacing w:after="0" w:line="250" w:lineRule="auto"/>
        <w:tabs>
          <w:tab w:leader="none" w:pos="81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Exclusions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Excluded from the General Release in Section 3 are any claims which cannot be waived by law,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rights Executive may have to workers’ compensation or unemployment insurance benefits, any rights with regard to vested benefits under ERISA or any rights Executive may have under this Agreement. Executive understands and acknowledges that the General Release in Section 3 does not release Executive’s right to file a charge with, or participate in, any investigation or proceeding conducted by any federal, state, or local governmental agency or entity, including the Equal Employment Opportunity Commission. Executive is waiving, however, to the fullest extent permitted by law, any right to any monetary recovery or any award of damages in connection with such a charge, investigation or proceeding.</w:t>
      </w:r>
    </w:p>
    <w:p>
      <w:pPr>
        <w:spacing w:after="0" w:line="58" w:lineRule="exact"/>
        <w:rPr>
          <w:rFonts w:ascii="Times New Roman" w:cs="Times New Roman" w:eastAsia="Times New Roman" w:hAnsi="Times New Roman"/>
          <w:sz w:val="22"/>
          <w:szCs w:val="22"/>
          <w:b w:val="1"/>
          <w:bCs w:val="1"/>
          <w:color w:val="auto"/>
        </w:rPr>
      </w:pPr>
    </w:p>
    <w:p>
      <w:pPr>
        <w:jc w:val="both"/>
        <w:ind w:firstLine="413"/>
        <w:spacing w:after="0" w:line="259" w:lineRule="auto"/>
        <w:tabs>
          <w:tab w:leader="none" w:pos="891"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Dismissal of Claims; No Lawsuits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Additionally, because of Executive’s release and waiver of all claims, actions,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causes of action and liabilities, Executive agrees and represents that he has withdrawn, dismissed and/or discontinued all complaints, grievances, charges, suits</w:t>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and/or actions of any kind that had been initiated or conducted on behalf of him with any agencies, departments, courts, commissions, and/or other tribunals or entities of any kind against Employer. Executive promises never to file a lawsuit asserting any claims that are released in Section 3. In the event Executive breaches this Section 5, Executive shall pay to Employer all of its expenses incurred as a result of such breach, including, but not limited to, reasonable attorneys’ fees, expenses, and costs.</w:t>
      </w:r>
    </w:p>
    <w:p>
      <w:pPr>
        <w:spacing w:after="0" w:line="38" w:lineRule="exact"/>
        <w:rPr>
          <w:sz w:val="20"/>
          <w:szCs w:val="20"/>
          <w:color w:val="auto"/>
        </w:rPr>
      </w:pPr>
    </w:p>
    <w:p>
      <w:pPr>
        <w:jc w:val="both"/>
        <w:ind w:firstLine="413"/>
        <w:spacing w:after="0" w:line="249" w:lineRule="auto"/>
        <w:tabs>
          <w:tab w:leader="none" w:pos="958"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the terms of this Agreement, the discussions that led to its creation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execution, and any claims, allegations, and disputes that are being resolved by this Agreement, are to remain strictly confidential and shall not be disclosed or communicated to any person, unless disclosure is required or protected by law or a court order. Executive may, however, disclose the terms of this Agreement to his attorney, tax advisor(s) and members of Executive’s immediate family, provided that they agree to be bound by the terms of this promise of confidentiality with Executive to be responsible for their compliance. A breach of this provision shall be considered a material breach. Executive warrants that he has not disclosed the Retirement Benefits offered hereunder, or the terms hereof up to and including the date of execution of this Agreement, except as provided in this Agreement. If Executive violates this confidentiality provision, he shall be liable to Employer for its reasonable attorneys’ fees and other litigation costs incurred in enforcing this confidentiality provision, as well as all damages available at law.</w:t>
      </w:r>
    </w:p>
    <w:p>
      <w:pPr>
        <w:spacing w:after="0" w:line="61" w:lineRule="exact"/>
        <w:rPr>
          <w:rFonts w:ascii="Times New Roman" w:cs="Times New Roman" w:eastAsia="Times New Roman" w:hAnsi="Times New Roman"/>
          <w:sz w:val="22"/>
          <w:szCs w:val="22"/>
          <w:b w:val="1"/>
          <w:bCs w:val="1"/>
          <w:color w:val="auto"/>
        </w:rPr>
      </w:pPr>
    </w:p>
    <w:p>
      <w:pPr>
        <w:jc w:val="both"/>
        <w:ind w:firstLine="413"/>
        <w:spacing w:after="0" w:line="250" w:lineRule="auto"/>
        <w:tabs>
          <w:tab w:leader="none" w:pos="985"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Non-Disparagement.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not, whether verbally, in writing, electronically, or by any other form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 disparage, criticize, condemn, make false and/or harmful statement regarding, or impugn the reputation or character of, Employer or any of its officers, employees, directors, or agents. If Executive violates this non-disparagement covenant, he shall be liable to Employer for its damages, reasonable attorneys’ fees, and costs incurred in enforcing this non-disparagement covenant. Notwithstanding the foregoing, nothing in this Agreement shall prevent Executive from testifying truthfully if compelled by applicable law or legal process or reporting unlawful activity to any governmental authorities for investigation.</w:t>
      </w:r>
    </w:p>
    <w:p>
      <w:pPr>
        <w:spacing w:after="0" w:line="58" w:lineRule="exact"/>
        <w:rPr>
          <w:rFonts w:ascii="Times New Roman" w:cs="Times New Roman" w:eastAsia="Times New Roman" w:hAnsi="Times New Roman"/>
          <w:sz w:val="22"/>
          <w:szCs w:val="22"/>
          <w:b w:val="1"/>
          <w:bCs w:val="1"/>
          <w:color w:val="auto"/>
        </w:rPr>
      </w:pPr>
    </w:p>
    <w:p>
      <w:pPr>
        <w:ind w:right="20" w:firstLine="413"/>
        <w:spacing w:after="0" w:line="275" w:lineRule="auto"/>
        <w:tabs>
          <w:tab w:leader="none" w:pos="972"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Affiliates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u w:val="single" w:color="auto"/>
          <w:color w:val="auto"/>
        </w:rPr>
        <w:t>Employer</w:t>
      </w:r>
      <w:r>
        <w:rPr>
          <w:rFonts w:ascii="Times New Roman" w:cs="Times New Roman" w:eastAsia="Times New Roman" w:hAnsi="Times New Roman"/>
          <w:sz w:val="22"/>
          <w:szCs w:val="22"/>
          <w:color w:val="auto"/>
        </w:rPr>
        <w:t>” as used in Section 7 (Non-Disparagement), and Section 9 (Executive Secrecy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Agreements) shall mean: (a) Tredegar Corporation; and (b) the affiliates of Tredegar Corporation.</w:t>
      </w:r>
    </w:p>
    <w:p>
      <w:pPr>
        <w:spacing w:after="0" w:line="27" w:lineRule="exact"/>
        <w:rPr>
          <w:rFonts w:ascii="Times New Roman" w:cs="Times New Roman" w:eastAsia="Times New Roman" w:hAnsi="Times New Roman"/>
          <w:sz w:val="22"/>
          <w:szCs w:val="22"/>
          <w:b w:val="1"/>
          <w:bCs w:val="1"/>
          <w:color w:val="auto"/>
        </w:rPr>
      </w:pPr>
    </w:p>
    <w:p>
      <w:pPr>
        <w:jc w:val="both"/>
        <w:ind w:firstLine="413"/>
        <w:spacing w:after="0" w:line="253" w:lineRule="auto"/>
        <w:tabs>
          <w:tab w:leader="none" w:pos="877"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 Secrecy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that after his Retirement Date, he will remain bound by and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comply with the terms of the confidentiality and non-compete agreements previously executed by Executive, except to the extent such terms are released in Section 1 herein. The agreements in this Section are collectively referred to herein as the “Executive Secrecy Agreements.”</w:t>
      </w:r>
    </w:p>
    <w:p>
      <w:pPr>
        <w:spacing w:after="0" w:line="58"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22"/>
          <w:szCs w:val="22"/>
          <w:color w:val="auto"/>
        </w:rPr>
        <w:t>Nothing in any code, agreement, manual or in any other policies, procedures or agreements of Employer shall prohibit or restrict Executive or his counsel from providing information in connection with: (a) any disclosure of information required by law or legal process; provided Executive has provided advance notice to Employer as further described below; (b) reporting possible violations of federal or state law or regulation to any governmental agency, commission or entity, including, but not limited to, the Department of Justice, the Securities and Exchange Commission, the Department of Labor, the United States Congress, any state Attorney General,</w:t>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self-regulatory organization and/or any agency Inspector General (collectively “Government Agencies”); (c) filing a charge or complaint with Government Agencies; (d) making disclosures that are protected under the whistleblower provisions of federal or state law or regulation (collectively, the “Whistleblower Statutes”); or (e) initiating communications directly with, responding to any inquiry from, volunteering information to, testifying or otherwise participating in or assisting in any inquiry, investigation or proceeding brought by Government Agencies in connection with (b) through (d). Executive is not required to advise or seek permission from Employer before engaging in any activity set forth in (b) through (e). Further, Employer does not in any manner limit Executive’s right to receive an award from Government Agencies for information provided to Government Agencies or pursuant to the Whistleblower Statutes.</w:t>
      </w:r>
    </w:p>
    <w:p>
      <w:pPr>
        <w:spacing w:after="0" w:line="60"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22"/>
          <w:szCs w:val="22"/>
          <w:color w:val="auto"/>
        </w:rPr>
        <w:t>To the extent permitted by law, Executive agrees to give Employer timely and prompt written notice either personally delivered, sent by reliable overnight courier, telecopied or mailed by first class mail, return receipt requested, to Tredegar Corporation, 1100 Boulders Parkway, Richmond, VA 23225 Attention: General Counsel, Facsimile: (804) 330-1010 of the receipt of any subpoena, court order or other legal process compelling the disclosure of any information and/or documents described so as to allow Employer a reasonable opportunity to take such action as may be necessary in order to protect such information and/or documents from disclosure.</w:t>
      </w:r>
    </w:p>
    <w:p>
      <w:pPr>
        <w:spacing w:after="0" w:line="56" w:lineRule="exact"/>
        <w:rPr>
          <w:sz w:val="20"/>
          <w:szCs w:val="20"/>
          <w:color w:val="auto"/>
        </w:rPr>
      </w:pPr>
    </w:p>
    <w:p>
      <w:pPr>
        <w:jc w:val="both"/>
        <w:ind w:firstLine="413"/>
        <w:spacing w:after="0" w:line="251" w:lineRule="auto"/>
        <w:tabs>
          <w:tab w:leader="none" w:pos="999"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 Acknowledgments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also agrees that he (i) has been paid for all hours worked, including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wages, overtime, bonuses and incentive compensation due to him; (ii) has been paid for any and all other costs and expenses that Executive may have otherwise incurred prior to the Retirement Date, and for which he otherwise may have been eligible for reimbursement or payment by Employer as an employee; and (iii) has received all leave during his employment as required by applicable law.</w:t>
      </w:r>
    </w:p>
    <w:p>
      <w:pPr>
        <w:spacing w:after="0" w:line="54" w:lineRule="exact"/>
        <w:rPr>
          <w:rFonts w:ascii="Times New Roman" w:cs="Times New Roman" w:eastAsia="Times New Roman" w:hAnsi="Times New Roman"/>
          <w:sz w:val="22"/>
          <w:szCs w:val="22"/>
          <w:b w:val="1"/>
          <w:bCs w:val="1"/>
          <w:color w:val="auto"/>
        </w:rPr>
      </w:pPr>
    </w:p>
    <w:p>
      <w:pPr>
        <w:jc w:val="both"/>
        <w:ind w:firstLine="413"/>
        <w:spacing w:after="0" w:line="254" w:lineRule="auto"/>
        <w:tabs>
          <w:tab w:leader="none" w:pos="879"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Non-Admissions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terms of this Agreement are not an admission of liability or other wrongdoing by Employer, or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declaration against interest on the part of Employer, nor shall this Agreement be construed as evidence of an admission by Employer as to the merits, validity or accuracy of any allegations or claims Executive has made, or may make, as to the events arising up to and including the Retirement Date. Neither this Agreement nor anything contained within it shall be admissible in any proceeding as evidence of liability or wrongdoing on the part of Employer, and the same is specifically denied.</w:t>
      </w:r>
    </w:p>
    <w:p>
      <w:pPr>
        <w:spacing w:after="0" w:line="51" w:lineRule="exact"/>
        <w:rPr>
          <w:rFonts w:ascii="Times New Roman" w:cs="Times New Roman" w:eastAsia="Times New Roman" w:hAnsi="Times New Roman"/>
          <w:sz w:val="22"/>
          <w:szCs w:val="22"/>
          <w:b w:val="1"/>
          <w:bCs w:val="1"/>
          <w:color w:val="auto"/>
        </w:rPr>
      </w:pPr>
    </w:p>
    <w:p>
      <w:pPr>
        <w:jc w:val="both"/>
        <w:ind w:firstLine="413"/>
        <w:spacing w:after="0" w:line="250" w:lineRule="auto"/>
        <w:tabs>
          <w:tab w:leader="none" w:pos="904"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Continuing Services; 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consideration of the Retirement Benefits described herein, Executive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cooperate fully with Employer to the extent Employer has questions concerning Executive’s former responsibilities and functions, and the transition, if any, of those responsibilities and functions within the Employer’s operations (the “Continuing Services”). Such Continuing Services may include, but not be limited to, Executive being available to speak by telephone, meeting in person, answering questions relating to documents, and providing such other information as Employer may deem necessary to affect a smooth transition upon and after the Retirement Date. For avoidance of doubt, Executive shall not receive material non-public information when providing these Continuing Services.</w:t>
      </w:r>
    </w:p>
    <w:p>
      <w:pPr>
        <w:spacing w:after="0" w:line="63"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22"/>
          <w:szCs w:val="22"/>
          <w:color w:val="auto"/>
        </w:rPr>
        <w:t>Executive further agrees to cooperate at the request of Employer in the defense or prosecution of any lawsuits, claims, or audits in which Employer may be or become involved which relate to matters occurring while Executive was employed by Employer and/or concerning events for which Executive has relevant information. Employer agrees to reimburse Executive</w:t>
      </w:r>
    </w:p>
    <w:p>
      <w:pPr>
        <w:sectPr>
          <w:pgSz w:w="11900" w:h="16838" w:orient="portrait"/>
          <w:cols w:equalWidth="0" w:num="1">
            <w:col w:w="11240"/>
          </w:cols>
          <w:pgMar w:left="320" w:top="121" w:right="339" w:bottom="1440" w:gutter="0" w:footer="0" w:header="0"/>
        </w:sectPr>
      </w:pPr>
    </w:p>
    <w:bookmarkStart w:id="74" w:name="page75"/>
    <w:bookmarkEnd w:id="74"/>
    <w:p>
      <w:pPr>
        <w:ind w:left="10260"/>
        <w:spacing w:after="0"/>
        <w:rPr>
          <w:sz w:val="20"/>
          <w:szCs w:val="20"/>
          <w:color w:val="auto"/>
        </w:rPr>
      </w:pPr>
      <w:r>
        <w:rPr>
          <w:rFonts w:ascii="Times New Roman" w:cs="Times New Roman" w:eastAsia="Times New Roman" w:hAnsi="Times New Roman"/>
          <w:sz w:val="17"/>
          <w:szCs w:val="17"/>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any related and reasonable out-of-pocket expenses incurred as a result of any such cooperation, provided Executive obtains prior written authorization from Employer for any expenses incurred and provides Employer with receipts or other documentation substantiating such expenses as Employer may require.</w:t>
      </w:r>
    </w:p>
    <w:p>
      <w:pPr>
        <w:spacing w:after="0" w:line="47" w:lineRule="exact"/>
        <w:rPr>
          <w:sz w:val="20"/>
          <w:szCs w:val="20"/>
          <w:color w:val="auto"/>
        </w:rPr>
      </w:pPr>
    </w:p>
    <w:p>
      <w:pPr>
        <w:jc w:val="both"/>
        <w:ind w:firstLine="413"/>
        <w:spacing w:after="0" w:line="259" w:lineRule="auto"/>
        <w:tabs>
          <w:tab w:leader="none" w:pos="931"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Non-Release of Future Claims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does not waive or release any rights or claims which arise after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that Executive signs this Agreement and it becomes effective. The parties agree that the decision to end Executive’s employment has been made prior to the execution of this Agreement.</w:t>
      </w:r>
    </w:p>
    <w:p>
      <w:pPr>
        <w:spacing w:after="0" w:line="44" w:lineRule="exact"/>
        <w:rPr>
          <w:rFonts w:ascii="Times New Roman" w:cs="Times New Roman" w:eastAsia="Times New Roman" w:hAnsi="Times New Roman"/>
          <w:sz w:val="22"/>
          <w:szCs w:val="22"/>
          <w:b w:val="1"/>
          <w:bCs w:val="1"/>
          <w:color w:val="auto"/>
        </w:rPr>
      </w:pPr>
    </w:p>
    <w:p>
      <w:pPr>
        <w:jc w:val="both"/>
        <w:ind w:firstLine="413"/>
        <w:spacing w:after="0" w:line="259" w:lineRule="auto"/>
        <w:tabs>
          <w:tab w:leader="none" w:pos="999"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continue to be entitled to any rights to insurance and indemnification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Employer’s directors and officers liability insurance (“D&amp;O Insurance”), Certificate of Incorporation, and Bylaws, as in effect before the Retirement Date, with respect to any claims relating to the period before his Retirement Date.</w:t>
      </w:r>
    </w:p>
    <w:p>
      <w:pPr>
        <w:spacing w:after="0" w:line="44" w:lineRule="exact"/>
        <w:rPr>
          <w:rFonts w:ascii="Times New Roman" w:cs="Times New Roman" w:eastAsia="Times New Roman" w:hAnsi="Times New Roman"/>
          <w:sz w:val="22"/>
          <w:szCs w:val="22"/>
          <w:b w:val="1"/>
          <w:bCs w:val="1"/>
          <w:color w:val="auto"/>
        </w:rPr>
      </w:pPr>
    </w:p>
    <w:p>
      <w:pPr>
        <w:ind w:left="960" w:hanging="547"/>
        <w:spacing w:after="0"/>
        <w:tabs>
          <w:tab w:leader="none" w:pos="960"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Time to Review Agreement/Attorney Consultation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that he has been given at least seven</w:t>
      </w:r>
    </w:p>
    <w:p>
      <w:pPr>
        <w:spacing w:after="0" w:line="33" w:lineRule="exact"/>
        <w:rPr>
          <w:rFonts w:ascii="Times New Roman" w:cs="Times New Roman" w:eastAsia="Times New Roman" w:hAnsi="Times New Roman"/>
          <w:sz w:val="22"/>
          <w:szCs w:val="22"/>
          <w:b w:val="1"/>
          <w:bCs w:val="1"/>
          <w:color w:val="auto"/>
        </w:rPr>
      </w:pPr>
    </w:p>
    <w:p>
      <w:pPr>
        <w:jc w:val="both"/>
        <w:ind w:firstLine="8"/>
        <w:spacing w:after="0" w:line="248" w:lineRule="auto"/>
        <w:tabs>
          <w:tab w:leader="none" w:pos="30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consider this Agreement thoroughly, which, given the circumstances of Executive’s retirement, is a reasonable amount of time, and that Executive was encouraged by this Agreement to consult with an attorney of his choice before signing this Agreement and Executive acknowledges that he has had sufficient opportunity to consult with an attorney of Executive’s choice before signing this Agreement.</w:t>
      </w:r>
    </w:p>
    <w:p>
      <w:pPr>
        <w:spacing w:after="0" w:line="62"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22"/>
          <w:szCs w:val="22"/>
          <w:color w:val="auto"/>
        </w:rPr>
        <w:t>Executive further understands that he may use as much of this seven (7) day period as Executive needs to review its terms prior to signing. Executive agrees that should Executive sign this Agreement sooner than seven (7) days after receiving it, Executive has done so voluntarily with the intent of waiving the remaining portion of the seven (7) day period.</w:t>
      </w:r>
    </w:p>
    <w:p>
      <w:pPr>
        <w:spacing w:after="0" w:line="47" w:lineRule="exact"/>
        <w:rPr>
          <w:sz w:val="20"/>
          <w:szCs w:val="20"/>
          <w:color w:val="auto"/>
        </w:rPr>
      </w:pPr>
    </w:p>
    <w:p>
      <w:pPr>
        <w:ind w:left="900" w:hanging="487"/>
        <w:spacing w:after="0"/>
        <w:tabs>
          <w:tab w:leader="none" w:pos="90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Additional Acknowledgments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further acknowledges and agrees that:</w:t>
      </w:r>
    </w:p>
    <w:p>
      <w:pPr>
        <w:spacing w:after="0" w:line="102" w:lineRule="exact"/>
        <w:rPr>
          <w:sz w:val="20"/>
          <w:szCs w:val="20"/>
          <w:color w:val="auto"/>
        </w:rPr>
      </w:pPr>
    </w:p>
    <w:p>
      <w:pPr>
        <w:jc w:val="both"/>
        <w:ind w:left="660" w:hanging="247"/>
        <w:spacing w:after="0" w:line="274" w:lineRule="auto"/>
        <w:tabs>
          <w:tab w:leader="none" w:pos="669" w:val="left"/>
        </w:tabs>
        <w:numPr>
          <w:ilvl w:val="0"/>
          <w:numId w:val="50"/>
        </w:numPr>
        <w:rPr>
          <w:rFonts w:ascii="Arial" w:cs="Arial" w:eastAsia="Arial" w:hAnsi="Arial"/>
          <w:sz w:val="21"/>
          <w:szCs w:val="21"/>
          <w:color w:val="auto"/>
        </w:rPr>
      </w:pPr>
      <w:r>
        <w:rPr>
          <w:rFonts w:ascii="Times New Roman" w:cs="Times New Roman" w:eastAsia="Times New Roman" w:hAnsi="Times New Roman"/>
          <w:sz w:val="21"/>
          <w:szCs w:val="21"/>
          <w:color w:val="auto"/>
        </w:rPr>
        <w:t>Executive has read, understands and is entering into this Agreement freely and voluntarily, with full knowledge of all material facts after independent investigation, without fraud, duress, or undue influence of any kind or nature whatsoever, and with full knowledge of the significance and consequences of this Agreement and of the rights Executive is giving up;</w:t>
      </w:r>
    </w:p>
    <w:p>
      <w:pPr>
        <w:spacing w:after="0" w:line="35" w:lineRule="exact"/>
        <w:rPr>
          <w:rFonts w:ascii="Arial" w:cs="Arial" w:eastAsia="Arial" w:hAnsi="Arial"/>
          <w:sz w:val="21"/>
          <w:szCs w:val="21"/>
          <w:color w:val="auto"/>
        </w:rPr>
      </w:pPr>
    </w:p>
    <w:p>
      <w:pPr>
        <w:ind w:left="660" w:hanging="247"/>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is receiving benefits under this Agreement in addition to what he is otherwise entitled to receive;</w:t>
      </w:r>
    </w:p>
    <w:p>
      <w:pPr>
        <w:spacing w:after="0" w:line="98" w:lineRule="exact"/>
        <w:rPr>
          <w:rFonts w:ascii="Times New Roman" w:cs="Times New Roman" w:eastAsia="Times New Roman" w:hAnsi="Times New Roman"/>
          <w:sz w:val="22"/>
          <w:szCs w:val="22"/>
          <w:color w:val="auto"/>
        </w:rPr>
      </w:pPr>
    </w:p>
    <w:p>
      <w:pPr>
        <w:ind w:left="660" w:hanging="247"/>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has not relied on any representation or statement, written or oral, not set forth in this Agreement; and</w:t>
      </w:r>
    </w:p>
    <w:p>
      <w:pPr>
        <w:spacing w:after="0" w:line="98" w:lineRule="exact"/>
        <w:rPr>
          <w:rFonts w:ascii="Times New Roman" w:cs="Times New Roman" w:eastAsia="Times New Roman" w:hAnsi="Times New Roman"/>
          <w:sz w:val="22"/>
          <w:szCs w:val="22"/>
          <w:color w:val="auto"/>
        </w:rPr>
      </w:pPr>
    </w:p>
    <w:p>
      <w:pPr>
        <w:jc w:val="both"/>
        <w:ind w:left="660" w:hanging="247"/>
        <w:spacing w:after="0" w:line="257" w:lineRule="auto"/>
        <w:tabs>
          <w:tab w:leader="none" w:pos="723"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supersedes any prior agreements that Executive may have entered into with Employer or its representatives, but explicitly excludes the Executive Secrecy Agreements, except as otherwise released in Section 1 herein.</w:t>
      </w:r>
    </w:p>
    <w:p>
      <w:pPr>
        <w:spacing w:after="0" w:line="47" w:lineRule="exact"/>
        <w:rPr>
          <w:sz w:val="20"/>
          <w:szCs w:val="20"/>
          <w:color w:val="auto"/>
        </w:rPr>
      </w:pPr>
    </w:p>
    <w:p>
      <w:pPr>
        <w:ind w:firstLine="413"/>
        <w:spacing w:after="0" w:line="275" w:lineRule="auto"/>
        <w:tabs>
          <w:tab w:leader="none" w:pos="891"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headings in this Agreement are for the convenience of Executive and Employer only and shall not limit,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expand, modify, amplify, or aid in the interpretation or construction of this Agreement.</w:t>
      </w:r>
    </w:p>
    <w:p>
      <w:pPr>
        <w:spacing w:after="0" w:line="27" w:lineRule="exact"/>
        <w:rPr>
          <w:rFonts w:ascii="Times New Roman" w:cs="Times New Roman" w:eastAsia="Times New Roman" w:hAnsi="Times New Roman"/>
          <w:sz w:val="22"/>
          <w:szCs w:val="22"/>
          <w:b w:val="1"/>
          <w:bCs w:val="1"/>
          <w:color w:val="auto"/>
        </w:rPr>
      </w:pPr>
    </w:p>
    <w:p>
      <w:pPr>
        <w:jc w:val="both"/>
        <w:ind w:firstLine="413"/>
        <w:spacing w:after="0" w:line="265" w:lineRule="auto"/>
        <w:tabs>
          <w:tab w:leader="none" w:pos="972" w:val="left"/>
        </w:tabs>
        <w:numPr>
          <w:ilvl w:val="0"/>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Applicable Law, Entire Agreement and Severability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agree that this Agreement shall be construed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accordance with the laws, including the law of conflicts, of the Commonwealth of Virginia. Furthermore, this Agreement constitutes the complete</w:t>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understanding between Executive and Employer. No provision of this Agreement may be amended or modified unless such amendment or modification is agreed to in writing and signed by the Executive and by an authorized officer of the Employer. To the extent a court of competent jurisdiction holds that any portion of this Agreement is invalid or legally unenforceable, the parties agree that the remaining portions shall not be affected and shall be given full force and effect.</w:t>
      </w:r>
    </w:p>
    <w:p>
      <w:pPr>
        <w:spacing w:after="0" w:line="54" w:lineRule="exact"/>
        <w:rPr>
          <w:sz w:val="20"/>
          <w:szCs w:val="20"/>
          <w:color w:val="auto"/>
        </w:rPr>
      </w:pPr>
    </w:p>
    <w:p>
      <w:pPr>
        <w:ind w:firstLine="413"/>
        <w:spacing w:after="0" w:line="275" w:lineRule="auto"/>
        <w:tabs>
          <w:tab w:leader="none" w:pos="958"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may execute this Agreement in counterparts, each of which shall be deemed an original,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all of which taken together shall constitute one and the same instrument.</w:t>
      </w:r>
    </w:p>
    <w:p>
      <w:pPr>
        <w:spacing w:after="0" w:line="28" w:lineRule="exact"/>
        <w:rPr>
          <w:sz w:val="20"/>
          <w:szCs w:val="20"/>
          <w:color w:val="auto"/>
        </w:rPr>
      </w:pPr>
    </w:p>
    <w:p>
      <w:pPr>
        <w:ind w:right="580" w:firstLine="405"/>
        <w:spacing w:after="0" w:line="275" w:lineRule="auto"/>
        <w:rPr>
          <w:sz w:val="20"/>
          <w:szCs w:val="20"/>
          <w:color w:val="auto"/>
        </w:rPr>
      </w:pPr>
      <w:r>
        <w:rPr>
          <w:rFonts w:ascii="Times New Roman" w:cs="Times New Roman" w:eastAsia="Times New Roman" w:hAnsi="Times New Roman"/>
          <w:sz w:val="22"/>
          <w:szCs w:val="22"/>
          <w:b w:val="1"/>
          <w:bCs w:val="1"/>
          <w:color w:val="auto"/>
        </w:rPr>
        <w:t>EXECUTIVE ACKNOWLEDGES THAT HE HAS READ THIS AGREEMENT, UNDERSTANDS IT, AND IS VOLUNTARILY ENTERING INTO IT.</w:t>
      </w:r>
    </w:p>
    <w:p>
      <w:pPr>
        <w:spacing w:after="0" w:line="369" w:lineRule="exact"/>
        <w:rPr>
          <w:sz w:val="20"/>
          <w:szCs w:val="20"/>
          <w:color w:val="auto"/>
        </w:rPr>
      </w:pPr>
    </w:p>
    <w:tbl>
      <w:tblPr>
        <w:tblLayout w:type="fixed"/>
        <w:tblInd w:w="420" w:type="dxa"/>
        <w:tblCellMar>
          <w:top w:w="0" w:type="dxa"/>
          <w:left w:w="0" w:type="dxa"/>
          <w:bottom w:w="0" w:type="dxa"/>
          <w:right w:w="0" w:type="dxa"/>
        </w:tblCellMar>
      </w:tblPr>
      <w:tr>
        <w:trPr>
          <w:trHeight w:val="282"/>
        </w:trPr>
        <w:tc>
          <w:tcPr>
            <w:tcW w:w="2600" w:type="dxa"/>
            <w:vAlign w:val="bottom"/>
          </w:tcPr>
          <w:p>
            <w:pPr>
              <w:spacing w:after="0"/>
              <w:rPr>
                <w:sz w:val="24"/>
                <w:szCs w:val="24"/>
                <w:color w:val="auto"/>
              </w:rPr>
            </w:pPr>
          </w:p>
        </w:tc>
        <w:tc>
          <w:tcPr>
            <w:tcW w:w="7580" w:type="dxa"/>
            <w:vAlign w:val="bottom"/>
            <w:gridSpan w:val="3"/>
          </w:tcPr>
          <w:p>
            <w:pPr>
              <w:ind w:left="1280"/>
              <w:spacing w:after="0"/>
              <w:rPr>
                <w:sz w:val="20"/>
                <w:szCs w:val="20"/>
                <w:color w:val="auto"/>
              </w:rPr>
            </w:pPr>
            <w:r>
              <w:rPr>
                <w:rFonts w:ascii="Times New Roman" w:cs="Times New Roman" w:eastAsia="Times New Roman" w:hAnsi="Times New Roman"/>
                <w:sz w:val="22"/>
                <w:szCs w:val="22"/>
                <w:color w:val="auto"/>
              </w:rPr>
              <w:t>TREDEGAR CORPORATION</w:t>
            </w:r>
          </w:p>
        </w:tc>
      </w:tr>
      <w:tr>
        <w:trPr>
          <w:trHeight w:val="339"/>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John Steitz</w:t>
            </w:r>
          </w:p>
        </w:tc>
        <w:tc>
          <w:tcPr>
            <w:tcW w:w="1760" w:type="dxa"/>
            <w:vAlign w:val="bottom"/>
          </w:tcPr>
          <w:p>
            <w:pPr>
              <w:spacing w:after="0"/>
              <w:rPr>
                <w:sz w:val="24"/>
                <w:szCs w:val="24"/>
                <w:color w:val="auto"/>
              </w:rPr>
            </w:pPr>
          </w:p>
        </w:tc>
        <w:tc>
          <w:tcPr>
            <w:tcW w:w="5820" w:type="dxa"/>
            <w:vAlign w:val="bottom"/>
            <w:gridSpan w:val="2"/>
          </w:tcPr>
          <w:p>
            <w:pPr>
              <w:ind w:left="1280"/>
              <w:spacing w:after="0"/>
              <w:rPr>
                <w:sz w:val="20"/>
                <w:szCs w:val="20"/>
                <w:color w:val="auto"/>
              </w:rPr>
            </w:pPr>
            <w:r>
              <w:rPr>
                <w:rFonts w:ascii="Times New Roman" w:cs="Times New Roman" w:eastAsia="Times New Roman" w:hAnsi="Times New Roman"/>
                <w:sz w:val="18"/>
                <w:szCs w:val="18"/>
                <w:color w:val="auto"/>
              </w:rPr>
              <w:t>By: /s/ Arijit (Bapi) DasGupta</w:t>
            </w:r>
          </w:p>
        </w:tc>
      </w:tr>
      <w:tr>
        <w:trPr>
          <w:trHeight w:val="223"/>
        </w:trPr>
        <w:tc>
          <w:tcPr>
            <w:tcW w:w="2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John Steitz</w:t>
            </w:r>
          </w:p>
        </w:tc>
        <w:tc>
          <w:tcPr>
            <w:tcW w:w="1760" w:type="dxa"/>
            <w:vAlign w:val="bottom"/>
            <w:tcBorders>
              <w:top w:val="single" w:sz="8" w:color="auto"/>
            </w:tcBorders>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Arijit (Bapi) DasGupta</w:t>
            </w:r>
          </w:p>
        </w:tc>
      </w:tr>
      <w:tr>
        <w:trPr>
          <w:trHeight w:val="223"/>
        </w:trPr>
        <w:tc>
          <w:tcPr>
            <w:tcW w:w="2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66"/>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01/26/2026</w:t>
            </w:r>
          </w:p>
        </w:tc>
        <w:tc>
          <w:tcPr>
            <w:tcW w:w="1760" w:type="dxa"/>
            <w:vAlign w:val="bottom"/>
          </w:tcPr>
          <w:p>
            <w:pPr>
              <w:spacing w:after="0"/>
              <w:rPr>
                <w:sz w:val="24"/>
                <w:szCs w:val="24"/>
                <w:color w:val="auto"/>
              </w:rPr>
            </w:pPr>
          </w:p>
        </w:tc>
        <w:tc>
          <w:tcPr>
            <w:tcW w:w="582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Date: 01/29/2026</w:t>
            </w:r>
          </w:p>
        </w:tc>
      </w:tr>
      <w:tr>
        <w:trPr>
          <w:trHeight w:val="20"/>
        </w:trPr>
        <w:tc>
          <w:tcPr>
            <w:tcW w:w="260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r>
    </w:tbl>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u w:val="single" w:color="auto"/>
          <w:color w:val="auto"/>
        </w:rPr>
        <w:t>RETIREMENT RELEASE AND EQUITY VESTING AGREEMENT</w:t>
      </w:r>
    </w:p>
    <w:p>
      <w:pPr>
        <w:spacing w:after="0" w:line="102" w:lineRule="exact"/>
        <w:rPr>
          <w:sz w:val="20"/>
          <w:szCs w:val="20"/>
          <w:color w:val="auto"/>
        </w:rPr>
      </w:pPr>
    </w:p>
    <w:p>
      <w:pPr>
        <w:ind w:right="140" w:firstLine="243"/>
        <w:spacing w:after="0" w:line="295" w:lineRule="auto"/>
        <w:rPr>
          <w:sz w:val="20"/>
          <w:szCs w:val="20"/>
          <w:color w:val="auto"/>
        </w:rPr>
      </w:pPr>
      <w:r>
        <w:rPr>
          <w:rFonts w:ascii="Times New Roman" w:cs="Times New Roman" w:eastAsia="Times New Roman" w:hAnsi="Times New Roman"/>
          <w:sz w:val="21"/>
          <w:szCs w:val="21"/>
          <w:color w:val="auto"/>
        </w:rPr>
        <w:t>This Retirement Release and Equity Vesting Agreement (“Agreement”) is entered into by and between Tredegar Corporation, a Virginia corporation (the “Company”), and Douglas Andrew Edwards (“Executive”), effective as of December 31, 2025.</w:t>
      </w:r>
    </w:p>
    <w:p>
      <w:pPr>
        <w:spacing w:after="0" w:line="10" w:lineRule="exact"/>
        <w:rPr>
          <w:sz w:val="20"/>
          <w:szCs w:val="20"/>
          <w:color w:val="auto"/>
        </w:rPr>
      </w:pPr>
    </w:p>
    <w:p>
      <w:pPr>
        <w:ind w:right="120" w:firstLine="251"/>
        <w:spacing w:after="0" w:line="259" w:lineRule="auto"/>
        <w:tabs>
          <w:tab w:leader="none" w:pos="62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Retirement.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Executive’s employment with the Company is terminating due to retirement effective December 31,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(“Retirement Date”). Executive’s separation shall constitute a “retirement” for purposes of the Company’s equity incentive plans and applicable award agreements.</w:t>
      </w:r>
    </w:p>
    <w:p>
      <w:pPr>
        <w:spacing w:after="0" w:line="44" w:lineRule="exact"/>
        <w:rPr>
          <w:rFonts w:ascii="Times New Roman" w:cs="Times New Roman" w:eastAsia="Times New Roman" w:hAnsi="Times New Roman"/>
          <w:sz w:val="22"/>
          <w:szCs w:val="22"/>
          <w:b w:val="1"/>
          <w:bCs w:val="1"/>
          <w:color w:val="auto"/>
        </w:rPr>
      </w:pPr>
    </w:p>
    <w:p>
      <w:pPr>
        <w:ind w:right="120" w:firstLine="251"/>
        <w:spacing w:after="0" w:line="253" w:lineRule="auto"/>
        <w:tabs>
          <w:tab w:leader="none" w:pos="62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Accelerated Vesting of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Notwithstanding any contrary provision in the Company’s equity incentive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plans or award agreements, the restricted stock award on May 11, 2023, of 37,662 shares held by Executive as of the Retirement Date that vest solely based on continued service shall fully vest at the earlier of the Executive’s death or the original vesting date of May 11, 2026.</w:t>
      </w:r>
    </w:p>
    <w:p>
      <w:pPr>
        <w:spacing w:after="0" w:line="53" w:lineRule="exact"/>
        <w:rPr>
          <w:rFonts w:ascii="Times New Roman" w:cs="Times New Roman" w:eastAsia="Times New Roman" w:hAnsi="Times New Roman"/>
          <w:sz w:val="22"/>
          <w:szCs w:val="22"/>
          <w:b w:val="1"/>
          <w:bCs w:val="1"/>
          <w:color w:val="auto"/>
        </w:rPr>
      </w:pPr>
    </w:p>
    <w:p>
      <w:pPr>
        <w:ind w:right="180" w:firstLine="251"/>
        <w:spacing w:after="0" w:line="250" w:lineRule="auto"/>
        <w:tabs>
          <w:tab w:leader="none" w:pos="62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Performance-Based Equity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shall remain eligible to earn and receive payment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cash-based performance units (“PUs”) awarded on May 11, 2023 (“May 2023 PUs”) and December 5, 2024 (“December 2024 PUs”), for which performance is measured based on two-year EBITDA and total shareholder return (“TSR”), in accordance with the original performance goals, measurement criteria, and payout schedules applicable to such awards. Such awards shall be measured and paid, if and to the extent earned, as though Executive had remained employed through the applicable performance measurement date. No payment is expected for the May 2023 PUs. Payment for PUs earned after the Executive’s death shall be made to the Executive’s trust dated March 6, 2002.</w:t>
      </w:r>
    </w:p>
    <w:p>
      <w:pPr>
        <w:spacing w:after="0" w:line="58" w:lineRule="exact"/>
        <w:rPr>
          <w:rFonts w:ascii="Times New Roman" w:cs="Times New Roman" w:eastAsia="Times New Roman" w:hAnsi="Times New Roman"/>
          <w:sz w:val="22"/>
          <w:szCs w:val="22"/>
          <w:b w:val="1"/>
          <w:bCs w:val="1"/>
          <w:color w:val="auto"/>
        </w:rPr>
      </w:pPr>
    </w:p>
    <w:p>
      <w:pPr>
        <w:ind w:right="120" w:firstLine="251"/>
        <w:spacing w:after="0" w:line="265" w:lineRule="auto"/>
        <w:tabs>
          <w:tab w:leader="none" w:pos="62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Other Acceleration.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Except as expressly set forth in this Agreement, Executive shall not be entitled to any additional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acceleration of vesting, payment, or benefits under any equity award, incentive plan, or benefit plan as a result of Executive’s employment and subsequent retirement.</w:t>
      </w:r>
    </w:p>
    <w:p>
      <w:pPr>
        <w:spacing w:after="0" w:line="26" w:lineRule="exact"/>
        <w:rPr>
          <w:rFonts w:ascii="Times New Roman" w:cs="Times New Roman" w:eastAsia="Times New Roman" w:hAnsi="Times New Roman"/>
          <w:sz w:val="22"/>
          <w:szCs w:val="22"/>
          <w:b w:val="1"/>
          <w:bCs w:val="1"/>
          <w:color w:val="auto"/>
        </w:rPr>
      </w:pPr>
    </w:p>
    <w:p>
      <w:pPr>
        <w:ind w:left="620" w:hanging="369"/>
        <w:spacing w:after="0"/>
        <w:tabs>
          <w:tab w:leader="none" w:pos="62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Consideration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and agrees that the benefits provided under this Agreement exceed any</w:t>
      </w:r>
    </w:p>
    <w:p>
      <w:pPr>
        <w:spacing w:after="0" w:line="33" w:lineRule="exact"/>
        <w:rPr>
          <w:rFonts w:ascii="Times New Roman" w:cs="Times New Roman" w:eastAsia="Times New Roman" w:hAnsi="Times New Roman"/>
          <w:sz w:val="22"/>
          <w:szCs w:val="22"/>
          <w:b w:val="1"/>
          <w:bCs w:val="1"/>
          <w:color w:val="auto"/>
        </w:rPr>
      </w:pPr>
    </w:p>
    <w:p>
      <w:pPr>
        <w:ind w:right="260"/>
        <w:spacing w:after="0" w:line="259"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compensation, equity vesting, or benefits to which Executive would otherwise be entitled in the absence of this Agreement and constitute good and sufficient consideration for the release set forth herein.</w:t>
      </w:r>
    </w:p>
    <w:p>
      <w:pPr>
        <w:spacing w:after="0" w:line="45" w:lineRule="exact"/>
        <w:rPr>
          <w:rFonts w:ascii="Times New Roman" w:cs="Times New Roman" w:eastAsia="Times New Roman" w:hAnsi="Times New Roman"/>
          <w:sz w:val="22"/>
          <w:szCs w:val="22"/>
          <w:b w:val="1"/>
          <w:bCs w:val="1"/>
          <w:color w:val="auto"/>
        </w:rPr>
      </w:pPr>
    </w:p>
    <w:p>
      <w:pPr>
        <w:ind w:right="260" w:firstLine="251"/>
        <w:spacing w:after="0" w:line="266" w:lineRule="auto"/>
        <w:tabs>
          <w:tab w:leader="none" w:pos="621"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Release of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consideration for the benefits provided under this Agreement, Executive hereby irrevocably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releases and discharges the Company and its affiliates, and their respective directors, officers, employees, and agents, from any and all claims, demands, or causes of action of any kind, whether known or unknown, arising out of or relating to Executive’s employment or separation from employment, through the date Executive signs this Agreement, excluding claims arising under this Agreement, rights to vested benefits under applicable employee benefit plans, or claims which cannot be waived by law.</w:t>
      </w:r>
    </w:p>
    <w:p>
      <w:pPr>
        <w:spacing w:after="0" w:line="38" w:lineRule="exact"/>
        <w:rPr>
          <w:rFonts w:ascii="Times New Roman" w:cs="Times New Roman" w:eastAsia="Times New Roman" w:hAnsi="Times New Roman"/>
          <w:sz w:val="21"/>
          <w:szCs w:val="21"/>
          <w:b w:val="1"/>
          <w:bCs w:val="1"/>
          <w:color w:val="auto"/>
        </w:rPr>
      </w:pPr>
    </w:p>
    <w:p>
      <w:pPr>
        <w:ind w:right="840" w:firstLine="251"/>
        <w:spacing w:after="0" w:line="275" w:lineRule="auto"/>
        <w:tabs>
          <w:tab w:leader="none" w:pos="621"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Cessation of Retirement Benefits.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agrees not to engage in any behavior that could seriously harm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reputation, business interests, or legal standing. Examples of this kind of misconduct include:</w:t>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60" w:hanging="247"/>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Acts of violence or threats toward employees, vendors, or customers</w:t>
      </w:r>
    </w:p>
    <w:p>
      <w:pPr>
        <w:spacing w:after="0" w:line="98" w:lineRule="exact"/>
        <w:rPr>
          <w:rFonts w:ascii="Times New Roman" w:cs="Times New Roman" w:eastAsia="Times New Roman" w:hAnsi="Times New Roman"/>
          <w:sz w:val="22"/>
          <w:szCs w:val="22"/>
          <w:color w:val="auto"/>
        </w:rPr>
      </w:pPr>
    </w:p>
    <w:p>
      <w:pPr>
        <w:ind w:left="660" w:hanging="247"/>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Sharing or posting false or disparaging information about the Company or the people who work for it</w:t>
      </w:r>
    </w:p>
    <w:p>
      <w:pPr>
        <w:spacing w:after="0" w:line="84" w:lineRule="exact"/>
        <w:rPr>
          <w:rFonts w:ascii="Times New Roman" w:cs="Times New Roman" w:eastAsia="Times New Roman" w:hAnsi="Times New Roman"/>
          <w:sz w:val="22"/>
          <w:szCs w:val="22"/>
          <w:color w:val="auto"/>
        </w:rPr>
      </w:pPr>
    </w:p>
    <w:p>
      <w:pPr>
        <w:ind w:left="660" w:hanging="247"/>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Engaging in behavior that creates public controversy tied to the Executive’s former role</w:t>
      </w:r>
    </w:p>
    <w:p>
      <w:pPr>
        <w:spacing w:after="0" w:line="98" w:lineRule="exact"/>
        <w:rPr>
          <w:rFonts w:ascii="Times New Roman" w:cs="Times New Roman" w:eastAsia="Times New Roman" w:hAnsi="Times New Roman"/>
          <w:sz w:val="22"/>
          <w:szCs w:val="22"/>
          <w:color w:val="auto"/>
        </w:rPr>
      </w:pPr>
    </w:p>
    <w:p>
      <w:pPr>
        <w:ind w:left="660" w:hanging="247"/>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or misusing the Company’s confidential information or trade secrets</w:t>
      </w:r>
    </w:p>
    <w:p>
      <w:pPr>
        <w:spacing w:after="0" w:line="98" w:lineRule="exact"/>
        <w:rPr>
          <w:rFonts w:ascii="Times New Roman" w:cs="Times New Roman" w:eastAsia="Times New Roman" w:hAnsi="Times New Roman"/>
          <w:sz w:val="22"/>
          <w:szCs w:val="22"/>
          <w:color w:val="auto"/>
        </w:rPr>
      </w:pPr>
    </w:p>
    <w:p>
      <w:pPr>
        <w:ind w:left="660" w:hanging="247"/>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Violating any restrictive covenant previously agreed to by Executive</w:t>
      </w:r>
    </w:p>
    <w:p>
      <w:pPr>
        <w:spacing w:after="0" w:line="98" w:lineRule="exact"/>
        <w:rPr>
          <w:rFonts w:ascii="Times New Roman" w:cs="Times New Roman" w:eastAsia="Times New Roman" w:hAnsi="Times New Roman"/>
          <w:sz w:val="22"/>
          <w:szCs w:val="22"/>
          <w:color w:val="auto"/>
        </w:rPr>
      </w:pPr>
    </w:p>
    <w:p>
      <w:pPr>
        <w:ind w:left="660" w:right="40" w:hanging="247"/>
        <w:spacing w:after="0" w:line="271" w:lineRule="auto"/>
        <w:tabs>
          <w:tab w:leader="none" w:pos="65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Declining to provide reasonable continuing services or cooperation as set forth in Section 8 any time before the December 2024 PUs payout date</w:t>
      </w:r>
    </w:p>
    <w:p>
      <w:pPr>
        <w:spacing w:after="0" w:line="36" w:lineRule="exact"/>
        <w:rPr>
          <w:rFonts w:ascii="Times New Roman" w:cs="Times New Roman" w:eastAsia="Times New Roman" w:hAnsi="Times New Roman"/>
          <w:sz w:val="22"/>
          <w:szCs w:val="22"/>
          <w:color w:val="auto"/>
        </w:rPr>
      </w:pPr>
    </w:p>
    <w:p>
      <w:pPr>
        <w:ind w:left="660" w:hanging="247"/>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Materially breaching any obligation herein</w:t>
      </w:r>
    </w:p>
    <w:p>
      <w:pPr>
        <w:spacing w:after="0" w:line="98" w:lineRule="exact"/>
        <w:rPr>
          <w:sz w:val="20"/>
          <w:szCs w:val="20"/>
          <w:color w:val="auto"/>
        </w:rPr>
      </w:pPr>
    </w:p>
    <w:p>
      <w:pPr>
        <w:ind w:right="120" w:firstLine="243"/>
        <w:spacing w:after="0" w:line="257" w:lineRule="auto"/>
        <w:rPr>
          <w:sz w:val="20"/>
          <w:szCs w:val="20"/>
          <w:color w:val="auto"/>
        </w:rPr>
      </w:pPr>
      <w:r>
        <w:rPr>
          <w:rFonts w:ascii="Times New Roman" w:cs="Times New Roman" w:eastAsia="Times New Roman" w:hAnsi="Times New Roman"/>
          <w:sz w:val="22"/>
          <w:szCs w:val="22"/>
          <w:color w:val="auto"/>
        </w:rPr>
        <w:t>If any of this inappropriate behavior occurs, the Company may stop any remaining retirement benefit payments, recover payments already made when allowed by law, or pursue any legal remedies needed to address the situation, including recovering related costs and fees.</w:t>
      </w:r>
    </w:p>
    <w:p>
      <w:pPr>
        <w:spacing w:after="0" w:line="47" w:lineRule="exact"/>
        <w:rPr>
          <w:sz w:val="20"/>
          <w:szCs w:val="20"/>
          <w:color w:val="auto"/>
        </w:rPr>
      </w:pPr>
    </w:p>
    <w:p>
      <w:pPr>
        <w:ind w:right="180" w:firstLine="251"/>
        <w:spacing w:after="0" w:line="250" w:lineRule="auto"/>
        <w:tabs>
          <w:tab w:leader="none" w:pos="621"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Continuing Services; Cooperation.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exchange for the retirement benefits described herein, Executive agrees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reasonably support the Company if questions come up about his former duties, work performed, or decisions made during his employment with the Company. Executive also agrees to assist the Company, if asked, with any lawsuits, claims, or audits that involve events from the time he was employed or situations where he has relevant knowledge. The Company will reimburse Executive for reasonable out-of-pocket expenses related to this cooperation. For avoidance of doubt, all continuing services and cooperation will relate solely to Executive’s work performed while he was an employee of the Company. Executive shall not be provided with or have access to material nonpublic information that postdates his retirement.</w:t>
      </w:r>
    </w:p>
    <w:p>
      <w:pPr>
        <w:spacing w:after="0" w:line="58" w:lineRule="exact"/>
        <w:rPr>
          <w:rFonts w:ascii="Times New Roman" w:cs="Times New Roman" w:eastAsia="Times New Roman" w:hAnsi="Times New Roman"/>
          <w:sz w:val="22"/>
          <w:szCs w:val="22"/>
          <w:b w:val="1"/>
          <w:bCs w:val="1"/>
          <w:color w:val="auto"/>
        </w:rPr>
      </w:pPr>
    </w:p>
    <w:p>
      <w:pPr>
        <w:ind w:left="620" w:hanging="369"/>
        <w:spacing w:after="0"/>
        <w:tabs>
          <w:tab w:leader="none" w:pos="6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acknowledges that Executive:</w:t>
      </w:r>
    </w:p>
    <w:p>
      <w:pPr>
        <w:spacing w:after="0" w:line="102" w:lineRule="exact"/>
        <w:rPr>
          <w:rFonts w:ascii="Times New Roman" w:cs="Times New Roman" w:eastAsia="Times New Roman" w:hAnsi="Times New Roman"/>
          <w:sz w:val="22"/>
          <w:szCs w:val="22"/>
          <w:b w:val="1"/>
          <w:bCs w:val="1"/>
          <w:color w:val="auto"/>
        </w:rPr>
      </w:pPr>
    </w:p>
    <w:p>
      <w:pPr>
        <w:ind w:left="660" w:right="100" w:hanging="247"/>
        <w:spacing w:after="0" w:line="271" w:lineRule="auto"/>
        <w:tabs>
          <w:tab w:leader="none" w:pos="71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voluntarily resigning and as such his retirement does not constitute a Qualifying Termination as defined in Executive’s September 29, 2023 Change in Control Severance Agreement;</w:t>
      </w:r>
    </w:p>
    <w:p>
      <w:pPr>
        <w:spacing w:after="0" w:line="36" w:lineRule="exact"/>
        <w:rPr>
          <w:rFonts w:ascii="Times New Roman" w:cs="Times New Roman" w:eastAsia="Times New Roman" w:hAnsi="Times New Roman"/>
          <w:sz w:val="22"/>
          <w:szCs w:val="22"/>
          <w:color w:val="auto"/>
        </w:rPr>
      </w:pPr>
    </w:p>
    <w:p>
      <w:pPr>
        <w:ind w:left="660" w:right="280" w:hanging="247"/>
        <w:spacing w:after="0" w:line="271" w:lineRule="auto"/>
        <w:tabs>
          <w:tab w:leader="none" w:pos="723"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already been paid, or is expected to be paid in his final paycheck, for all compensation due to him as a result of his employment with the Company;</w:t>
      </w:r>
    </w:p>
    <w:p>
      <w:pPr>
        <w:spacing w:after="0" w:line="36" w:lineRule="exact"/>
        <w:rPr>
          <w:rFonts w:ascii="Times New Roman" w:cs="Times New Roman" w:eastAsia="Times New Roman" w:hAnsi="Times New Roman"/>
          <w:sz w:val="22"/>
          <w:szCs w:val="22"/>
          <w:color w:val="auto"/>
        </w:rPr>
      </w:pPr>
    </w:p>
    <w:p>
      <w:pPr>
        <w:ind w:left="660" w:right="160" w:hanging="247"/>
        <w:spacing w:after="0" w:line="257" w:lineRule="auto"/>
        <w:tabs>
          <w:tab w:leader="none" w:pos="711"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advised to consult with an attorney of Executive’s choosing prior to signing this Agreement;(d) is entering into this Agreement knowingly and voluntarily; and(e) is not relying on any representations other than those expressly set forth in this Agreement.</w:t>
      </w:r>
    </w:p>
    <w:p>
      <w:pPr>
        <w:spacing w:after="0" w:line="47" w:lineRule="exact"/>
        <w:rPr>
          <w:rFonts w:ascii="Times New Roman" w:cs="Times New Roman" w:eastAsia="Times New Roman" w:hAnsi="Times New Roman"/>
          <w:sz w:val="22"/>
          <w:szCs w:val="22"/>
          <w:color w:val="auto"/>
        </w:rPr>
      </w:pPr>
    </w:p>
    <w:p>
      <w:pPr>
        <w:ind w:right="300" w:firstLine="251"/>
        <w:spacing w:after="0" w:line="275" w:lineRule="auto"/>
        <w:tabs>
          <w:tab w:leader="none" w:pos="729"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Admission.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does not constitute an admission of liability or wrongdoing by either the Company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w:t>
      </w:r>
    </w:p>
    <w:p>
      <w:pPr>
        <w:spacing w:after="0" w:line="27" w:lineRule="exact"/>
        <w:rPr>
          <w:rFonts w:ascii="Times New Roman" w:cs="Times New Roman" w:eastAsia="Times New Roman" w:hAnsi="Times New Roman"/>
          <w:sz w:val="22"/>
          <w:szCs w:val="22"/>
          <w:b w:val="1"/>
          <w:bCs w:val="1"/>
          <w:color w:val="auto"/>
        </w:rPr>
      </w:pPr>
    </w:p>
    <w:p>
      <w:pPr>
        <w:ind w:right="420" w:firstLine="251"/>
        <w:spacing w:after="0" w:line="259" w:lineRule="auto"/>
        <w:tabs>
          <w:tab w:leader="none" w:pos="717"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Governing Law and Venue.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shall be governed by and construed in accordance with the 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Commonwealth of Virginia, without regard to its conflicts-of-law principles. Any action arising under or relating to this Agreement shall be brought exclusively in a state or federal court located within the Commonwealth of Virginia.</w:t>
      </w:r>
    </w:p>
    <w:p>
      <w:pPr>
        <w:spacing w:after="0" w:line="44" w:lineRule="exact"/>
        <w:rPr>
          <w:rFonts w:ascii="Times New Roman" w:cs="Times New Roman" w:eastAsia="Times New Roman" w:hAnsi="Times New Roman"/>
          <w:sz w:val="22"/>
          <w:szCs w:val="22"/>
          <w:b w:val="1"/>
          <w:bCs w:val="1"/>
          <w:color w:val="auto"/>
        </w:rPr>
      </w:pPr>
    </w:p>
    <w:p>
      <w:pPr>
        <w:ind w:right="440" w:firstLine="251"/>
        <w:spacing w:after="0" w:line="283" w:lineRule="auto"/>
        <w:tabs>
          <w:tab w:leader="none" w:pos="729" w:val="left"/>
        </w:tabs>
        <w:numPr>
          <w:ilvl w:val="0"/>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constitutes the entire agreement between the parties with respect to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retirement benefits and supersedes all prior agreements or understandings relating thereto, except for the applicable equity incentive plans and award agreements, which shall remain in effect except as expressly modified by this Agreement.</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140" w:type="dxa"/>
            <w:vAlign w:val="bottom"/>
          </w:tcPr>
          <w:p>
            <w:pPr>
              <w:spacing w:after="0"/>
              <w:rPr>
                <w:sz w:val="24"/>
                <w:szCs w:val="24"/>
                <w:color w:val="auto"/>
              </w:rPr>
            </w:pPr>
          </w:p>
        </w:tc>
        <w:tc>
          <w:tcPr>
            <w:tcW w:w="7020" w:type="dxa"/>
            <w:vAlign w:val="bottom"/>
            <w:gridSpan w:val="3"/>
          </w:tcPr>
          <w:p>
            <w:pPr>
              <w:ind w:left="740"/>
              <w:spacing w:after="0"/>
              <w:rPr>
                <w:sz w:val="20"/>
                <w:szCs w:val="20"/>
                <w:color w:val="auto"/>
              </w:rPr>
            </w:pPr>
            <w:r>
              <w:rPr>
                <w:rFonts w:ascii="Times New Roman" w:cs="Times New Roman" w:eastAsia="Times New Roman" w:hAnsi="Times New Roman"/>
                <w:sz w:val="22"/>
                <w:szCs w:val="22"/>
                <w:color w:val="auto"/>
              </w:rPr>
              <w:t>TREDEGAR CORPORATION</w:t>
            </w:r>
          </w:p>
        </w:tc>
      </w:tr>
      <w:tr>
        <w:trPr>
          <w:trHeight w:val="378"/>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/s/ D. Andrew Edwards</w:t>
            </w:r>
          </w:p>
        </w:tc>
        <w:tc>
          <w:tcPr>
            <w:tcW w:w="1220" w:type="dxa"/>
            <w:vAlign w:val="bottom"/>
          </w:tcPr>
          <w:p>
            <w:pPr>
              <w:spacing w:after="0"/>
              <w:rPr>
                <w:sz w:val="24"/>
                <w:szCs w:val="24"/>
                <w:color w:val="auto"/>
              </w:rPr>
            </w:pPr>
          </w:p>
        </w:tc>
        <w:tc>
          <w:tcPr>
            <w:tcW w:w="5800" w:type="dxa"/>
            <w:vAlign w:val="bottom"/>
            <w:gridSpan w:val="2"/>
          </w:tcPr>
          <w:p>
            <w:pPr>
              <w:ind w:left="1220"/>
              <w:spacing w:after="0"/>
              <w:rPr>
                <w:sz w:val="20"/>
                <w:szCs w:val="20"/>
                <w:color w:val="auto"/>
              </w:rPr>
            </w:pPr>
            <w:r>
              <w:rPr>
                <w:rFonts w:ascii="Times New Roman" w:cs="Times New Roman" w:eastAsia="Times New Roman" w:hAnsi="Times New Roman"/>
                <w:sz w:val="22"/>
                <w:szCs w:val="22"/>
                <w:color w:val="auto"/>
              </w:rPr>
              <w:t>By: /s/ Kevin Donnelly</w:t>
            </w:r>
          </w:p>
        </w:tc>
      </w:tr>
      <w:tr>
        <w:trPr>
          <w:trHeight w:val="265"/>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Name: D. Andrew Edwards</w:t>
            </w:r>
          </w:p>
        </w:tc>
        <w:tc>
          <w:tcPr>
            <w:tcW w:w="1220" w:type="dxa"/>
            <w:vAlign w:val="bottom"/>
            <w:tcBorders>
              <w:top w:val="single" w:sz="8" w:color="auto"/>
            </w:tcBorders>
          </w:tcPr>
          <w:p>
            <w:pPr>
              <w:spacing w:after="0"/>
              <w:rPr>
                <w:sz w:val="23"/>
                <w:szCs w:val="23"/>
                <w:color w:val="auto"/>
              </w:rPr>
            </w:pPr>
          </w:p>
        </w:tc>
        <w:tc>
          <w:tcPr>
            <w:tcW w:w="156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Name:</w:t>
            </w:r>
          </w:p>
        </w:tc>
        <w:tc>
          <w:tcPr>
            <w:tcW w:w="4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Kevin Donnelly</w:t>
            </w:r>
          </w:p>
        </w:tc>
      </w:tr>
      <w:tr>
        <w:trPr>
          <w:trHeight w:val="196"/>
        </w:trPr>
        <w:tc>
          <w:tcPr>
            <w:tcW w:w="3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4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auto"/>
              </w:rPr>
              <w:t>Executive Vice President, General Counsel and</w:t>
            </w:r>
          </w:p>
        </w:tc>
      </w:tr>
      <w:tr>
        <w:trPr>
          <w:trHeight w:val="283"/>
        </w:trPr>
        <w:tc>
          <w:tcPr>
            <w:tcW w:w="3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0" w:type="dxa"/>
            <w:vAlign w:val="bottom"/>
            <w:gridSpan w:val="2"/>
          </w:tcPr>
          <w:p>
            <w:pPr>
              <w:ind w:left="1080"/>
              <w:spacing w:after="0"/>
              <w:rPr>
                <w:sz w:val="20"/>
                <w:szCs w:val="20"/>
                <w:color w:val="auto"/>
              </w:rPr>
            </w:pPr>
            <w:r>
              <w:rPr>
                <w:rFonts w:ascii="Times New Roman" w:cs="Times New Roman" w:eastAsia="Times New Roman" w:hAnsi="Times New Roman"/>
                <w:sz w:val="22"/>
                <w:szCs w:val="22"/>
                <w:color w:val="auto"/>
              </w:rPr>
              <w:t>Title: Corporate Secretary</w:t>
            </w:r>
          </w:p>
        </w:tc>
      </w:tr>
      <w:tr>
        <w:trPr>
          <w:trHeight w:val="20"/>
        </w:trPr>
        <w:tc>
          <w:tcPr>
            <w:tcW w:w="3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r>
        <w:trPr>
          <w:trHeight w:val="506"/>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12/31/2025</w:t>
            </w:r>
          </w:p>
        </w:tc>
        <w:tc>
          <w:tcPr>
            <w:tcW w:w="1220" w:type="dxa"/>
            <w:vAlign w:val="bottom"/>
          </w:tcPr>
          <w:p>
            <w:pPr>
              <w:spacing w:after="0"/>
              <w:rPr>
                <w:sz w:val="24"/>
                <w:szCs w:val="24"/>
                <w:color w:val="auto"/>
              </w:rPr>
            </w:pPr>
          </w:p>
        </w:tc>
        <w:tc>
          <w:tcPr>
            <w:tcW w:w="5800" w:type="dxa"/>
            <w:vAlign w:val="bottom"/>
            <w:gridSpan w:val="2"/>
          </w:tcPr>
          <w:p>
            <w:pPr>
              <w:ind w:left="1080"/>
              <w:spacing w:after="0"/>
              <w:rPr>
                <w:sz w:val="20"/>
                <w:szCs w:val="20"/>
                <w:color w:val="auto"/>
              </w:rPr>
            </w:pPr>
            <w:r>
              <w:rPr>
                <w:rFonts w:ascii="Times New Roman" w:cs="Times New Roman" w:eastAsia="Times New Roman" w:hAnsi="Times New Roman"/>
                <w:sz w:val="22"/>
                <w:szCs w:val="22"/>
                <w:color w:val="auto"/>
              </w:rPr>
              <w:t>Date: 12/31/2025</w:t>
            </w:r>
          </w:p>
        </w:tc>
      </w:tr>
      <w:tr>
        <w:trPr>
          <w:trHeight w:val="20"/>
        </w:trPr>
        <w:tc>
          <w:tcPr>
            <w:tcW w:w="3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40" w:type="dxa"/>
            <w:vAlign w:val="bottom"/>
            <w:shd w:val="clear" w:color="auto" w:fill="000000"/>
          </w:tcPr>
          <w:p>
            <w:pPr>
              <w:spacing w:after="0" w:line="20" w:lineRule="exact"/>
              <w:rPr>
                <w:sz w:val="1"/>
                <w:szCs w:val="1"/>
                <w:color w:val="auto"/>
              </w:rPr>
            </w:pPr>
          </w:p>
        </w:tc>
      </w:tr>
    </w:tbl>
    <w:p>
      <w:pPr>
        <w:sectPr>
          <w:pgSz w:w="11900" w:h="16838" w:orient="portrait"/>
          <w:cols w:equalWidth="0" w:num="1">
            <w:col w:w="10980"/>
          </w:cols>
          <w:pgMar w:left="58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Tredegar Corporation</w:t>
            </w:r>
          </w:p>
        </w:tc>
        <w:tc>
          <w:tcPr>
            <w:tcW w:w="1900" w:type="dxa"/>
            <w:vAlign w:val="bottom"/>
          </w:tcPr>
          <w:p>
            <w:pPr>
              <w:spacing w:after="0"/>
              <w:rPr>
                <w:sz w:val="24"/>
                <w:szCs w:val="24"/>
                <w:color w:val="auto"/>
              </w:rPr>
            </w:pPr>
          </w:p>
        </w:tc>
      </w:tr>
      <w:tr>
        <w:trPr>
          <w:trHeight w:val="474"/>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6"/>
              </w:rPr>
              <w:t>Entity</w:t>
            </w:r>
          </w:p>
        </w:tc>
        <w:tc>
          <w:tcPr>
            <w:tcW w:w="564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State of Incorporation</w:t>
            </w:r>
          </w:p>
        </w:tc>
      </w:tr>
      <w:tr>
        <w:trPr>
          <w:trHeight w:val="329"/>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Corporation</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Aluminum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Campo Limited Partnership</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Texas</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 L Holdings,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(Clearfield),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(Corporate),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(Elkhart),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Bonnell Aluminum (Niles),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El Campo GP,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Guangzhou Tredegar Film Products Company Limited</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China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Idlewood Properties,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Terphane Acquisition Corp. II</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Cayman Islands</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Far East Corporation</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Film Products (Korea),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Republic of Korea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Performance Films Inc.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r>
        <w:trPr>
          <w:trHeight w:val="297"/>
        </w:trPr>
        <w:tc>
          <w:tcPr>
            <w:tcW w:w="61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Tredegar Surface Protection, LLC</w:t>
            </w:r>
          </w:p>
        </w:tc>
        <w:tc>
          <w:tcPr>
            <w:tcW w:w="1900" w:type="dxa"/>
            <w:vAlign w:val="bottom"/>
          </w:tcPr>
          <w:p>
            <w:pPr>
              <w:spacing w:after="0"/>
              <w:rPr>
                <w:sz w:val="20"/>
                <w:szCs w:val="20"/>
                <w:color w:val="auto"/>
              </w:rPr>
            </w:pPr>
            <w:r>
              <w:rPr>
                <w:rFonts w:ascii="Times New Roman" w:cs="Times New Roman" w:eastAsia="Times New Roman" w:hAnsi="Times New Roman"/>
                <w:sz w:val="22"/>
                <w:szCs w:val="22"/>
                <w:color w:val="auto"/>
              </w:rPr>
              <w:t>Virginia</w:t>
            </w:r>
          </w:p>
        </w:tc>
      </w:tr>
    </w:tbl>
    <w:p>
      <w:pPr>
        <w:sectPr>
          <w:pgSz w:w="11900" w:h="16838" w:orient="portrait"/>
          <w:cols w:equalWidth="0" w:num="1">
            <w:col w:w="11220"/>
          </w:cols>
          <w:pgMar w:left="340" w:top="11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5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333-120132, No. 333-115423, No. 333-66562, No. 033-64647, No. 333-257153, and No. 333-230386) on Form S-8 of our reports dated March 11, 2026, with respect to the consolidated financial statements of Tredegar Corporation and the effectiveness of internal control over financial reporting.</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Richmond,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240"/>
          </w:cols>
          <w:pgMar w:left="320" w:top="98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Arijit (Bapi) DasGupta, certify that:</w:t>
      </w:r>
    </w:p>
    <w:p>
      <w:pPr>
        <w:spacing w:after="0" w:line="117"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Arijit (Bapi) DasGupta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17145</wp:posOffset>
            </wp:positionV>
            <wp:extent cx="39516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Arijit (Bapi) DasGupta</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Frasier W. Brickhouse, II, certify that:</w:t>
      </w:r>
    </w:p>
    <w:p>
      <w:pPr>
        <w:spacing w:after="0" w:line="117"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year ended December 31, 2025, of Tredegar Corporation;</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40" w:hanging="644"/>
        <w:spacing w:after="0" w:line="312" w:lineRule="auto"/>
        <w:tabs>
          <w:tab w:leader="none" w:pos="129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00" w:lineRule="exact"/>
        <w:rPr>
          <w:sz w:val="20"/>
          <w:szCs w:val="20"/>
          <w:color w:val="auto"/>
        </w:rPr>
      </w:pPr>
    </w:p>
    <w:p>
      <w:pPr>
        <w:spacing w:after="0" w:line="33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Frasier W. Brickhouse,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2918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Frasier W. Brickhouse, II</w:t>
      </w:r>
    </w:p>
    <w:p>
      <w:pPr>
        <w:spacing w:after="0" w:line="2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2025 as filed with the Securities and Exchange Commission on the date hereof (the “Report”), I, Arijit (Bapi) DasGupta, President and Chief Executive Officer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Arijit (Bapi) DasGupta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546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Arijit (Bapi) DasGupta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240"/>
          </w:cols>
          <w:pgMar w:left="320" w:top="88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Tredegar Corporation (the “Company”) for the year ended December 31, 2025 as filed with the Securities and Exchange Commission on the date hereof (the “Report”), I, Frasier W. Brickhouse, II, Vice President, Chief Financial Officer and Treasurer of the Company, certify, pursuant to 18 U.S.C. § 1350, as adopted pursuant to § 906 of the Sarbanes-Oxley Act of 2002, that:</w:t>
      </w:r>
    </w:p>
    <w:p>
      <w:pPr>
        <w:spacing w:after="0" w:line="54" w:lineRule="exact"/>
        <w:rPr>
          <w:sz w:val="20"/>
          <w:szCs w:val="20"/>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Frasier W. Brickhouse,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546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Frasier W. Brickhouse, II</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11,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x"/>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
      <w:numFmt w:val="bullet"/>
      <w:start w:val="1"/>
    </w:lvl>
    <w:lvl w:ilvl="1">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
      <w:numFmt w:val="bullet"/>
      <w:start w:val="1"/>
    </w:lvl>
    <w:lvl w:ilvl="1">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lvl w:ilvl="1">
      <w:lvlJc w:val="left"/>
      <w:lvlText w:val="◦"/>
      <w:numFmt w:val="bullet"/>
      <w:start w:val="1"/>
    </w:lvl>
  </w:abstractNum>
  <w:abstractNum w:abstractNumId="21">
    <w:nsid w:val="580BD78F"/>
    <w:multiLevelType w:val="hybridMultilevel"/>
    <w:lvl w:ilvl="0">
      <w:lvlJc w:val="left"/>
      <w:lvlText w:val="•"/>
      <w:numFmt w:val="bullet"/>
      <w:start w:val="1"/>
    </w:lvl>
    <w:lvl w:ilvl="1">
      <w:lvlJc w:val="left"/>
      <w:lvlText w:val="◦"/>
      <w:numFmt w:val="bullet"/>
      <w:start w:val="1"/>
    </w:lvl>
  </w:abstractNum>
  <w:abstractNum w:abstractNumId="22">
    <w:nsid w:val="153EA438"/>
    <w:multiLevelType w:val="hybridMultilevel"/>
    <w:lvl w:ilvl="0">
      <w:lvlJc w:val="left"/>
      <w:lvlText w:val="(%1)"/>
      <w:numFmt w:val="lowerLetter"/>
      <w:start w:val="25"/>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decimal"/>
      <w:start w:val="2"/>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decimal"/>
      <w:start w:val="7"/>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15"/>
    </w:lvl>
  </w:abstractNum>
  <w:abstractNum w:abstractNumId="34">
    <w:nsid w:val="6DE91B18"/>
    <w:multiLevelType w:val="hybridMultilevel"/>
    <w:lvl w:ilvl="0">
      <w:lvlJc w:val="left"/>
      <w:lvlText w:val="(%1)"/>
      <w:numFmt w:val="lowerLetter"/>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lvl w:ilvl="1">
      <w:lvlJc w:val="left"/>
      <w:lvlText w:val="%2"/>
      <w:numFmt w:val="decimal"/>
      <w:start w:val="97"/>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upperLetter"/>
      <w:start w:val="1"/>
    </w:lvl>
  </w:abstractNum>
  <w:abstractNum w:abstractNumId="41">
    <w:nsid w:val="3DC240FB"/>
    <w:multiLevelType w:val="hybridMultilevel"/>
    <w:lvl w:ilvl="0">
      <w:lvlJc w:val="left"/>
      <w:lvlText w:val="(%1)"/>
      <w:numFmt w:val="upperLetter"/>
      <w:start w:val="2"/>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1."/>
      <w:numFmt w:val="decimal"/>
      <w:start w:val="3"/>
    </w:lvl>
  </w:abstractNum>
  <w:abstractNum w:abstractNumId="44">
    <w:nsid w:val="75C6C33A"/>
    <w:multiLevelType w:val="hybridMultilevel"/>
    <w:lvl w:ilvl="0">
      <w:lvlJc w:val="left"/>
      <w:lvlText w:val="%1."/>
      <w:numFmt w:val="decimal"/>
      <w:start w:val="6"/>
    </w:lvl>
  </w:abstractNum>
  <w:abstractNum w:abstractNumId="45">
    <w:nsid w:val="12E685FB"/>
    <w:multiLevelType w:val="hybridMultilevel"/>
    <w:lvl w:ilvl="0">
      <w:lvlJc w:val="left"/>
      <w:lvlText w:val="%1."/>
      <w:numFmt w:val="decimal"/>
      <w:start w:val="10"/>
    </w:lvl>
  </w:abstractNum>
  <w:abstractNum w:abstractNumId="46">
    <w:nsid w:val="70C6A529"/>
    <w:multiLevelType w:val="hybridMultilevel"/>
    <w:lvl w:ilvl="0">
      <w:lvlJc w:val="left"/>
      <w:lvlText w:val="%1"/>
      <w:numFmt w:val="decimal"/>
      <w:start w:val="1"/>
    </w:lvl>
    <w:lvl w:ilvl="1">
      <w:lvlJc w:val="left"/>
      <w:lvlText w:val="%2."/>
      <w:numFmt w:val="decimal"/>
      <w:start w:val="13"/>
    </w:lvl>
  </w:abstractNum>
  <w:abstractNum w:abstractNumId="47">
    <w:nsid w:val="520EEDD1"/>
    <w:multiLevelType w:val="hybridMultilevel"/>
    <w:lvl w:ilvl="0">
      <w:lvlJc w:val="left"/>
      <w:lvlText w:val="(%1)"/>
      <w:numFmt w:val="decimal"/>
      <w:start w:val="7"/>
    </w:lvl>
    <w:lvl w:ilvl="1">
      <w:lvlJc w:val="left"/>
      <w:lvlText w:val="%2"/>
      <w:numFmt w:val="decimal"/>
      <w:start w:val="1"/>
    </w:lvl>
  </w:abstractNum>
  <w:abstractNum w:abstractNumId="48">
    <w:nsid w:val="374A3FE6"/>
    <w:multiLevelType w:val="hybridMultilevel"/>
    <w:lvl w:ilvl="0">
      <w:lvlJc w:val="left"/>
      <w:lvlText w:val="%1."/>
      <w:numFmt w:val="decimal"/>
      <w:start w:val="16"/>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decimal"/>
      <w:start w:val="17"/>
    </w:lvl>
  </w:abstractNum>
  <w:abstractNum w:abstractNumId="51">
    <w:nsid w:val="649BB77C"/>
    <w:multiLevelType w:val="hybridMultilevel"/>
    <w:lvl w:ilvl="0">
      <w:lvlJc w:val="left"/>
      <w:lvlText w:val="%1."/>
      <w:numFmt w:val="decimal"/>
      <w:start w:val="19"/>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1."/>
      <w:numFmt w:val="decimal"/>
      <w:start w:val="8"/>
    </w:lvl>
    <w:lvl w:ilvl="1">
      <w:lvlJc w:val="left"/>
      <w:lvlText w:val="(%2)"/>
      <w:numFmt w:val="lowerLetter"/>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16" Type="http://schemas.openxmlformats.org/officeDocument/2006/relationships/image" Target="media/image95.png"/><Relationship Id="rId118" Type="http://schemas.openxmlformats.org/officeDocument/2006/relationships/image" Target="media/image96.png"/><Relationship Id="rId121" Type="http://schemas.openxmlformats.org/officeDocument/2006/relationships/image" Target="media/image97.png"/><Relationship Id="rId124" Type="http://schemas.openxmlformats.org/officeDocument/2006/relationships/image" Target="media/image98.png"/><Relationship Id="rId127" Type="http://schemas.openxmlformats.org/officeDocument/2006/relationships/image" Target="media/image99.png"/><Relationship Id="rId130" Type="http://schemas.openxmlformats.org/officeDocument/2006/relationships/image" Target="media/image100.png"/><Relationship Id="rId133" Type="http://schemas.openxmlformats.org/officeDocument/2006/relationships/image" Target="media/image101.png"/><Relationship Id="rId136" Type="http://schemas.openxmlformats.org/officeDocument/2006/relationships/image" Target="media/image102.png"/><Relationship Id="rId139" Type="http://schemas.openxmlformats.org/officeDocument/2006/relationships/image" Target="media/image103.png"/><Relationship Id="rId142" Type="http://schemas.openxmlformats.org/officeDocument/2006/relationships/image" Target="media/image104.png"/><Relationship Id="rId145" Type="http://schemas.openxmlformats.org/officeDocument/2006/relationships/image" Target="media/image105.png"/><Relationship Id="rId146" Type="http://schemas.openxmlformats.org/officeDocument/2006/relationships/image" Target="media/image106.png"/><Relationship Id="rId149" Type="http://schemas.openxmlformats.org/officeDocument/2006/relationships/image" Target="media/image107.png"/><Relationship Id="rId152" Type="http://schemas.openxmlformats.org/officeDocument/2006/relationships/image" Target="media/image108.png"/><Relationship Id="rId154"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02" Type="http://schemas.openxmlformats.org/officeDocument/2006/relationships/hyperlink" Target="https://www.sec.gov/Archives/edgar/data/850429/000119312523228143/d539320dex21.htm" TargetMode="External"/><Relationship Id="rId103" Type="http://schemas.openxmlformats.org/officeDocument/2006/relationships/hyperlink" Target="https://www.sec.gov/ix?doc=/Archives/edgar/data/850429/000119312524252051/d800587d8k.htm" TargetMode="External"/><Relationship Id="rId104" Type="http://schemas.openxmlformats.org/officeDocument/2006/relationships/hyperlink" Target="https://www.sec.gov/Archives/edgar/data/850429/000116923205001684/d62922_ex3-1.htm" TargetMode="External"/><Relationship Id="rId105" Type="http://schemas.openxmlformats.org/officeDocument/2006/relationships/hyperlink" Target="https://www.sec.gov/Archives/edgar/data/850429/000116923205001684/d62922_ex3-3.htm" TargetMode="External"/><Relationship Id="rId106" Type="http://schemas.openxmlformats.org/officeDocument/2006/relationships/hyperlink" Target="https://www.sec.gov/Archives/edgar/data/850429/000114036113023124/ex3_1.htm" TargetMode="External"/><Relationship Id="rId107" Type="http://schemas.openxmlformats.org/officeDocument/2006/relationships/hyperlink" Target="https://www.sec.gov/Archives/edgar/data/850429/000085042916000130/tg-ex31_20160504xamendarti.htm" TargetMode="External"/><Relationship Id="rId108" Type="http://schemas.openxmlformats.org/officeDocument/2006/relationships/hyperlink" Target="https://www.sec.gov/Archives/edgar/data/850429/000085042923000020/ex31-20230804bylaws.htm" TargetMode="External"/><Relationship Id="rId109" Type="http://schemas.openxmlformats.org/officeDocument/2006/relationships/hyperlink" Target="https://www.sec.gov/Archives/edgar/data/0000850429/000085042920000014/tg-ex41_20191231x10k.htm" TargetMode="External"/><Relationship Id="rId110" Type="http://schemas.openxmlformats.org/officeDocument/2006/relationships/hyperlink" Target="https://www.sec.gov/Archives/edgar/data/850429/000119312522186190/d376114dex41.htm" TargetMode="External"/><Relationship Id="rId111" Type="http://schemas.openxmlformats.org/officeDocument/2006/relationships/hyperlink" Target="https://www.sec.gov/Archives/edgar/data/850429/000119312522186190/d376114dex42.htm" TargetMode="External"/><Relationship Id="rId112" Type="http://schemas.openxmlformats.org/officeDocument/2006/relationships/hyperlink" Target="https://www.sec.gov/Archives/edgar/data/850429/000119312522186190/d376114dex43.htm" TargetMode="External"/><Relationship Id="rId113" Type="http://schemas.openxmlformats.org/officeDocument/2006/relationships/hyperlink" Target="https://www.sec.gov/Archives/edgar/data/850429/000085042923000023/tg-ex101_20230630x10q.htm" TargetMode="External"/><Relationship Id="rId114" Type="http://schemas.openxmlformats.org/officeDocument/2006/relationships/hyperlink" Target="https://www.sec.gov/Archives/edgar/data/850429/000085042923000023/tg-ex102_20230630x10q.htm" TargetMode="External"/><Relationship Id="rId115" Type="http://schemas.openxmlformats.org/officeDocument/2006/relationships/hyperlink" Target="https://www.sec.gov/Archives/edgar/data/850429/000119312523304471/d468304dex41.htm" TargetMode="External"/><Relationship Id="rId117" Type="http://schemas.openxmlformats.org/officeDocument/2006/relationships/hyperlink" Target="https://www.sec.gov/Archives/edgar/data/850429/000119312523304471/d468304dex42.htm" TargetMode="External"/><Relationship Id="rId119" Type="http://schemas.openxmlformats.org/officeDocument/2006/relationships/hyperlink" Target="https://www.sec.gov/ix?doc=/Archives/edgar/data/0000850429/000085042924000008/tg-20240422.htm" TargetMode="External"/><Relationship Id="rId120" Type="http://schemas.openxmlformats.org/officeDocument/2006/relationships/hyperlink" Target="https://www.sec.gov/Archives/edgar/data/850429/000119312525116460/d932956dex101.htm" TargetMode="External"/><Relationship Id="rId122" Type="http://schemas.openxmlformats.org/officeDocument/2006/relationships/hyperlink" Target="https://www.sec.gov/Archives/edgar/data/850429/000116923205001684/d62922_ex10-1.htm" TargetMode="External"/><Relationship Id="rId123" Type="http://schemas.openxmlformats.org/officeDocument/2006/relationships/hyperlink" Target="https://www.sec.gov/Archives/edgar/data/850429/000116923205001684/d62922_ex10-2.htm" TargetMode="External"/><Relationship Id="rId125" Type="http://schemas.openxmlformats.org/officeDocument/2006/relationships/hyperlink" Target="https://www.sec.gov/Archives/edgar/data/850429/000116923205001684/d62922_ex10-3.htm" TargetMode="External"/><Relationship Id="rId126" Type="http://schemas.openxmlformats.org/officeDocument/2006/relationships/hyperlink" Target="https://www.sec.gov/Archives/edgar/data/850429/000116923205001684/d62922_ex10-4.htm" TargetMode="External"/><Relationship Id="rId128" Type="http://schemas.openxmlformats.org/officeDocument/2006/relationships/hyperlink" Target="https://www.sec.gov/Archives/edgar/data/850429/000116923205001684/d62922_ex10-7.htm" TargetMode="External"/><Relationship Id="rId129" Type="http://schemas.openxmlformats.org/officeDocument/2006/relationships/hyperlink" Target="https://www.sec.gov/Archives/edgar/data/850429/000116923205001684/d62922_ex10-71.htm" TargetMode="External"/><Relationship Id="rId131" Type="http://schemas.openxmlformats.org/officeDocument/2006/relationships/hyperlink" Target="https://www.sec.gov/Archives/edgar/data/850429/000085042914000024/tg-ex106_20131231x10k.htm" TargetMode="External"/><Relationship Id="rId132" Type="http://schemas.openxmlformats.org/officeDocument/2006/relationships/hyperlink" Target="https://www.sec.gov/Archives/edgar/data/850429/000085042904000084/ex1091.htm" TargetMode="External"/><Relationship Id="rId134" Type="http://schemas.openxmlformats.org/officeDocument/2006/relationships/hyperlink" Target="https://www.sec.gov/Archives/edgar/data/850429/000116923209002106/d76734_pre14a.htm" TargetMode="External"/><Relationship Id="rId135" Type="http://schemas.openxmlformats.org/officeDocument/2006/relationships/hyperlink" Target="https://www.sec.gov/Archives/edgar/data/850429/000114036113009574/ex10_3.htm" TargetMode="External"/><Relationship Id="rId137" Type="http://schemas.openxmlformats.org/officeDocument/2006/relationships/hyperlink" Target="https://www.sec.gov/Archives/edgar/data/850429/000114036116055760/ex10_1.htm" TargetMode="External"/><Relationship Id="rId138" Type="http://schemas.openxmlformats.org/officeDocument/2006/relationships/hyperlink" Target="https://www.sec.gov/Archives/edgar/data/850429/000114036116055760/ex10_2.htm" TargetMode="External"/><Relationship Id="rId140" Type="http://schemas.openxmlformats.org/officeDocument/2006/relationships/hyperlink" Target="https://www.sec.gov/Archives/edgar/data/850429/000085042920000036/tg-ex101820200331x10qx.htm" TargetMode="External"/><Relationship Id="rId141" Type="http://schemas.openxmlformats.org/officeDocument/2006/relationships/hyperlink" Target="https://www.sec.gov/Archives/edgar/data/850429/000085042920000036/tg-ex101920200331x10qx.htm" TargetMode="External"/><Relationship Id="rId143" Type="http://schemas.openxmlformats.org/officeDocument/2006/relationships/hyperlink" Target="https://www.sec.gov/Archives/edgar/data/850429/000085042920000036/tg-ex102020200331x10qx.htm" TargetMode="External"/><Relationship Id="rId144" Type="http://schemas.openxmlformats.org/officeDocument/2006/relationships/hyperlink" Target="https://www.sec.gov/Archives/edgar/data/850429/000114036121010026/brhc10022061_def14a.htm" TargetMode="External"/><Relationship Id="rId147" Type="http://schemas.openxmlformats.org/officeDocument/2006/relationships/hyperlink" Target="https://www.sec.gov/Archives/edgar/data/850429/000114036118021973/ex10_1.htm" TargetMode="External"/><Relationship Id="rId148" Type="http://schemas.openxmlformats.org/officeDocument/2006/relationships/hyperlink" Target="https://www.sec.gov/Archives/edgar/data/850429/000156761919007136/forms8.htm" TargetMode="External"/><Relationship Id="rId150" Type="http://schemas.openxmlformats.org/officeDocument/2006/relationships/hyperlink" Target="https://www.sec.gov/Archives/edgar/data/850429/000119312523250760/d509382dex101.htm" TargetMode="External"/><Relationship Id="rId151" Type="http://schemas.openxmlformats.org/officeDocument/2006/relationships/hyperlink" Target="https://www.sec.gov/Archives/edgar/data/850429/000119312523271467/d578688dex101.htm" TargetMode="External"/><Relationship Id="rId153" Type="http://schemas.openxmlformats.org/officeDocument/2006/relationships/hyperlink" Target="https://www.sec.gov/ix?doc=/Archives/edgar/data/850429/000085042924000012/tg-20240331.htm" TargetMode="External"/><Relationship Id="rId155" Type="http://schemas.openxmlformats.org/officeDocument/2006/relationships/hyperlink" Target="https://www.sec.gov/Archives/edgar/data/850429/000085042925000004/tg-ex19_20241231x10xk.htm" TargetMode="External"/><Relationship Id="rId158" Type="http://schemas.openxmlformats.org/officeDocument/2006/relationships/hyperlink" Target="https://www.sec.gov/ix?doc=/Archives/edgar/data/850429/000085042924000004/tg-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2026-03-11T07:28:38Z</dcterms:created>
  <dcterms:modified xsi:type="dcterms:W3CDTF">2026-03-11T07:28:38Z</dcterms:modified>
</cp:coreProperties>
</file>