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52705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83820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680" w:right="20" w:hanging="402"/>
        <w:spacing w:after="0" w:line="235"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hanging="443"/>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Arial" w:cs="Arial" w:eastAsia="Arial" w:hAnsi="Arial"/>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102"/>
        </w:trPr>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Tredegar Corporation</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54-1497771</w:t>
      </w:r>
    </w:p>
    <w:p>
      <w:pPr>
        <w:spacing w:after="0" w:line="44" w:lineRule="exact"/>
        <w:rPr>
          <w:sz w:val="24"/>
          <w:szCs w:val="24"/>
          <w:color w:val="auto"/>
        </w:rPr>
      </w:pPr>
    </w:p>
    <w:p>
      <w:pPr>
        <w:sectPr>
          <w:pgSz w:w="11900" w:h="16838" w:orient="portrait"/>
          <w:cols w:equalWidth="0" w:num="2">
            <w:col w:w="7360" w:space="720"/>
            <w:col w:w="3100"/>
          </w:cols>
          <w:pgMar w:left="320" w:top="773" w:right="399" w:bottom="1440" w:gutter="0" w:footer="0" w:header="0"/>
          <w:type w:val="continuous"/>
        </w:sectPr>
      </w:pPr>
    </w:p>
    <w:p>
      <w:pPr>
        <w:spacing w:after="0" w:line="6"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6"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2">
            <w:col w:w="7220" w:space="720"/>
            <w:col w:w="3240"/>
          </w:cols>
          <w:pgMar w:left="320" w:top="773" w:right="399" w:bottom="1440" w:gutter="0" w:footer="0" w:header="0"/>
          <w:type w:val="continuous"/>
        </w:sectPr>
      </w:pPr>
    </w:p>
    <w:p>
      <w:pPr>
        <w:ind w:left="2520"/>
        <w:spacing w:after="0"/>
        <w:rPr>
          <w:sz w:val="20"/>
          <w:szCs w:val="20"/>
          <w:color w:val="auto"/>
        </w:rPr>
      </w:pPr>
      <w:r>
        <w:rPr>
          <w:rFonts w:ascii="Arial" w:cs="Arial" w:eastAsia="Arial" w:hAnsi="Arial"/>
          <w:sz w:val="16"/>
          <w:szCs w:val="16"/>
          <w:b w:val="1"/>
          <w:bCs w:val="1"/>
          <w:color w:val="auto"/>
        </w:rPr>
        <w:t>1100 Boulders Parkway</w:t>
      </w:r>
    </w:p>
    <w:p>
      <w:pPr>
        <w:spacing w:after="0" w:line="50"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23225</w:t>
      </w:r>
    </w:p>
    <w:p>
      <w:pPr>
        <w:spacing w:after="0" w:line="50" w:lineRule="exact"/>
        <w:rPr>
          <w:sz w:val="24"/>
          <w:szCs w:val="24"/>
          <w:color w:val="auto"/>
        </w:rPr>
      </w:pPr>
    </w:p>
    <w:p>
      <w:pPr>
        <w:sectPr>
          <w:pgSz w:w="11900" w:h="16838" w:orient="portrait"/>
          <w:cols w:equalWidth="0" w:num="2">
            <w:col w:w="8220" w:space="720"/>
            <w:col w:w="2240"/>
          </w:cols>
          <w:pgMar w:left="320" w:top="773" w:right="399" w:bottom="1440" w:gutter="0" w:footer="0" w:header="0"/>
          <w:type w:val="continuous"/>
        </w:sectPr>
      </w:pPr>
    </w:p>
    <w:p>
      <w:pPr>
        <w:ind w:left="22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73" w:right="399" w:bottom="1440" w:gutter="0" w:footer="0" w:header="0"/>
          <w:type w:val="continuous"/>
        </w:sectPr>
      </w:pP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Trading</w:t>
            </w: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43"/>
        </w:trPr>
        <w:tc>
          <w:tcPr>
            <w:tcW w:w="30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Symbol(s)</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r>
      <w:tr>
        <w:trPr>
          <w:trHeight w:val="223"/>
        </w:trPr>
        <w:tc>
          <w:tcPr>
            <w:tcW w:w="30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Common stock, no par value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TG</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95" w:lineRule="exact"/>
        <w:rPr>
          <w:sz w:val="24"/>
          <w:szCs w:val="24"/>
          <w:color w:val="auto"/>
        </w:rPr>
      </w:pPr>
    </w:p>
    <w:p>
      <w:pPr>
        <w:ind w:right="220" w:firstLine="405"/>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65" w:lineRule="exact"/>
        <w:rPr>
          <w:sz w:val="24"/>
          <w:szCs w:val="24"/>
          <w:color w:val="auto"/>
        </w:rPr>
      </w:pPr>
    </w:p>
    <w:p>
      <w:pPr>
        <w:ind w:firstLine="445"/>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65" w:lineRule="exact"/>
        <w:rPr>
          <w:sz w:val="24"/>
          <w:szCs w:val="24"/>
          <w:color w:val="auto"/>
        </w:rPr>
      </w:pPr>
    </w:p>
    <w:p>
      <w:pPr>
        <w:jc w:val="both"/>
        <w:ind w:right="240" w:firstLine="445"/>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73" w:right="399" w:bottom="1440" w:gutter="0" w:footer="0" w:header="0"/>
          <w:type w:val="continuous"/>
        </w:sectPr>
      </w:pPr>
    </w:p>
    <w:p>
      <w:pPr>
        <w:spacing w:after="0" w:line="25"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15" w:lineRule="exact"/>
        <w:rPr>
          <w:sz w:val="24"/>
          <w:szCs w:val="24"/>
          <w:color w:val="auto"/>
        </w:rPr>
      </w:pPr>
    </w:p>
    <w:p>
      <w:pPr>
        <w:sectPr>
          <w:pgSz w:w="11900" w:h="16838" w:orient="portrait"/>
          <w:cols w:equalWidth="0" w:num="6">
            <w:col w:w="1560" w:space="720"/>
            <w:col w:w="2220" w:space="720"/>
            <w:col w:w="1460" w:space="720"/>
            <w:col w:w="80" w:space="160"/>
            <w:col w:w="2040" w:space="720"/>
            <w:col w:w="780"/>
          </w:cols>
          <w:pgMar w:left="320" w:top="773" w:right="399" w:bottom="1440" w:gutter="0" w:footer="0" w:header="0"/>
          <w:type w:val="continuous"/>
        </w:sectPr>
      </w:pPr>
    </w:p>
    <w:p>
      <w:pPr>
        <w:spacing w:after="0" w:line="37"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8" w:lineRule="exact"/>
        <w:rPr>
          <w:sz w:val="24"/>
          <w:szCs w:val="24"/>
          <w:color w:val="auto"/>
        </w:rPr>
      </w:pPr>
    </w:p>
    <w:p>
      <w:pPr>
        <w:sectPr>
          <w:pgSz w:w="11900" w:h="16838" w:orient="portrait"/>
          <w:cols w:equalWidth="0" w:num="4">
            <w:col w:w="1560" w:space="720"/>
            <w:col w:w="4640" w:space="720"/>
            <w:col w:w="2040" w:space="720"/>
            <w:col w:w="780"/>
          </w:cols>
          <w:pgMar w:left="320" w:top="773" w:right="399" w:bottom="1440" w:gutter="0" w:footer="0" w:header="0"/>
          <w:type w:val="continuous"/>
        </w:sectPr>
      </w:pPr>
    </w:p>
    <w:p>
      <w:pPr>
        <w:ind w:right="120" w:firstLine="405"/>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460" w:right="222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shares of Common Stock, no par value, outstanding as of November 3, 2023: 34,408,638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b w:val="1"/>
                <w:bCs w:val="1"/>
                <w:color w:val="0000FF"/>
              </w:rPr>
              <w:t>Part I</w:t>
            </w:r>
          </w:p>
        </w:tc>
        <w:tc>
          <w:tcPr>
            <w:tcW w:w="9320" w:type="dxa"/>
            <w:vAlign w:val="bottom"/>
            <w:gridSpan w:val="17"/>
          </w:tcPr>
          <w:p>
            <w:pPr>
              <w:spacing w:after="0"/>
              <w:rPr>
                <w:sz w:val="20"/>
                <w:szCs w:val="20"/>
                <w:color w:val="auto"/>
              </w:rPr>
            </w:pPr>
            <w:r>
              <w:rPr>
                <w:rFonts w:ascii="Arial" w:cs="Arial" w:eastAsia="Arial" w:hAnsi="Arial"/>
                <w:sz w:val="18"/>
                <w:szCs w:val="18"/>
                <w:b w:val="1"/>
                <w:bCs w:val="1"/>
                <w:color w:val="0000FF"/>
              </w:rPr>
              <w:t>Financial Information</w:t>
            </w: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Item 1.</w:t>
            </w:r>
          </w:p>
        </w:tc>
        <w:tc>
          <w:tcPr>
            <w:tcW w:w="400" w:type="dxa"/>
            <w:vAlign w:val="bottom"/>
            <w:gridSpan w:val="3"/>
          </w:tcPr>
          <w:p>
            <w:pPr>
              <w:spacing w:after="0"/>
              <w:rPr>
                <w:sz w:val="18"/>
                <w:szCs w:val="18"/>
                <w:color w:val="auto"/>
              </w:rPr>
            </w:pPr>
          </w:p>
        </w:tc>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Financial Statements</w:t>
            </w:r>
          </w:p>
        </w:tc>
        <w:tc>
          <w:tcPr>
            <w:tcW w:w="7820" w:type="dxa"/>
            <w:vAlign w:val="bottom"/>
            <w:gridSpan w:val="12"/>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Condensed Consolidated Balance Sheets (unaudited)</w:t>
            </w:r>
          </w:p>
        </w:tc>
        <w:tc>
          <w:tcPr>
            <w:tcW w:w="5520" w:type="dxa"/>
            <w:vAlign w:val="bottom"/>
            <w:gridSpan w:val="9"/>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Condensed Consolidated Statements of Income (Loss) (unaudited)</w:t>
            </w:r>
          </w:p>
        </w:tc>
        <w:tc>
          <w:tcPr>
            <w:tcW w:w="454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Condensed Consolidated Statements of Comprehensive Income (Loss) (unaudited)</w:t>
            </w:r>
          </w:p>
        </w:tc>
        <w:tc>
          <w:tcPr>
            <w:tcW w:w="336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Condensed Consolidated Statements of Cash Flows (unaudited)</w:t>
            </w:r>
          </w:p>
        </w:tc>
        <w:tc>
          <w:tcPr>
            <w:tcW w:w="4740" w:type="dxa"/>
            <w:vAlign w:val="bottom"/>
            <w:gridSpan w:val="7"/>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w w:val="90"/>
              </w:rPr>
              <w:t>Notes to the Condensed Consolidated Financial Statements (unaudited)</w:t>
            </w:r>
          </w:p>
        </w:tc>
        <w:tc>
          <w:tcPr>
            <w:tcW w:w="4100" w:type="dxa"/>
            <w:vAlign w:val="bottom"/>
            <w:gridSpan w:val="4"/>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87"/>
              </w:rPr>
              <w:t>Item 2.</w:t>
            </w:r>
          </w:p>
        </w:tc>
        <w:tc>
          <w:tcPr>
            <w:tcW w:w="400" w:type="dxa"/>
            <w:vAlign w:val="bottom"/>
            <w:gridSpan w:val="3"/>
          </w:tcPr>
          <w:p>
            <w:pPr>
              <w:spacing w:after="0"/>
              <w:rPr>
                <w:sz w:val="18"/>
                <w:szCs w:val="18"/>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87"/>
              </w:rPr>
              <w:t>Item 3</w:t>
            </w:r>
            <w:r>
              <w:rPr>
                <w:rFonts w:ascii="Arial" w:cs="Arial" w:eastAsia="Arial" w:hAnsi="Arial"/>
                <w:sz w:val="18"/>
                <w:szCs w:val="18"/>
                <w:color w:val="000000"/>
                <w:w w:val="87"/>
              </w:rPr>
              <w:t>.</w:t>
            </w:r>
          </w:p>
        </w:tc>
        <w:tc>
          <w:tcPr>
            <w:tcW w:w="400" w:type="dxa"/>
            <w:vAlign w:val="bottom"/>
            <w:gridSpan w:val="3"/>
          </w:tcPr>
          <w:p>
            <w:pPr>
              <w:spacing w:after="0"/>
              <w:rPr>
                <w:sz w:val="18"/>
                <w:szCs w:val="18"/>
                <w:color w:val="auto"/>
              </w:rPr>
            </w:pPr>
          </w:p>
        </w:tc>
        <w:tc>
          <w:tcPr>
            <w:tcW w:w="6420" w:type="dxa"/>
            <w:vAlign w:val="bottom"/>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900" w:type="dxa"/>
            <w:vAlign w:val="bottom"/>
            <w:gridSpan w:val="2"/>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7"/>
              </w:rPr>
              <w:t>Item 4.</w:t>
            </w:r>
          </w:p>
        </w:tc>
        <w:tc>
          <w:tcPr>
            <w:tcW w:w="400" w:type="dxa"/>
            <w:vAlign w:val="bottom"/>
            <w:gridSpan w:val="3"/>
          </w:tcPr>
          <w:p>
            <w:pPr>
              <w:spacing w:after="0"/>
              <w:rPr>
                <w:sz w:val="18"/>
                <w:szCs w:val="18"/>
                <w:color w:val="auto"/>
              </w:rPr>
            </w:pPr>
          </w:p>
        </w:tc>
        <w:tc>
          <w:tcPr>
            <w:tcW w:w="1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w w:val="87"/>
              </w:rPr>
              <w:t>Controls and Procedures</w:t>
            </w:r>
          </w:p>
        </w:tc>
        <w:tc>
          <w:tcPr>
            <w:tcW w:w="2580" w:type="dxa"/>
            <w:vAlign w:val="bottom"/>
            <w:tcBorders>
              <w:top w:val="single" w:sz="8" w:color="0000FF"/>
            </w:tcBorders>
            <w:gridSpan w:val="2"/>
          </w:tcPr>
          <w:p>
            <w:pPr>
              <w:spacing w:after="0"/>
              <w:rPr>
                <w:sz w:val="18"/>
                <w:szCs w:val="18"/>
                <w:color w:val="auto"/>
              </w:rPr>
            </w:pPr>
          </w:p>
        </w:tc>
        <w:tc>
          <w:tcPr>
            <w:tcW w:w="4980" w:type="dxa"/>
            <w:vAlign w:val="bottom"/>
            <w:gridSpan w:val="8"/>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Part II</w:t>
            </w:r>
          </w:p>
        </w:tc>
        <w:tc>
          <w:tcPr>
            <w:tcW w:w="380" w:type="dxa"/>
            <w:vAlign w:val="bottom"/>
            <w:gridSpan w:val="2"/>
          </w:tcPr>
          <w:p>
            <w:pPr>
              <w:spacing w:after="0"/>
              <w:rPr>
                <w:sz w:val="24"/>
                <w:szCs w:val="24"/>
                <w:color w:val="auto"/>
              </w:rPr>
            </w:pPr>
          </w:p>
        </w:tc>
        <w:tc>
          <w:tcPr>
            <w:tcW w:w="14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3"/>
              </w:rPr>
              <w:t>Other Information</w:t>
            </w:r>
          </w:p>
        </w:tc>
        <w:tc>
          <w:tcPr>
            <w:tcW w:w="7880" w:type="dxa"/>
            <w:vAlign w:val="bottom"/>
            <w:gridSpan w:val="13"/>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FF"/>
              </w:rPr>
              <w:t>Item 1A.</w:t>
            </w:r>
          </w:p>
        </w:tc>
        <w:tc>
          <w:tcPr>
            <w:tcW w:w="932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80" w:type="dxa"/>
            <w:vAlign w:val="bottom"/>
            <w:gridSpan w:val="1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280" w:type="dxa"/>
            <w:vAlign w:val="bottom"/>
          </w:tcPr>
          <w:p>
            <w:pPr>
              <w:spacing w:after="0"/>
              <w:rPr>
                <w:sz w:val="18"/>
                <w:szCs w:val="18"/>
                <w:color w:val="auto"/>
              </w:rPr>
            </w:pPr>
          </w:p>
        </w:tc>
        <w:tc>
          <w:tcPr>
            <w:tcW w:w="932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7"/>
              </w:rPr>
              <w:t>Item 5.</w:t>
            </w:r>
          </w:p>
        </w:tc>
        <w:tc>
          <w:tcPr>
            <w:tcW w:w="400" w:type="dxa"/>
            <w:vAlign w:val="bottom"/>
            <w:tcBorders>
              <w:top w:val="single" w:sz="8" w:color="0000FF"/>
            </w:tcBorders>
            <w:gridSpan w:val="3"/>
          </w:tcPr>
          <w:p>
            <w:pPr>
              <w:spacing w:after="0"/>
              <w:rPr>
                <w:sz w:val="18"/>
                <w:szCs w:val="18"/>
                <w:color w:val="auto"/>
              </w:rPr>
            </w:pPr>
          </w:p>
        </w:tc>
        <w:tc>
          <w:tcPr>
            <w:tcW w:w="71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Other Information</w:t>
            </w:r>
          </w:p>
        </w:tc>
        <w:tc>
          <w:tcPr>
            <w:tcW w:w="2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20" w:type="dxa"/>
            <w:vAlign w:val="bottom"/>
            <w:gridSpan w:val="1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87"/>
              </w:rPr>
              <w:t>Item 6.</w:t>
            </w:r>
          </w:p>
        </w:tc>
        <w:tc>
          <w:tcPr>
            <w:tcW w:w="400" w:type="dxa"/>
            <w:vAlign w:val="bottom"/>
            <w:gridSpan w:val="3"/>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0000FF"/>
              </w:rPr>
              <w:t>Exhibits</w:t>
            </w:r>
          </w:p>
        </w:tc>
        <w:tc>
          <w:tcPr>
            <w:tcW w:w="8020" w:type="dxa"/>
            <w:vAlign w:val="bottom"/>
            <w:gridSpan w:val="14"/>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Tredegar Corporation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(Unaudited)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838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September 30,</w:t>
            </w: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8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19,232</w:t>
            </w: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Accounts and other receivables, net</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70,344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84,544</w:t>
            </w:r>
          </w:p>
        </w:tc>
      </w:tr>
      <w:tr>
        <w:trPr>
          <w:trHeight w:val="229"/>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recoverable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83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79,301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127,771</w:t>
            </w:r>
          </w:p>
        </w:tc>
      </w:tr>
      <w:tr>
        <w:trPr>
          <w:trHeight w:val="230"/>
        </w:trPr>
        <w:tc>
          <w:tcPr>
            <w:tcW w:w="83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11,683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r>
      <w:tr>
        <w:trPr>
          <w:trHeight w:val="223"/>
        </w:trPr>
        <w:tc>
          <w:tcPr>
            <w:tcW w:w="838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211,632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242,584</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538,156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531,921</w:t>
            </w:r>
          </w:p>
        </w:tc>
      </w:tr>
      <w:tr>
        <w:trPr>
          <w:trHeight w:val="22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(352,358)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(345,510)</w:t>
            </w:r>
          </w:p>
        </w:tc>
      </w:tr>
      <w:tr>
        <w:trPr>
          <w:trHeight w:val="223"/>
        </w:trPr>
        <w:tc>
          <w:tcPr>
            <w:tcW w:w="8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property, plant and equipment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185,798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186,411</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Right-of-use leased assets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11,954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14,021</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 net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11,690</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35,717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70,608</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r>
      <w:tr>
        <w:trPr>
          <w:trHeight w:val="22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r>
      <w:tr>
        <w:trPr>
          <w:trHeight w:val="230"/>
        </w:trPr>
        <w:tc>
          <w:tcPr>
            <w:tcW w:w="83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479,517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542,093</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94,712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114,938</w:t>
            </w: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21,835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w:t>
            </w: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Lease liability, short-term</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29"/>
        </w:trPr>
        <w:tc>
          <w:tcPr>
            <w:tcW w:w="83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23"/>
        </w:trPr>
        <w:tc>
          <w:tcPr>
            <w:tcW w:w="83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119,189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149,713</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long-term</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137,000</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obligations, net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35,660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35,046</w:t>
            </w:r>
          </w:p>
        </w:tc>
      </w:tr>
      <w:tr>
        <w:trPr>
          <w:trHeight w:val="23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r>
      <w:tr>
        <w:trPr>
          <w:trHeight w:val="223"/>
        </w:trPr>
        <w:tc>
          <w:tcPr>
            <w:tcW w:w="8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325,326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340,331</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6"/>
        </w:trPr>
        <w:tc>
          <w:tcPr>
            <w:tcW w:w="8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Common stock, no par value (authorized shares 150,000,000, issued and outstanding 34,384,677 shares at</w:t>
            </w: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2023 and 34,000,642 shares at December 31, 2022)</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60,827</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58,824</w:t>
            </w:r>
          </w:p>
        </w:tc>
      </w:tr>
      <w:tr>
        <w:trPr>
          <w:trHeight w:val="175"/>
        </w:trPr>
        <w:tc>
          <w:tcPr>
            <w:tcW w:w="8380" w:type="dxa"/>
            <w:vAlign w:val="bottom"/>
          </w:tcPr>
          <w:p>
            <w:pPr>
              <w:ind w:left="20"/>
              <w:spacing w:after="0" w:line="176" w:lineRule="exact"/>
              <w:rPr>
                <w:sz w:val="20"/>
                <w:szCs w:val="20"/>
                <w:color w:val="auto"/>
              </w:rPr>
            </w:pPr>
            <w:r>
              <w:rPr>
                <w:rFonts w:ascii="Arial" w:cs="Arial" w:eastAsia="Arial" w:hAnsi="Arial"/>
                <w:sz w:val="18"/>
                <w:szCs w:val="18"/>
                <w:color w:val="auto"/>
                <w:w w:val="90"/>
              </w:rPr>
              <w:t>Common stock held in trust for savings restoration plan (118,543 shares at September 30, 2023 and 113,316 shares</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at December 31, 2022)</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(2,233)</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(2,188)</w:t>
            </w: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380" w:type="dxa"/>
            <w:vAlign w:val="bottom"/>
          </w:tcPr>
          <w:p>
            <w:pPr>
              <w:ind w:left="5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(85,156)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(86,079)</w:t>
            </w:r>
          </w:p>
        </w:tc>
      </w:tr>
      <w:tr>
        <w:trPr>
          <w:trHeight w:val="229"/>
        </w:trPr>
        <w:tc>
          <w:tcPr>
            <w:tcW w:w="8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Gain (loss) on derivative financial instruments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30"/>
        </w:trPr>
        <w:tc>
          <w:tcPr>
            <w:tcW w:w="8380" w:type="dxa"/>
            <w:vAlign w:val="bottom"/>
          </w:tcPr>
          <w:p>
            <w:pPr>
              <w:ind w:left="540"/>
              <w:spacing w:after="0"/>
              <w:rPr>
                <w:sz w:val="20"/>
                <w:szCs w:val="20"/>
                <w:color w:val="auto"/>
              </w:rPr>
            </w:pPr>
            <w:r>
              <w:rPr>
                <w:rFonts w:ascii="Arial" w:cs="Arial" w:eastAsia="Arial" w:hAnsi="Arial"/>
                <w:sz w:val="18"/>
                <w:szCs w:val="18"/>
                <w:color w:val="auto"/>
              </w:rPr>
              <w:t>Pension and other postretirement benefit adjustments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(32,041)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(59,036)</w:t>
            </w:r>
          </w:p>
        </w:tc>
      </w:tr>
      <w:tr>
        <w:trPr>
          <w:trHeight w:val="230"/>
        </w:trPr>
        <w:tc>
          <w:tcPr>
            <w:tcW w:w="83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213,568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292,721</w:t>
            </w:r>
          </w:p>
        </w:tc>
      </w:tr>
      <w:tr>
        <w:trPr>
          <w:trHeight w:val="223"/>
        </w:trPr>
        <w:tc>
          <w:tcPr>
            <w:tcW w:w="83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154,191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201,762</w:t>
            </w:r>
          </w:p>
        </w:tc>
      </w:tr>
      <w:tr>
        <w:trPr>
          <w:trHeight w:val="230"/>
        </w:trPr>
        <w:tc>
          <w:tcPr>
            <w:tcW w:w="83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479,517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542,093</w:t>
            </w: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60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80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89"/>
              </w:rPr>
              <w:t>Three Months Ended September 30,</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89"/>
              </w:rPr>
              <w:t>Nine Months Ended September 30,</w:t>
            </w:r>
          </w:p>
        </w:tc>
      </w:tr>
      <w:tr>
        <w:trPr>
          <w:trHeight w:val="230"/>
        </w:trPr>
        <w:tc>
          <w:tcPr>
            <w:tcW w:w="5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Revenues and other items: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166,192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535,481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749,415</w:t>
            </w:r>
          </w:p>
        </w:tc>
      </w:tr>
      <w:tr>
        <w:trPr>
          <w:trHeight w:val="229"/>
        </w:trPr>
        <w:tc>
          <w:tcPr>
            <w:tcW w:w="5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r>
      <w:tr>
        <w:trPr>
          <w:trHeight w:val="223"/>
        </w:trPr>
        <w:tc>
          <w:tcPr>
            <w:tcW w:w="5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166,141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238,626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535,691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750,596</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goods sold</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144,539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200,582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457,332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601,930</w:t>
            </w: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Freight</w:t>
            </w:r>
          </w:p>
        </w:tc>
        <w:tc>
          <w:tcPr>
            <w:tcW w:w="4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6,733</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9,500</w:t>
            </w:r>
          </w:p>
        </w:tc>
        <w:tc>
          <w:tcPr>
            <w:tcW w:w="2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19,977</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28,619</w:t>
            </w: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21,350</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57,244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59,160</w:t>
            </w: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794</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3,375</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4,855</w:t>
            </w: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identifiable intangibles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r>
      <w:tr>
        <w:trPr>
          <w:trHeight w:val="229"/>
        </w:trPr>
        <w:tc>
          <w:tcPr>
            <w:tcW w:w="510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4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3,118</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3,506</w:t>
            </w:r>
          </w:p>
        </w:tc>
        <w:tc>
          <w:tcPr>
            <w:tcW w:w="2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9,955</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10,489</w:t>
            </w:r>
          </w:p>
        </w:tc>
      </w:tr>
      <w:tr>
        <w:trPr>
          <w:trHeight w:val="230"/>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7,791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r>
      <w:tr>
        <w:trPr>
          <w:trHeight w:val="188"/>
        </w:trPr>
        <w:tc>
          <w:tcPr>
            <w:tcW w:w="5100" w:type="dxa"/>
            <w:vAlign w:val="bottom"/>
          </w:tcPr>
          <w:p>
            <w:pPr>
              <w:ind w:left="360"/>
              <w:spacing w:after="0" w:line="189" w:lineRule="exact"/>
              <w:rPr>
                <w:sz w:val="20"/>
                <w:szCs w:val="20"/>
                <w:color w:val="auto"/>
              </w:rPr>
            </w:pPr>
            <w:r>
              <w:rPr>
                <w:rFonts w:ascii="Arial" w:cs="Arial" w:eastAsia="Arial" w:hAnsi="Arial"/>
                <w:sz w:val="18"/>
                <w:szCs w:val="18"/>
                <w:color w:val="auto"/>
                <w:w w:val="94"/>
              </w:rPr>
              <w:t>Asset impairments and costs associated with exit and disposal</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activities, net of adjustments</w:t>
            </w:r>
          </w:p>
        </w:tc>
        <w:tc>
          <w:tcPr>
            <w:tcW w:w="4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4,633</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4,702</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settlement loss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25,612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25,612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Goodwill impairment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19,478</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34,891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229,828</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236,468</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622,312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710,814</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(63,687)</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(86,621)</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39,782</w:t>
            </w:r>
          </w:p>
        </w:tc>
      </w:tr>
      <w:tr>
        <w:trPr>
          <w:trHeight w:val="22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(16,307)</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w:t>
            </w:r>
          </w:p>
        </w:tc>
      </w:tr>
      <w:tr>
        <w:trPr>
          <w:trHeight w:val="23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32,322</w:t>
            </w:r>
          </w:p>
        </w:tc>
      </w:tr>
      <w:tr>
        <w:trPr>
          <w:trHeight w:val="257"/>
        </w:trPr>
        <w:tc>
          <w:tcPr>
            <w:tcW w:w="5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r>
      <w:tr>
        <w:trPr>
          <w:trHeight w:val="230"/>
        </w:trPr>
        <w:tc>
          <w:tcPr>
            <w:tcW w:w="5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r>
      <w:tr>
        <w:trPr>
          <w:trHeight w:val="237"/>
        </w:trPr>
        <w:tc>
          <w:tcPr>
            <w:tcW w:w="5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Shares used to compute earnings (loss) per share:</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34,264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33,870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34,081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33,780</w:t>
            </w: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34,264</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33,871</w:t>
            </w: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34,081</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33,808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0"/>
          <w:szCs w:val="20"/>
          <w:color w:val="auto"/>
        </w:rPr>
      </w:pPr>
    </w:p>
    <w:p>
      <w:pPr>
        <w:jc w:val="center"/>
        <w:ind w:left="9000"/>
        <w:spacing w:after="0"/>
        <w:rPr>
          <w:sz w:val="20"/>
          <w:szCs w:val="20"/>
          <w:color w:val="auto"/>
        </w:rPr>
      </w:pPr>
      <w:r>
        <w:rPr>
          <w:rFonts w:ascii="Arial" w:cs="Arial" w:eastAsia="Arial" w:hAnsi="Arial"/>
          <w:sz w:val="18"/>
          <w:szCs w:val="18"/>
          <w:color w:val="auto"/>
        </w:rPr>
        <w:t>Three Months Ended</w:t>
      </w:r>
    </w:p>
    <w:p>
      <w:pPr>
        <w:jc w:val="center"/>
        <w:ind w:left="900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900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5"/>
        </w:trPr>
        <w:tc>
          <w:tcPr>
            <w:tcW w:w="90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Unrealized foreign currency translation adjustment (net of tax expense of $25 in 2023 and net of tax benefit of $148 in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w w:val="94"/>
              </w:rPr>
              <w:t>Derivative financial instruments adjustment (net of tax benefit of $538 in 2023 and net of tax benefit of $818 in 2022)</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(2,547)</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Pension &amp; other postretirement benefit adjustment: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9000" w:type="dxa"/>
            <w:vAlign w:val="bottom"/>
          </w:tcPr>
          <w:p>
            <w:pPr>
              <w:ind w:left="460"/>
              <w:spacing w:after="0"/>
              <w:rPr>
                <w:sz w:val="20"/>
                <w:szCs w:val="20"/>
                <w:color w:val="auto"/>
              </w:rPr>
            </w:pPr>
            <w:r>
              <w:rPr>
                <w:rFonts w:ascii="Arial" w:cs="Arial" w:eastAsia="Arial" w:hAnsi="Arial"/>
                <w:sz w:val="18"/>
                <w:szCs w:val="18"/>
                <w:color w:val="auto"/>
              </w:rPr>
              <w:t>Net gains (losses) and prior service costs</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Recognition in earnings of net actuarial loss for pension settlement and related tax of $5,581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20,031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9000" w:type="dxa"/>
            <w:vAlign w:val="bottom"/>
          </w:tcPr>
          <w:p>
            <w:pPr>
              <w:ind w:left="460"/>
              <w:spacing w:after="0" w:line="176" w:lineRule="exact"/>
              <w:rPr>
                <w:sz w:val="20"/>
                <w:szCs w:val="20"/>
                <w:color w:val="auto"/>
              </w:rPr>
            </w:pPr>
            <w:r>
              <w:rPr>
                <w:rFonts w:ascii="Arial" w:cs="Arial" w:eastAsia="Arial" w:hAnsi="Arial"/>
                <w:sz w:val="18"/>
                <w:szCs w:val="18"/>
                <w:color w:val="auto"/>
                <w:w w:val="91"/>
              </w:rPr>
              <w:t>Amortization of prior service costs and net gains or losses (net of tax expense of $637 in 2023 and net of tax expense</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9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of $712 in 2022)</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1,949</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r>
      <w:tr>
        <w:trPr>
          <w:trHeight w:val="223"/>
        </w:trPr>
        <w:tc>
          <w:tcPr>
            <w:tcW w:w="90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20,673</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r>
      <w:tr>
        <w:trPr>
          <w:trHeight w:val="230"/>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r>
      <w:tr>
        <w:trPr>
          <w:trHeight w:val="372"/>
        </w:trPr>
        <w:tc>
          <w:tcPr>
            <w:tcW w:w="9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spacing w:after="0"/>
              <w:rPr>
                <w:sz w:val="24"/>
                <w:szCs w:val="24"/>
                <w:color w:val="auto"/>
              </w:rPr>
            </w:pPr>
          </w:p>
        </w:tc>
      </w:tr>
      <w:tr>
        <w:trPr>
          <w:trHeight w:val="176"/>
        </w:trPr>
        <w:tc>
          <w:tcPr>
            <w:tcW w:w="9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3"/>
          </w:tcPr>
          <w:p>
            <w:pPr>
              <w:jc w:val="right"/>
              <w:ind w:right="290"/>
              <w:spacing w:after="0" w:line="176" w:lineRule="exact"/>
              <w:rPr>
                <w:sz w:val="20"/>
                <w:szCs w:val="20"/>
                <w:color w:val="auto"/>
              </w:rPr>
            </w:pPr>
            <w:r>
              <w:rPr>
                <w:rFonts w:ascii="Arial" w:cs="Arial" w:eastAsia="Arial" w:hAnsi="Arial"/>
                <w:sz w:val="18"/>
                <w:szCs w:val="18"/>
                <w:color w:val="auto"/>
                <w:w w:val="99"/>
              </w:rPr>
              <w:t>Nine Months Ended</w:t>
            </w:r>
          </w:p>
        </w:tc>
      </w:tr>
      <w:tr>
        <w:trPr>
          <w:trHeight w:val="230"/>
        </w:trPr>
        <w:tc>
          <w:tcPr>
            <w:tcW w:w="9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3"/>
          </w:tcPr>
          <w:p>
            <w:pPr>
              <w:jc w:val="right"/>
              <w:ind w:right="490"/>
              <w:spacing w:after="0"/>
              <w:rPr>
                <w:sz w:val="20"/>
                <w:szCs w:val="20"/>
                <w:color w:val="auto"/>
              </w:rPr>
            </w:pPr>
            <w:r>
              <w:rPr>
                <w:rFonts w:ascii="Arial" w:cs="Arial" w:eastAsia="Arial" w:hAnsi="Arial"/>
                <w:sz w:val="18"/>
                <w:szCs w:val="18"/>
                <w:color w:val="auto"/>
              </w:rPr>
              <w:t>September 30,</w:t>
            </w:r>
          </w:p>
        </w:tc>
      </w:tr>
      <w:tr>
        <w:trPr>
          <w:trHeight w:val="242"/>
        </w:trPr>
        <w:tc>
          <w:tcPr>
            <w:tcW w:w="9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r>
      <w:tr>
        <w:trPr>
          <w:trHeight w:val="230"/>
        </w:trPr>
        <w:tc>
          <w:tcPr>
            <w:tcW w:w="900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5"/>
        </w:trPr>
        <w:tc>
          <w:tcPr>
            <w:tcW w:w="90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Unrealized foreign currency translation adjustment (net of tax expense of $640 in 2023 and net of tax expense of $98 in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923</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30"/>
        </w:trPr>
        <w:tc>
          <w:tcPr>
            <w:tcW w:w="9000" w:type="dxa"/>
            <w:vAlign w:val="bottom"/>
          </w:tcPr>
          <w:p>
            <w:pPr>
              <w:ind w:left="240"/>
              <w:spacing w:after="0"/>
              <w:rPr>
                <w:sz w:val="20"/>
                <w:szCs w:val="20"/>
                <w:color w:val="auto"/>
              </w:rPr>
            </w:pPr>
            <w:r>
              <w:rPr>
                <w:rFonts w:ascii="Arial" w:cs="Arial" w:eastAsia="Arial" w:hAnsi="Arial"/>
                <w:sz w:val="18"/>
                <w:szCs w:val="18"/>
                <w:color w:val="auto"/>
                <w:w w:val="91"/>
              </w:rPr>
              <w:t>Derivative financial instruments adjustment (net of tax expense of $798 in 2023 and net of tax benefit of $1,261 in 2022)</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1,706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(5,778)</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Pension &amp; other postretirement benefit adjustment: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9000" w:type="dxa"/>
            <w:vAlign w:val="bottom"/>
          </w:tcPr>
          <w:p>
            <w:pPr>
              <w:ind w:left="460"/>
              <w:spacing w:after="0"/>
              <w:rPr>
                <w:sz w:val="20"/>
                <w:szCs w:val="20"/>
                <w:color w:val="auto"/>
              </w:rPr>
            </w:pPr>
            <w:r>
              <w:rPr>
                <w:rFonts w:ascii="Arial" w:cs="Arial" w:eastAsia="Arial" w:hAnsi="Arial"/>
                <w:sz w:val="18"/>
                <w:szCs w:val="18"/>
                <w:color w:val="auto"/>
              </w:rPr>
              <w:t>Net gains (losses) and prior service costs</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Recognition in earnings of net actuarial loss for pension settlement and related tax of $5,581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20,031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9000" w:type="dxa"/>
            <w:vAlign w:val="bottom"/>
          </w:tcPr>
          <w:p>
            <w:pPr>
              <w:ind w:left="460"/>
              <w:spacing w:after="0" w:line="176" w:lineRule="exact"/>
              <w:rPr>
                <w:sz w:val="20"/>
                <w:szCs w:val="20"/>
                <w:color w:val="auto"/>
              </w:rPr>
            </w:pPr>
            <w:r>
              <w:rPr>
                <w:rFonts w:ascii="Arial" w:cs="Arial" w:eastAsia="Arial" w:hAnsi="Arial"/>
                <w:sz w:val="18"/>
                <w:szCs w:val="18"/>
                <w:color w:val="auto"/>
                <w:w w:val="97"/>
              </w:rPr>
              <w:t>Amortization of prior service costs and net gains or losses (net of tax expense of $1,911 in 2023 and net of tax</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9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expense of $2,136 in 2022)</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6,522</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w:t>
            </w:r>
          </w:p>
        </w:tc>
      </w:tr>
      <w:tr>
        <w:trPr>
          <w:trHeight w:val="223"/>
        </w:trPr>
        <w:tc>
          <w:tcPr>
            <w:tcW w:w="90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29,624</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(40,690)</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08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7" w:lineRule="exact"/>
        <w:rPr>
          <w:sz w:val="20"/>
          <w:szCs w:val="20"/>
          <w:color w:val="auto"/>
        </w:rPr>
      </w:pPr>
    </w:p>
    <w:p>
      <w:pPr>
        <w:jc w:val="center"/>
        <w:ind w:left="9220"/>
        <w:spacing w:after="0"/>
        <w:rPr>
          <w:sz w:val="20"/>
          <w:szCs w:val="20"/>
          <w:color w:val="auto"/>
        </w:rPr>
      </w:pPr>
      <w:r>
        <w:rPr>
          <w:rFonts w:ascii="Arial" w:cs="Arial" w:eastAsia="Arial" w:hAnsi="Arial"/>
          <w:sz w:val="18"/>
          <w:szCs w:val="18"/>
          <w:color w:val="auto"/>
        </w:rPr>
        <w:t>Nine Months Ended</w:t>
      </w:r>
    </w:p>
    <w:p>
      <w:pPr>
        <w:jc w:val="center"/>
        <w:ind w:left="922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(70,314)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32,322</w:t>
            </w: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for noncash items: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100" w:type="dxa"/>
            <w:vAlign w:val="bottom"/>
          </w:tcPr>
          <w:p>
            <w:pPr>
              <w:ind w:left="680"/>
              <w:spacing w:after="0"/>
              <w:rPr>
                <w:sz w:val="20"/>
                <w:szCs w:val="20"/>
                <w:color w:val="auto"/>
              </w:rPr>
            </w:pPr>
            <w:r>
              <w:rPr>
                <w:rFonts w:ascii="Arial" w:cs="Arial" w:eastAsia="Arial" w:hAnsi="Arial"/>
                <w:sz w:val="18"/>
                <w:szCs w:val="18"/>
                <w:color w:val="auto"/>
              </w:rPr>
              <w:t>Depreciation</w:t>
            </w:r>
          </w:p>
        </w:tc>
        <w:tc>
          <w:tcPr>
            <w:tcW w:w="23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19,516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17,538</w:t>
            </w:r>
          </w:p>
        </w:tc>
      </w:tr>
      <w:tr>
        <w:trPr>
          <w:trHeight w:val="229"/>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identifiable intangibles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r>
      <w:tr>
        <w:trPr>
          <w:trHeight w:val="229"/>
        </w:trPr>
        <w:tc>
          <w:tcPr>
            <w:tcW w:w="7100" w:type="dxa"/>
            <w:vAlign w:val="bottom"/>
          </w:tcPr>
          <w:p>
            <w:pPr>
              <w:ind w:left="680"/>
              <w:spacing w:after="0"/>
              <w:rPr>
                <w:sz w:val="20"/>
                <w:szCs w:val="20"/>
                <w:color w:val="auto"/>
              </w:rPr>
            </w:pPr>
            <w:r>
              <w:rPr>
                <w:rFonts w:ascii="Arial" w:cs="Arial" w:eastAsia="Arial" w:hAnsi="Arial"/>
                <w:sz w:val="18"/>
                <w:szCs w:val="18"/>
                <w:color w:val="auto"/>
              </w:rPr>
              <w:t>Reduction of right-of-use lease asset</w:t>
            </w:r>
          </w:p>
        </w:tc>
        <w:tc>
          <w:tcPr>
            <w:tcW w:w="23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1,633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30"/>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Goodwill impairment</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34,891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2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(16,820)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3,078</w:t>
            </w:r>
          </w:p>
        </w:tc>
      </w:tr>
      <w:tr>
        <w:trPr>
          <w:trHeight w:val="229"/>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pension and post-retirement benefits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9,955</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w:t>
            </w:r>
          </w:p>
        </w:tc>
      </w:tr>
      <w:tr>
        <w:trPr>
          <w:trHeight w:val="230"/>
        </w:trPr>
        <w:tc>
          <w:tcPr>
            <w:tcW w:w="7100" w:type="dxa"/>
            <w:vAlign w:val="bottom"/>
          </w:tcPr>
          <w:p>
            <w:pPr>
              <w:ind w:left="680"/>
              <w:spacing w:after="0"/>
              <w:rPr>
                <w:sz w:val="20"/>
                <w:szCs w:val="20"/>
                <w:color w:val="auto"/>
              </w:rPr>
            </w:pPr>
            <w:r>
              <w:rPr>
                <w:rFonts w:ascii="Arial" w:cs="Arial" w:eastAsia="Arial" w:hAnsi="Arial"/>
                <w:sz w:val="18"/>
                <w:szCs w:val="18"/>
                <w:color w:val="auto"/>
              </w:rPr>
              <w:t>Pension settlement loss</w:t>
            </w:r>
          </w:p>
        </w:tc>
        <w:tc>
          <w:tcPr>
            <w:tcW w:w="23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25,612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 expense</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30"/>
        </w:trPr>
        <w:tc>
          <w:tcPr>
            <w:tcW w:w="7100" w:type="dxa"/>
            <w:vAlign w:val="bottom"/>
          </w:tcPr>
          <w:p>
            <w:pPr>
              <w:ind w:left="680"/>
              <w:spacing w:after="0"/>
              <w:rPr>
                <w:sz w:val="20"/>
                <w:szCs w:val="20"/>
                <w:color w:val="auto"/>
              </w:rPr>
            </w:pPr>
            <w:r>
              <w:rPr>
                <w:rFonts w:ascii="Arial" w:cs="Arial" w:eastAsia="Arial" w:hAnsi="Arial"/>
                <w:sz w:val="18"/>
                <w:szCs w:val="18"/>
                <w:color w:val="auto"/>
              </w:rPr>
              <w:t>Gain on investment in kaléo</w:t>
            </w:r>
          </w:p>
        </w:tc>
        <w:tc>
          <w:tcPr>
            <w:tcW w:w="2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(1,406)</w:t>
            </w:r>
          </w:p>
        </w:tc>
      </w:tr>
      <w:tr>
        <w:trPr>
          <w:trHeight w:val="229"/>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Write-down of Richmond, Virginia Technical Center assets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360"/>
              <w:spacing w:after="0"/>
              <w:rPr>
                <w:sz w:val="20"/>
                <w:szCs w:val="20"/>
                <w:color w:val="auto"/>
              </w:rPr>
            </w:pPr>
            <w:r>
              <w:rPr>
                <w:rFonts w:ascii="Arial" w:cs="Arial" w:eastAsia="Arial" w:hAnsi="Arial"/>
                <w:sz w:val="18"/>
                <w:szCs w:val="18"/>
                <w:color w:val="auto"/>
              </w:rPr>
              <w:t>Changes in assets and liabilities:</w:t>
            </w:r>
          </w:p>
        </w:tc>
        <w:tc>
          <w:tcPr>
            <w:tcW w:w="2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and other receivables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14,630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r>
      <w:tr>
        <w:trPr>
          <w:trHeight w:val="229"/>
        </w:trPr>
        <w:tc>
          <w:tcPr>
            <w:tcW w:w="710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23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49,589</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(24,855)</w:t>
            </w:r>
          </w:p>
        </w:tc>
      </w:tr>
      <w:tr>
        <w:trPr>
          <w:trHeight w:val="229"/>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taxes recoverable/payable</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r>
      <w:tr>
        <w:trPr>
          <w:trHeight w:val="230"/>
        </w:trPr>
        <w:tc>
          <w:tcPr>
            <w:tcW w:w="7100" w:type="dxa"/>
            <w:vAlign w:val="bottom"/>
          </w:tcPr>
          <w:p>
            <w:pPr>
              <w:ind w:left="680"/>
              <w:spacing w:after="0"/>
              <w:rPr>
                <w:sz w:val="20"/>
                <w:szCs w:val="20"/>
                <w:color w:val="auto"/>
              </w:rPr>
            </w:pPr>
            <w:r>
              <w:rPr>
                <w:rFonts w:ascii="Arial" w:cs="Arial" w:eastAsia="Arial" w:hAnsi="Arial"/>
                <w:sz w:val="18"/>
                <w:szCs w:val="18"/>
                <w:color w:val="auto"/>
              </w:rPr>
              <w:t>Prepaid expenses and other</w:t>
            </w:r>
          </w:p>
        </w:tc>
        <w:tc>
          <w:tcPr>
            <w:tcW w:w="2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(5,365)</w:t>
            </w:r>
          </w:p>
        </w:tc>
      </w:tr>
      <w:tr>
        <w:trPr>
          <w:trHeight w:val="229"/>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expenses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r>
      <w:tr>
        <w:trPr>
          <w:trHeight w:val="230"/>
        </w:trPr>
        <w:tc>
          <w:tcPr>
            <w:tcW w:w="7100" w:type="dxa"/>
            <w:vAlign w:val="bottom"/>
          </w:tcPr>
          <w:p>
            <w:pPr>
              <w:ind w:left="680"/>
              <w:spacing w:after="0"/>
              <w:rPr>
                <w:sz w:val="20"/>
                <w:szCs w:val="20"/>
                <w:color w:val="auto"/>
              </w:rPr>
            </w:pPr>
            <w:r>
              <w:rPr>
                <w:rFonts w:ascii="Arial" w:cs="Arial" w:eastAsia="Arial" w:hAnsi="Arial"/>
                <w:sz w:val="18"/>
                <w:szCs w:val="18"/>
                <w:color w:val="auto"/>
              </w:rPr>
              <w:t>Lease liability</w:t>
            </w:r>
          </w:p>
        </w:tc>
        <w:tc>
          <w:tcPr>
            <w:tcW w:w="2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(1,669)</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(1,737)</w:t>
            </w:r>
          </w:p>
        </w:tc>
      </w:tr>
      <w:tr>
        <w:trPr>
          <w:trHeight w:val="23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 plan contributions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(50,503)</w:t>
            </w:r>
          </w:p>
        </w:tc>
      </w:tr>
      <w:tr>
        <w:trPr>
          <w:trHeight w:val="230"/>
        </w:trPr>
        <w:tc>
          <w:tcPr>
            <w:tcW w:w="7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net</w:t>
            </w:r>
          </w:p>
        </w:tc>
        <w:tc>
          <w:tcPr>
            <w:tcW w:w="2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r>
      <w:tr>
        <w:trPr>
          <w:trHeight w:val="223"/>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operating activities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44,238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(23,152)</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(25,527)</w:t>
            </w:r>
          </w:p>
        </w:tc>
      </w:tr>
      <w:tr>
        <w:trPr>
          <w:trHeight w:val="230"/>
        </w:trPr>
        <w:tc>
          <w:tcPr>
            <w:tcW w:w="7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Proceeds from the sale of kaléo</w:t>
            </w:r>
          </w:p>
        </w:tc>
        <w:tc>
          <w:tcPr>
            <w:tcW w:w="2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r>
      <w:tr>
        <w:trPr>
          <w:trHeight w:val="223"/>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(24,121)</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87,000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279,250</w:t>
            </w: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Debt principal payments</w:t>
            </w:r>
          </w:p>
        </w:tc>
        <w:tc>
          <w:tcPr>
            <w:tcW w:w="2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(69,000)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(228,250)</w:t>
            </w: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(12,552)</w:t>
            </w: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Debt financing costs</w:t>
            </w:r>
          </w:p>
        </w:tc>
        <w:tc>
          <w:tcPr>
            <w:tcW w:w="2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30"/>
        </w:trPr>
        <w:tc>
          <w:tcPr>
            <w:tcW w:w="71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7100" w:type="dxa"/>
            <w:vAlign w:val="bottom"/>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23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7,712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36,807</w:t>
            </w:r>
          </w:p>
        </w:tc>
      </w:tr>
      <w:tr>
        <w:trPr>
          <w:trHeight w:val="230"/>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2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&amp; cash equivalents</w:t>
            </w:r>
          </w:p>
        </w:tc>
        <w:tc>
          <w:tcPr>
            <w:tcW w:w="23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29,372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(11,271)</w:t>
            </w:r>
          </w:p>
        </w:tc>
      </w:tr>
      <w:tr>
        <w:trPr>
          <w:trHeight w:val="230"/>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19,232</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30,521</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19,250</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91"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changes in shareholders’ equity for the three month period ended September 30,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2"/>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4"/>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93"/>
              </w:rPr>
              <w:t>Common</w:t>
            </w:r>
          </w:p>
        </w:tc>
        <w:tc>
          <w:tcPr>
            <w:tcW w:w="220" w:type="dxa"/>
            <w:vAlign w:val="bottom"/>
          </w:tcPr>
          <w:p>
            <w:pPr>
              <w:spacing w:after="0"/>
              <w:rPr>
                <w:sz w:val="16"/>
                <w:szCs w:val="16"/>
                <w:color w:val="auto"/>
              </w:rPr>
            </w:pPr>
          </w:p>
        </w:tc>
        <w:tc>
          <w:tcPr>
            <w:tcW w:w="94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89"/>
              </w:rPr>
              <w:t>Restoration</w:t>
            </w:r>
          </w:p>
        </w:tc>
        <w:tc>
          <w:tcPr>
            <w:tcW w:w="200" w:type="dxa"/>
            <w:vAlign w:val="bottom"/>
          </w:tcPr>
          <w:p>
            <w:pPr>
              <w:spacing w:after="0"/>
              <w:rPr>
                <w:sz w:val="16"/>
                <w:szCs w:val="16"/>
                <w:color w:val="auto"/>
              </w:rPr>
            </w:pPr>
          </w:p>
        </w:tc>
        <w:tc>
          <w:tcPr>
            <w:tcW w:w="136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90"/>
              </w:rPr>
              <w:t>Comprehensive</w:t>
            </w:r>
          </w:p>
        </w:tc>
        <w:tc>
          <w:tcPr>
            <w:tcW w:w="2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Earnings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July 1, 2023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263,933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183,149</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(50,380)</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(50,380)</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Net gains or (losses) and prior service costs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Recognition in earnings of net actuarial loss for pension</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20,031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20,031</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Cash dividends declared ($— per share)</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Arial" w:cs="Arial" w:eastAsia="Arial" w:hAnsi="Arial"/>
                <w:sz w:val="18"/>
                <w:szCs w:val="18"/>
                <w:color w:val="auto"/>
              </w:rPr>
              <w:t>Tredegar common stock purchased by trust for savings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restoration plan</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213,568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changes in shareholders’ equity for the nine month period ended September 30,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2"/>
              </w:rPr>
              <w:t>Trust for</w:t>
            </w:r>
          </w:p>
        </w:tc>
        <w:tc>
          <w:tcPr>
            <w:tcW w:w="15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6"/>
              </w:rPr>
              <w:t>Accumulated Other</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w w:val="93"/>
              </w:rPr>
              <w:t>Common</w:t>
            </w:r>
          </w:p>
        </w:tc>
        <w:tc>
          <w:tcPr>
            <w:tcW w:w="200" w:type="dxa"/>
            <w:vAlign w:val="bottom"/>
          </w:tcPr>
          <w:p>
            <w:pPr>
              <w:spacing w:after="0"/>
              <w:rPr>
                <w:sz w:val="15"/>
                <w:szCs w:val="15"/>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Restoration</w:t>
            </w:r>
          </w:p>
        </w:tc>
        <w:tc>
          <w:tcPr>
            <w:tcW w:w="200" w:type="dxa"/>
            <w:vAlign w:val="bottom"/>
          </w:tcPr>
          <w:p>
            <w:pPr>
              <w:spacing w:after="0"/>
              <w:rPr>
                <w:sz w:val="15"/>
                <w:szCs w:val="15"/>
                <w:color w:val="auto"/>
              </w:rPr>
            </w:pPr>
          </w:p>
        </w:tc>
        <w:tc>
          <w:tcPr>
            <w:tcW w:w="1360" w:type="dxa"/>
            <w:vAlign w:val="bottom"/>
          </w:tcPr>
          <w:p>
            <w:pPr>
              <w:jc w:val="right"/>
              <w:ind w:right="110"/>
              <w:spacing w:after="0" w:line="176" w:lineRule="exact"/>
              <w:rPr>
                <w:sz w:val="20"/>
                <w:szCs w:val="20"/>
                <w:color w:val="auto"/>
              </w:rPr>
            </w:pPr>
            <w:r>
              <w:rPr>
                <w:rFonts w:ascii="Arial" w:cs="Arial" w:eastAsia="Arial" w:hAnsi="Arial"/>
                <w:sz w:val="18"/>
                <w:szCs w:val="18"/>
                <w:color w:val="auto"/>
                <w:w w:val="90"/>
              </w:rPr>
              <w:t>Comprehensive</w:t>
            </w:r>
          </w:p>
        </w:tc>
        <w:tc>
          <w:tcPr>
            <w:tcW w:w="22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Earnings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58,824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292,721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201,762</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(70,314)</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(70,314)</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Derivative financial instruments adjustment</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1,706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prior service costs and net gains or losses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Net gains or (losses) and prior service costs</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Recognition in earnings of net actuarial loss for pension</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20,031</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20,031</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Cash dividends declared ($0.26 per share)</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(8,884)</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(8,884)</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2,257</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188"/>
        </w:trPr>
        <w:tc>
          <w:tcPr>
            <w:tcW w:w="4500" w:type="dxa"/>
            <w:vAlign w:val="bottom"/>
          </w:tcPr>
          <w:p>
            <w:pPr>
              <w:ind w:left="20"/>
              <w:spacing w:after="0" w:line="189" w:lineRule="exact"/>
              <w:rPr>
                <w:sz w:val="20"/>
                <w:szCs w:val="20"/>
                <w:color w:val="auto"/>
              </w:rPr>
            </w:pPr>
            <w:r>
              <w:rPr>
                <w:rFonts w:ascii="Arial" w:cs="Arial" w:eastAsia="Arial" w:hAnsi="Arial"/>
                <w:sz w:val="18"/>
                <w:szCs w:val="18"/>
                <w:color w:val="auto"/>
              </w:rPr>
              <w:t>Repurchase of employee common stock for tax</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withholdings</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Tredegar common stock purchased by trust for savings</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restoration plan</w:t>
            </w:r>
          </w:p>
        </w:tc>
        <w:tc>
          <w:tcPr>
            <w:tcW w:w="4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September 30, 2023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213,568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ind w:left="420"/>
        <w:spacing w:after="0"/>
        <w:rPr>
          <w:sz w:val="20"/>
          <w:szCs w:val="20"/>
          <w:color w:val="auto"/>
        </w:rPr>
      </w:pPr>
      <w:r>
        <w:rPr>
          <w:rFonts w:ascii="Arial" w:cs="Arial" w:eastAsia="Arial" w:hAnsi="Arial"/>
          <w:sz w:val="18"/>
          <w:szCs w:val="18"/>
          <w:color w:val="auto"/>
        </w:rPr>
        <w:t>The following summarizes the changes in shareholders’ equity for the three month period ended September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2"/>
              </w:rPr>
              <w:t>Trust for</w:t>
            </w:r>
          </w:p>
        </w:tc>
        <w:tc>
          <w:tcPr>
            <w:tcW w:w="15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Accumulated Other</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w w:val="93"/>
              </w:rPr>
              <w:t>Common</w:t>
            </w:r>
          </w:p>
        </w:tc>
        <w:tc>
          <w:tcPr>
            <w:tcW w:w="22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Retained</w:t>
            </w: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Restoration</w:t>
            </w:r>
          </w:p>
        </w:tc>
        <w:tc>
          <w:tcPr>
            <w:tcW w:w="200" w:type="dxa"/>
            <w:vAlign w:val="bottom"/>
          </w:tcPr>
          <w:p>
            <w:pPr>
              <w:spacing w:after="0"/>
              <w:rPr>
                <w:sz w:val="15"/>
                <w:szCs w:val="15"/>
                <w:color w:val="auto"/>
              </w:rPr>
            </w:pPr>
          </w:p>
        </w:tc>
        <w:tc>
          <w:tcPr>
            <w:tcW w:w="1380" w:type="dxa"/>
            <w:vAlign w:val="bottom"/>
          </w:tcPr>
          <w:p>
            <w:pPr>
              <w:jc w:val="right"/>
              <w:ind w:right="130"/>
              <w:spacing w:after="0" w:line="176" w:lineRule="exact"/>
              <w:rPr>
                <w:sz w:val="20"/>
                <w:szCs w:val="20"/>
                <w:color w:val="auto"/>
              </w:rPr>
            </w:pPr>
            <w:r>
              <w:rPr>
                <w:rFonts w:ascii="Arial" w:cs="Arial" w:eastAsia="Arial" w:hAnsi="Arial"/>
                <w:sz w:val="18"/>
                <w:szCs w:val="18"/>
                <w:color w:val="auto"/>
                <w:w w:val="90"/>
              </w:rPr>
              <w:t>Comprehensive</w:t>
            </w:r>
          </w:p>
        </w:tc>
        <w:tc>
          <w:tcPr>
            <w:tcW w:w="20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July 1,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56,911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304,370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211,785</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Cash dividends declared ($0.13 per share)</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(4,420)</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88"/>
        </w:trPr>
        <w:tc>
          <w:tcPr>
            <w:tcW w:w="4500" w:type="dxa"/>
            <w:vAlign w:val="bottom"/>
          </w:tcPr>
          <w:p>
            <w:pPr>
              <w:ind w:left="20"/>
              <w:spacing w:after="0" w:line="189" w:lineRule="exact"/>
              <w:rPr>
                <w:sz w:val="20"/>
                <w:szCs w:val="20"/>
                <w:color w:val="auto"/>
              </w:rPr>
            </w:pPr>
            <w:r>
              <w:rPr>
                <w:rFonts w:ascii="Arial" w:cs="Arial" w:eastAsia="Arial" w:hAnsi="Arial"/>
                <w:sz w:val="18"/>
                <w:szCs w:val="18"/>
                <w:color w:val="auto"/>
              </w:rPr>
              <w:t>Tredegar common stock purchased by trust for savings</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restoration plan</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57,902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300,996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207,058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changes in shareholders’ equity for the nine month period ended September 30,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2"/>
              </w:rPr>
              <w:t>Trust for</w:t>
            </w:r>
          </w:p>
        </w:tc>
        <w:tc>
          <w:tcPr>
            <w:tcW w:w="15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w w:val="93"/>
              </w:rPr>
              <w:t>Common</w:t>
            </w:r>
          </w:p>
        </w:tc>
        <w:tc>
          <w:tcPr>
            <w:tcW w:w="20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Retained</w:t>
            </w: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Restoration</w:t>
            </w:r>
          </w:p>
        </w:tc>
        <w:tc>
          <w:tcPr>
            <w:tcW w:w="200" w:type="dxa"/>
            <w:vAlign w:val="bottom"/>
          </w:tcPr>
          <w:p>
            <w:pPr>
              <w:spacing w:after="0"/>
              <w:rPr>
                <w:sz w:val="15"/>
                <w:szCs w:val="15"/>
                <w:color w:val="auto"/>
              </w:rPr>
            </w:pPr>
          </w:p>
        </w:tc>
        <w:tc>
          <w:tcPr>
            <w:tcW w:w="1380" w:type="dxa"/>
            <w:vAlign w:val="bottom"/>
          </w:tcPr>
          <w:p>
            <w:pPr>
              <w:jc w:val="right"/>
              <w:ind w:right="130"/>
              <w:spacing w:after="0" w:line="176" w:lineRule="exact"/>
              <w:rPr>
                <w:sz w:val="20"/>
                <w:szCs w:val="20"/>
                <w:color w:val="auto"/>
              </w:rPr>
            </w:pPr>
            <w:r>
              <w:rPr>
                <w:rFonts w:ascii="Arial" w:cs="Arial" w:eastAsia="Arial" w:hAnsi="Arial"/>
                <w:sz w:val="18"/>
                <w:szCs w:val="18"/>
                <w:color w:val="auto"/>
                <w:w w:val="90"/>
              </w:rPr>
              <w:t>Comprehensive</w:t>
            </w:r>
          </w:p>
        </w:tc>
        <w:tc>
          <w:tcPr>
            <w:tcW w:w="20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Earnings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Plan</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Income (Loss)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55,174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281,187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184,722</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32,322</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32,322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Derivative financial instruments adjustment</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(5,778)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prior service costs and net gains or losses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7,650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Cash dividends declared ($0.37 per share)</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(12,552)</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(12,552)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3,124</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175"/>
        </w:trPr>
        <w:tc>
          <w:tcPr>
            <w:tcW w:w="4500" w:type="dxa"/>
            <w:vAlign w:val="bottom"/>
          </w:tcPr>
          <w:p>
            <w:pPr>
              <w:ind w:left="20"/>
              <w:spacing w:after="0" w:line="176" w:lineRule="exact"/>
              <w:rPr>
                <w:sz w:val="20"/>
                <w:szCs w:val="20"/>
                <w:color w:val="auto"/>
              </w:rPr>
            </w:pPr>
            <w:r>
              <w:rPr>
                <w:rFonts w:ascii="Arial" w:cs="Arial" w:eastAsia="Arial" w:hAnsi="Arial"/>
                <w:sz w:val="18"/>
                <w:szCs w:val="18"/>
                <w:color w:val="auto"/>
              </w:rPr>
              <w:t>Repurchase of employee common stock for tax</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withholdings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Tredegar common stock purchased by trust for savings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restoration plan</w:t>
            </w: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September 30, 2022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57,902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300,996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207,058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08" w:lineRule="exact"/>
        <w:rPr>
          <w:sz w:val="20"/>
          <w:szCs w:val="20"/>
          <w:color w:val="auto"/>
        </w:rPr>
      </w:pPr>
    </w:p>
    <w:p>
      <w:pPr>
        <w:ind w:right="500" w:firstLine="405"/>
        <w:spacing w:after="0" w:line="272" w:lineRule="auto"/>
        <w:rPr>
          <w:sz w:val="20"/>
          <w:szCs w:val="20"/>
          <w:color w:val="auto"/>
        </w:rPr>
      </w:pPr>
      <w:r>
        <w:rPr>
          <w:rFonts w:ascii="Arial" w:cs="Arial" w:eastAsia="Arial" w:hAnsi="Arial"/>
          <w:sz w:val="17"/>
          <w:szCs w:val="17"/>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September 30, 2023, the condensed consolidated results of operations for the three and nine months ended September 30, 2023 and 2022, the condensed consolidated cash flows for the nine months ended September 30, 2023 and 2022, and the condensed consolidated changes in shareholders’ equity for the nine months ended September 30, 2023 and 2022, in accordance with U.S. generally accepted accounting principles (“GAAP”). All such adjustments, unless otherwise detailed in the notes to the condensed consolidated financial statements, are deemed to be of a normal, recurring nature.</w:t>
      </w:r>
    </w:p>
    <w:p>
      <w:pPr>
        <w:spacing w:after="0" w:line="42"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Company operates on a calendar fiscal year except for the Aluminum Extrusions segment, which operates on a 52/53-week fiscal year basis. As such, the fiscal third quarter for 2023 and 2022 for this segment references 13-week periods ended September 24, 2023 and September 25, 2022,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There was no intercompany funding with Aluminum Extrusions between September 24, 2023 and September 30, 2023.</w:t>
      </w:r>
    </w:p>
    <w:p>
      <w:pPr>
        <w:spacing w:after="0" w:line="5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condensed consolidated financial statements as of December 31, 2022 that is included herein was derived from the audited consolidated financial statements provided in the Company’s Annual Report on Form 10-K for the year ended December 31, 2022 (“2022 Form 10-K”) but does not include all disclosures required by GAAP. These financial statements should be read in conjunction with the audited consolidated financial statements and related notes included in the 2022 Form 10-K.</w:t>
      </w:r>
    </w:p>
    <w:p>
      <w:pPr>
        <w:spacing w:after="0" w:line="5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2023, are not necessarily indicative of the results to be expected for the full year.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Flexible Packaging Films</w:t>
      </w:r>
    </w:p>
    <w:p>
      <w:pPr>
        <w:spacing w:after="0" w:line="104"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September 1, 2023, the Company announced that it had entered into a definitive agreement to sell its flexible packaging films business (“Terphane”) to Oben Group (the "Contingent Terphane Sale"). Completion of the sale is contingent upon the satisfaction of customary closing conditions, including the receipt of certain competition filing approvals by authorities in Brazil and Columbia. On October 27, 2023, the Company filed the requisite competition forms with the Administrative Council for Economic Defense (“CADE”) in Brazil. CADE published related materials for public comment on November 6, 2023. CADE’s deadline for completing its review is no later than September 23, 2024. As of September 30, 2023, the Company has reported results for Terphane as a continuing operation, given the early stage of the approval process by authorities.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Closure of PE Films Technical Center</w:t>
      </w:r>
    </w:p>
    <w:p>
      <w:pPr>
        <w:spacing w:after="0" w:line="10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August 3, 2023, the Company adopted a plan to close the PE Films technical center in Richmond, VA and reduce its efforts to develop and sell films supporting the semiconductor market. Future research &amp; development activities for PE Films will be performed at the production facility in Pottsville, PA. PE Films continues to have new business opportunities primarily relating to surface protection films that protect components of flat panel and flexible displays. The Company anticipates all activities to cease at the PE Films technical center in Richmond, VA by the end of 2023. Including costs incurred through the first nine months ended September 30, 2023, the Company expects to recognize cash costs associated with exit activities of $1.7 million for: (i) severance and related costs ($0.8 million), (ii) vacating the facility lease ($0.6 million payable through June 2025), and (iii) building closure costs ($0.3 million). In addition, the Company expects non-cash asset write-downs and accelerated depreciation of up to $3.7 million.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ind w:right="80" w:firstLine="405"/>
        <w:spacing w:after="0" w:line="286" w:lineRule="auto"/>
        <w:rPr>
          <w:sz w:val="20"/>
          <w:szCs w:val="20"/>
          <w:color w:val="auto"/>
        </w:rPr>
      </w:pPr>
      <w:r>
        <w:rPr>
          <w:rFonts w:ascii="Arial" w:cs="Arial" w:eastAsia="Arial" w:hAnsi="Arial"/>
          <w:sz w:val="17"/>
          <w:szCs w:val="17"/>
          <w:color w:val="auto"/>
        </w:rPr>
        <w:t>A reconciliation of the beginning and ending balances of accrued expense associated with exit and disposal activities and charges associated with asset impairments reported as "Asset impairments and costs associated with exit and disposal activities, net of adjustments" in the condensed consolidated statements of income for the three and nine months ended September 30, 2023 is shown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5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Severance</w:t>
            </w:r>
          </w:p>
        </w:tc>
        <w:tc>
          <w:tcPr>
            <w:tcW w:w="24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Asset write-downs</w:t>
            </w: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Other</w:t>
            </w:r>
          </w:p>
        </w:tc>
        <w:tc>
          <w:tcPr>
            <w:tcW w:w="4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Richmond Technical Center</w:t>
            </w:r>
          </w:p>
        </w:tc>
        <w:tc>
          <w:tcPr>
            <w:tcW w:w="1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w:t>
            </w:r>
          </w:p>
        </w:tc>
      </w:tr>
      <w:tr>
        <w:trPr>
          <w:trHeight w:val="223"/>
        </w:trPr>
        <w:tc>
          <w:tcPr>
            <w:tcW w:w="3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Charges</w:t>
            </w:r>
          </w:p>
        </w:tc>
        <w:tc>
          <w:tcPr>
            <w:tcW w:w="1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Cash Spend</w:t>
            </w:r>
          </w:p>
        </w:tc>
        <w:tc>
          <w:tcPr>
            <w:tcW w:w="1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Charges against assets</w:t>
            </w:r>
          </w:p>
        </w:tc>
        <w:tc>
          <w:tcPr>
            <w:tcW w:w="1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r>
      <w:tr>
        <w:trPr>
          <w:trHeight w:val="22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September 30, 2023</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90"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Company assesses goodwill for impairment when events or circumstances indicate that the carrying value may not be recoverable, or, at a minimum, on an annual basis (December 1st of each year). As of September 30, 2023, the Company’s reporting units with goodwill were Surface Protection in PE Films ("Surface Protection") and Futura in Aluminum Extrusions (“Futura”). No events or circumstances were identified during the third quarter of 2023 that indicate that Futura’s fair value is more likely than not less than its carrying amount.</w:t>
      </w:r>
    </w:p>
    <w:p>
      <w:pPr>
        <w:spacing w:after="0" w:line="50"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Uncertainty about the timing of a recovery in the consumer electronics market persists, and manufacturers in the supply chain for consumer electronics continue to experience reduced capacity utilization and inventory corrections. In light of the limited visibility on the timing of a recovery and the expected adverse future impact to the Surface Protection business, coupled with a cautious outlook on new product development opportunities, the Company performed a Step 1 goodwill impairment analysis of the Surface Protection component of PE Films. This analysis utilized projections that contemplate the expected market recovery and business conditions, including for its three significant customers, as these events indicated Surface Protection’s fair value is more likely than not less than its carrying amount.</w:t>
      </w:r>
    </w:p>
    <w:p>
      <w:pPr>
        <w:spacing w:after="0" w:line="71"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Company estimated the fair value of Surface Protection at September 30, 2023 by: (i) computing an estimated enterprise value (“EV”) utilizing the discounted cash flow method (the “DCF Method”), (ii) applying adjustments for any surplus or deficient working capital, (iii) adding cash and cash equivalents, and (iv) subtracting interest-bearing debt. The DCF Method was used, incorporating Surface Protection’s latest projections which reflect updated expected market recovery levels, feasibility of launching new product applications, competitive pricing and cash flows associated with production efficiencies, as well as consideration of cost savings and inventory corrections.</w:t>
      </w:r>
    </w:p>
    <w:p>
      <w:pPr>
        <w:spacing w:after="0" w:line="41" w:lineRule="exact"/>
        <w:rPr>
          <w:sz w:val="20"/>
          <w:szCs w:val="20"/>
          <w:color w:val="auto"/>
        </w:rPr>
      </w:pPr>
    </w:p>
    <w:p>
      <w:pPr>
        <w:jc w:val="both"/>
        <w:ind w:right="340" w:firstLine="405"/>
        <w:spacing w:after="0" w:line="263" w:lineRule="auto"/>
        <w:rPr>
          <w:sz w:val="20"/>
          <w:szCs w:val="20"/>
          <w:color w:val="auto"/>
        </w:rPr>
      </w:pPr>
      <w:r>
        <w:rPr>
          <w:rFonts w:ascii="Arial" w:cs="Arial" w:eastAsia="Arial" w:hAnsi="Arial"/>
          <w:sz w:val="18"/>
          <w:szCs w:val="18"/>
          <w:color w:val="auto"/>
        </w:rPr>
        <w:t>The analysis concluded that the fair value of Surface Protection was less than its carrying value, thus a non-cash partial goodwill impairment of $19.5 million ($15.1 million after deferred income tax benefits) was recognized during the third quarter of 2023 and $34.9 million ($27.0 million after deferred income tax benefits) during the first nine months of 2023.</w:t>
      </w:r>
    </w:p>
    <w:p>
      <w:pPr>
        <w:spacing w:after="0" w:line="62"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Given the uncertain demand for Surface Protections products, it is reasonably possible that the cash flow estimates used in deriving such fair value measurements may change in the future. The Surface Protection reporting unit had goodwill of $22.4 million and $57.3 million as of September 30, 2023 and December 31, 2022,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July 2023, the Financial Accounting Standard Board issued Accounting Standards Updated ("ASU") 2023-03 to amend various SEC paragraphs in the Accounting Standards Codification to primarily reflect the issuance of SEC Staff Accounting Bulletin No. 120. ASU No. 2023-03, “Presentation of Financial Statements (Topic 205), Income Statement—Reporting Comprehensive Income (Topic 220), Distinguishing Liabilities from Equity (Topic 480), Equity (Topic 505), and Compensation—Stock Compensation (Topic 718): Amendments to SEC Paragraphs Pursuant to SEC Staff Accounting Bulletin No. 120, SEC Staff Announcement at the March 24, 2022 Emerging Issues Task Force ("EITF") Meeting, and Staff Accounting Bulletin Topic 6.B, Accounting Series Release 280—General Revision of Regulation S-X: Income or Loss Applicable to Common Stock.” ASU 2023-03 amends the ASC for SEC updates pursuant to SEC Staff Accounting Bulletin No. 120; SEC Staff Announcement at the March 24, 2022 EITF Meeting; and Staff Accounting Bulletin Topic 6.B, Accounting Series Release 280 - General Revision of Regulation S-X: Income or Loss Applicable to Common Stock. These updates were immediately effective and did not have a material impact to the Company's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ACCOUNTS AND OTHER RECEIVABLES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2023 and December 31, 2022, accounts and other receivables, net include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68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5"/>
              </w:rPr>
              <w:t>September 30, 2023</w:t>
            </w:r>
          </w:p>
        </w:tc>
        <w:tc>
          <w:tcPr>
            <w:tcW w:w="3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7"/>
              </w:rPr>
              <w:t>December 31, 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receivables</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69,945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83,667</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receivables</w:t>
            </w:r>
          </w:p>
        </w:tc>
        <w:tc>
          <w:tcPr>
            <w:tcW w:w="1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2,326</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r>
      <w:tr>
        <w:trPr>
          <w:trHeight w:val="223"/>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accounts and other receivables</w:t>
            </w:r>
          </w:p>
        </w:tc>
        <w:tc>
          <w:tcPr>
            <w:tcW w:w="168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72,271</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87,541</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Allowance for bad debts</w:t>
            </w:r>
          </w:p>
        </w:tc>
        <w:tc>
          <w:tcPr>
            <w:tcW w:w="1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r>
      <w:tr>
        <w:trPr>
          <w:trHeight w:val="230"/>
        </w:trPr>
        <w:tc>
          <w:tcPr>
            <w:tcW w:w="5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accounts and other receivables, net</w:t>
            </w: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70,344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84,544</w:t>
            </w:r>
          </w:p>
        </w:tc>
      </w:tr>
      <w:tr>
        <w:trPr>
          <w:trHeight w:val="405"/>
        </w:trPr>
        <w:tc>
          <w:tcPr>
            <w:tcW w:w="514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7"/>
        </w:trPr>
        <w:tc>
          <w:tcPr>
            <w:tcW w:w="5140" w:type="dxa"/>
            <w:vAlign w:val="bottom"/>
          </w:tcPr>
          <w:p>
            <w:pPr>
              <w:ind w:left="420"/>
              <w:spacing w:after="0"/>
              <w:rPr>
                <w:sz w:val="20"/>
                <w:szCs w:val="20"/>
                <w:color w:val="auto"/>
              </w:rPr>
            </w:pPr>
            <w:r>
              <w:rPr>
                <w:rFonts w:ascii="Arial" w:cs="Arial" w:eastAsia="Arial" w:hAnsi="Arial"/>
                <w:sz w:val="18"/>
                <w:szCs w:val="18"/>
                <w:color w:val="auto"/>
              </w:rPr>
              <w:t>The components of inventories are as follows:</w:t>
            </w: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September 30, 2023</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8"/>
              </w:rPr>
              <w:t>December 31, 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34,686</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6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9,569</w:t>
            </w: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15,604</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58,262</w:t>
            </w: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Stores, supplies and other</w:t>
            </w:r>
          </w:p>
        </w:tc>
        <w:tc>
          <w:tcPr>
            <w:tcW w:w="1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20,754</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19,219</w:t>
            </w:r>
          </w:p>
        </w:tc>
      </w:tr>
      <w:tr>
        <w:trPr>
          <w:trHeight w:val="230"/>
        </w:trPr>
        <w:tc>
          <w:tcPr>
            <w:tcW w:w="5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 AND OTHER POSTRETIREMENT BENEFITS</w:t>
      </w:r>
    </w:p>
    <w:p>
      <w:pPr>
        <w:spacing w:after="0" w:line="94"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Tredegar sponsors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In connection therewith, on February 9, 2022, the Company contributed $50 million to the pension plan.</w:t>
      </w:r>
    </w:p>
    <w:p>
      <w:pPr>
        <w:spacing w:after="0" w:line="22" w:lineRule="exact"/>
        <w:rPr>
          <w:sz w:val="20"/>
          <w:szCs w:val="20"/>
          <w:color w:val="auto"/>
        </w:rPr>
      </w:pPr>
    </w:p>
    <w:p>
      <w:pPr>
        <w:ind w:right="200" w:firstLine="405"/>
        <w:spacing w:after="0" w:line="270" w:lineRule="auto"/>
        <w:rPr>
          <w:sz w:val="20"/>
          <w:szCs w:val="20"/>
          <w:color w:val="auto"/>
        </w:rPr>
      </w:pPr>
      <w:r>
        <w:rPr>
          <w:rFonts w:ascii="Arial" w:cs="Arial" w:eastAsia="Arial" w:hAnsi="Arial"/>
          <w:sz w:val="17"/>
          <w:szCs w:val="17"/>
          <w:color w:val="auto"/>
        </w:rPr>
        <w:t>During the third quarter of 2023, the Company remeasured the pension plan, which resulted in a pre-tax pension settlement loss in the condensed consolidated results of operation of $25.6 million. The remeasurement of the pension benefit obligation and plan assets was triggered by $64.5 million of lump sum distributions from the pension plan assets which exceeded the pension plan's service and interest cost.</w:t>
      </w:r>
    </w:p>
    <w:p>
      <w:pPr>
        <w:spacing w:after="0" w:line="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7"/>
          <w:szCs w:val="17"/>
          <w:color w:val="auto"/>
        </w:rPr>
        <w:t>On September 27, 2023, the Company borrowed $30 million under its revolving credit agreement in anticipation of the final funding expected for terminating its defined benefit pension plan obligation. On October 31, 2023, the Company contributed $27.7 million to fully fund the pension plan with the amount necessary to allow for the subsequent transfer of the final annuity premium to Massachusetts Mutual Life Insurance Company, the selected insurer for the plan. On November 3, 2023, the pension plan termination and settlement process for the Company was completed, and the relevant pension plan obligation was transferred to Massachusetts Mutual Life Insurance Company. As of September 30, 2023, the remaining unrecognized pre-tax actuarial losses reported in the accumulated other comprehensive income (loss) was $69.0 million.</w:t>
      </w:r>
    </w:p>
    <w:p>
      <w:pPr>
        <w:spacing w:after="0" w:line="54" w:lineRule="exact"/>
        <w:rPr>
          <w:sz w:val="20"/>
          <w:szCs w:val="20"/>
          <w:color w:val="auto"/>
        </w:rPr>
      </w:pPr>
    </w:p>
    <w:p>
      <w:pPr>
        <w:ind w:right="200" w:firstLine="405"/>
        <w:spacing w:after="0" w:line="261" w:lineRule="auto"/>
        <w:rPr>
          <w:sz w:val="20"/>
          <w:szCs w:val="20"/>
          <w:color w:val="auto"/>
        </w:rPr>
      </w:pPr>
      <w:r>
        <w:rPr>
          <w:rFonts w:ascii="Arial" w:cs="Arial" w:eastAsia="Arial" w:hAnsi="Arial"/>
          <w:sz w:val="17"/>
          <w:szCs w:val="17"/>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and nine months ended September 30, 2023 and 2022. This information has been included in the pension benefit table below.</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580" w:firstLine="405"/>
        <w:spacing w:after="0" w:line="274" w:lineRule="auto"/>
        <w:rPr>
          <w:sz w:val="20"/>
          <w:szCs w:val="20"/>
          <w:color w:val="auto"/>
        </w:rPr>
      </w:pPr>
      <w:r>
        <w:rPr>
          <w:rFonts w:ascii="Arial" w:cs="Arial" w:eastAsia="Arial" w:hAnsi="Arial"/>
          <w:sz w:val="18"/>
          <w:szCs w:val="18"/>
          <w:color w:val="auto"/>
        </w:rPr>
        <w:t>The components of net periodic benefit cost for the pension and other postretirement benefit programs reflected in the condensed consolidated statements of income for the three and nine months ended September 30, 2023 and 2022, are shown below:</w:t>
      </w:r>
    </w:p>
    <w:tbl>
      <w:tblPr>
        <w:tblLayout w:type="fixed"/>
        <w:tblInd w:w="0" w:type="dxa"/>
        <w:tblCellMar>
          <w:top w:w="0" w:type="dxa"/>
          <w:left w:w="0" w:type="dxa"/>
          <w:bottom w:w="0" w:type="dxa"/>
          <w:right w:w="0" w:type="dxa"/>
        </w:tblCellMar>
      </w:tblPr>
      <w:tr>
        <w:trPr>
          <w:trHeight w:val="183"/>
        </w:trPr>
        <w:tc>
          <w:tcPr>
            <w:tcW w:w="6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center"/>
              <w:ind w:right="110"/>
              <w:spacing w:after="0" w:line="183" w:lineRule="exact"/>
              <w:rPr>
                <w:sz w:val="20"/>
                <w:szCs w:val="20"/>
                <w:color w:val="auto"/>
              </w:rPr>
            </w:pPr>
            <w:r>
              <w:rPr>
                <w:rFonts w:ascii="Arial" w:cs="Arial" w:eastAsia="Arial" w:hAnsi="Arial"/>
                <w:sz w:val="18"/>
                <w:szCs w:val="18"/>
                <w:color w:val="auto"/>
                <w:w w:val="89"/>
              </w:rPr>
              <w:t>Other Post-Retirement</w:t>
            </w:r>
          </w:p>
        </w:tc>
      </w:tr>
      <w:tr>
        <w:trPr>
          <w:trHeight w:val="243"/>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center"/>
              <w:ind w:right="340"/>
              <w:spacing w:after="0"/>
              <w:rPr>
                <w:sz w:val="20"/>
                <w:szCs w:val="20"/>
                <w:color w:val="auto"/>
              </w:rPr>
            </w:pPr>
            <w:r>
              <w:rPr>
                <w:rFonts w:ascii="Arial" w:cs="Arial" w:eastAsia="Arial" w:hAnsi="Arial"/>
                <w:sz w:val="18"/>
                <w:szCs w:val="18"/>
                <w:color w:val="auto"/>
                <w:w w:val="90"/>
              </w:rPr>
              <w:t>Pension Benefits</w:t>
            </w:r>
          </w:p>
        </w:tc>
        <w:tc>
          <w:tcPr>
            <w:tcW w:w="200" w:type="dxa"/>
            <w:vAlign w:val="bottom"/>
          </w:tcPr>
          <w:p>
            <w:pPr>
              <w:spacing w:after="0"/>
              <w:rPr>
                <w:sz w:val="21"/>
                <w:szCs w:val="21"/>
                <w:color w:val="auto"/>
              </w:rPr>
            </w:pPr>
          </w:p>
        </w:tc>
        <w:tc>
          <w:tcPr>
            <w:tcW w:w="126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Benefits</w:t>
            </w:r>
          </w:p>
        </w:tc>
        <w:tc>
          <w:tcPr>
            <w:tcW w:w="760" w:type="dxa"/>
            <w:vAlign w:val="bottom"/>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3"/>
          </w:tcPr>
          <w:p>
            <w:pPr>
              <w:jc w:val="center"/>
              <w:ind w:right="130"/>
              <w:spacing w:after="0" w:line="169"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3"/>
          </w:tcPr>
          <w:p>
            <w:pPr>
              <w:jc w:val="center"/>
              <w:ind w:right="90"/>
              <w:spacing w:after="0" w:line="169" w:lineRule="exact"/>
              <w:rPr>
                <w:sz w:val="20"/>
                <w:szCs w:val="20"/>
                <w:color w:val="auto"/>
              </w:rPr>
            </w:pPr>
            <w:r>
              <w:rPr>
                <w:rFonts w:ascii="Arial" w:cs="Arial" w:eastAsia="Arial" w:hAnsi="Arial"/>
                <w:sz w:val="18"/>
                <w:szCs w:val="18"/>
                <w:color w:val="auto"/>
                <w:w w:val="90"/>
              </w:rPr>
              <w:t>Three Months Ended</w:t>
            </w:r>
          </w:p>
        </w:tc>
      </w:tr>
      <w:tr>
        <w:trPr>
          <w:trHeight w:val="237"/>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020" w:type="dxa"/>
            <w:vAlign w:val="bottom"/>
            <w:gridSpan w:val="3"/>
          </w:tcPr>
          <w:p>
            <w:pPr>
              <w:jc w:val="center"/>
              <w:ind w:right="90"/>
              <w:spacing w:after="0"/>
              <w:rPr>
                <w:sz w:val="20"/>
                <w:szCs w:val="20"/>
                <w:color w:val="auto"/>
              </w:rPr>
            </w:pPr>
            <w:r>
              <w:rPr>
                <w:rFonts w:ascii="Arial" w:cs="Arial" w:eastAsia="Arial" w:hAnsi="Arial"/>
                <w:sz w:val="18"/>
                <w:szCs w:val="18"/>
                <w:color w:val="auto"/>
                <w:w w:val="88"/>
              </w:rPr>
              <w:t>September 30,</w:t>
            </w:r>
          </w:p>
        </w:tc>
      </w:tr>
      <w:tr>
        <w:trPr>
          <w:trHeight w:val="22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2,786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Pension settlement loss</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25,612</w:t>
            </w: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 (gains) losses and net transition asset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2,644</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28,714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
        </w:trPr>
        <w:tc>
          <w:tcPr>
            <w:tcW w:w="6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8"/>
        </w:trPr>
        <w:tc>
          <w:tcPr>
            <w:tcW w:w="6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176"/>
        </w:trPr>
        <w:tc>
          <w:tcPr>
            <w:tcW w:w="6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3"/>
          </w:tcPr>
          <w:p>
            <w:pPr>
              <w:jc w:val="center"/>
              <w:ind w:right="110"/>
              <w:spacing w:after="0" w:line="176" w:lineRule="exact"/>
              <w:rPr>
                <w:sz w:val="20"/>
                <w:szCs w:val="20"/>
                <w:color w:val="auto"/>
              </w:rPr>
            </w:pPr>
            <w:r>
              <w:rPr>
                <w:rFonts w:ascii="Arial" w:cs="Arial" w:eastAsia="Arial" w:hAnsi="Arial"/>
                <w:sz w:val="18"/>
                <w:szCs w:val="18"/>
                <w:color w:val="auto"/>
                <w:w w:val="89"/>
              </w:rPr>
              <w:t>Other Post-Retirement</w:t>
            </w:r>
          </w:p>
        </w:tc>
      </w:tr>
      <w:tr>
        <w:trPr>
          <w:trHeight w:val="243"/>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center"/>
              <w:ind w:right="340"/>
              <w:spacing w:after="0"/>
              <w:rPr>
                <w:sz w:val="20"/>
                <w:szCs w:val="20"/>
                <w:color w:val="auto"/>
              </w:rPr>
            </w:pPr>
            <w:r>
              <w:rPr>
                <w:rFonts w:ascii="Arial" w:cs="Arial" w:eastAsia="Arial" w:hAnsi="Arial"/>
                <w:sz w:val="18"/>
                <w:szCs w:val="18"/>
                <w:color w:val="auto"/>
                <w:w w:val="90"/>
              </w:rPr>
              <w:t>Pension Benefits</w:t>
            </w:r>
          </w:p>
        </w:tc>
        <w:tc>
          <w:tcPr>
            <w:tcW w:w="200" w:type="dxa"/>
            <w:vAlign w:val="bottom"/>
          </w:tcPr>
          <w:p>
            <w:pPr>
              <w:spacing w:after="0"/>
              <w:rPr>
                <w:sz w:val="21"/>
                <w:szCs w:val="21"/>
                <w:color w:val="auto"/>
              </w:rPr>
            </w:pPr>
          </w:p>
        </w:tc>
        <w:tc>
          <w:tcPr>
            <w:tcW w:w="126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Benefits</w:t>
            </w:r>
          </w:p>
        </w:tc>
        <w:tc>
          <w:tcPr>
            <w:tcW w:w="760" w:type="dxa"/>
            <w:vAlign w:val="bottom"/>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3"/>
          </w:tcPr>
          <w:p>
            <w:pPr>
              <w:jc w:val="center"/>
              <w:ind w:right="150"/>
              <w:spacing w:after="0" w:line="169" w:lineRule="exact"/>
              <w:rPr>
                <w:sz w:val="20"/>
                <w:szCs w:val="20"/>
                <w:color w:val="auto"/>
              </w:rPr>
            </w:pPr>
            <w:r>
              <w:rPr>
                <w:rFonts w:ascii="Arial" w:cs="Arial" w:eastAsia="Arial" w:hAnsi="Arial"/>
                <w:sz w:val="18"/>
                <w:szCs w:val="18"/>
                <w:color w:val="auto"/>
                <w:w w:val="92"/>
              </w:rPr>
              <w:t>Nine Months Ended</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3"/>
          </w:tcPr>
          <w:p>
            <w:pPr>
              <w:jc w:val="center"/>
              <w:ind w:right="110"/>
              <w:spacing w:after="0" w:line="169" w:lineRule="exact"/>
              <w:rPr>
                <w:sz w:val="20"/>
                <w:szCs w:val="20"/>
                <w:color w:val="auto"/>
              </w:rPr>
            </w:pPr>
            <w:r>
              <w:rPr>
                <w:rFonts w:ascii="Arial" w:cs="Arial" w:eastAsia="Arial" w:hAnsi="Arial"/>
                <w:sz w:val="18"/>
                <w:szCs w:val="18"/>
                <w:color w:val="auto"/>
                <w:w w:val="92"/>
              </w:rPr>
              <w:t>Nine Months Ended</w:t>
            </w:r>
          </w:p>
        </w:tc>
      </w:tr>
      <w:tr>
        <w:trPr>
          <w:trHeight w:val="237"/>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020" w:type="dxa"/>
            <w:vAlign w:val="bottom"/>
            <w:gridSpan w:val="3"/>
          </w:tcPr>
          <w:p>
            <w:pPr>
              <w:jc w:val="center"/>
              <w:ind w:right="90"/>
              <w:spacing w:after="0"/>
              <w:rPr>
                <w:sz w:val="20"/>
                <w:szCs w:val="20"/>
                <w:color w:val="auto"/>
              </w:rPr>
            </w:pPr>
            <w:r>
              <w:rPr>
                <w:rFonts w:ascii="Arial" w:cs="Arial" w:eastAsia="Arial" w:hAnsi="Arial"/>
                <w:sz w:val="18"/>
                <w:szCs w:val="18"/>
                <w:color w:val="auto"/>
                <w:w w:val="88"/>
              </w:rPr>
              <w:t>September 30,</w:t>
            </w:r>
          </w:p>
        </w:tc>
      </w:tr>
      <w:tr>
        <w:trPr>
          <w:trHeight w:val="22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8,842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Pension settlement loss</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25,612</w:t>
            </w: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 (gains) losses and net transition asset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8,609</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4"/>
        </w:trPr>
        <w:tc>
          <w:tcPr>
            <w:tcW w:w="670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35,521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(a)Pension settlement loss, included in the condensed consolidated statements of operation, represents pension settlement charges due to lump sum payments to participants.</w:t>
      </w:r>
    </w:p>
    <w:p>
      <w:pPr>
        <w:spacing w:after="0" w:line="213"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Pension and other postretirement liabilities were $36.3 million and $35.7 million at September 30, 2023 and December 31, 2022, respectively ($0.7 million included in “Accrued expenses” at September 30, 2023 and December 31, 2022, respectively, with the remainder included in “Pension and other postretirement benefit obligations, net” in the condensed consolidated balance sheets).</w:t>
      </w:r>
    </w:p>
    <w:p>
      <w:pPr>
        <w:spacing w:after="0" w:line="62"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Tredegar funds its other postretirement benefits on a claims-made basis; for 2023, the Company anticipates the amount will be consistent with amounts paid for the year ended December 31, 2022, or approximately $0.5 million.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INCOME (EXPENSE), NET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2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spacing w:after="0"/>
              <w:rPr>
                <w:sz w:val="22"/>
                <w:szCs w:val="22"/>
                <w:color w:val="auto"/>
              </w:rPr>
            </w:pPr>
          </w:p>
        </w:tc>
        <w:tc>
          <w:tcPr>
            <w:tcW w:w="274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8"/>
              </w:rPr>
              <w:t>Three Months Ended September 30,</w:t>
            </w:r>
          </w:p>
        </w:tc>
        <w:tc>
          <w:tcPr>
            <w:tcW w:w="220" w:type="dxa"/>
            <w:vAlign w:val="bottom"/>
            <w:tcBorders>
              <w:top w:val="single" w:sz="8" w:color="auto"/>
              <w:bottom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0"/>
              </w:rPr>
              <w:t>Nine Months Ended September 30,</w:t>
            </w: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23"/>
        </w:trPr>
        <w:tc>
          <w:tcPr>
            <w:tcW w:w="3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Gain on investment in kaléo</w:t>
            </w:r>
            <w:r>
              <w:rPr>
                <w:rFonts w:ascii="Arial" w:cs="Arial" w:eastAsia="Arial" w:hAnsi="Arial"/>
                <w:sz w:val="23"/>
                <w:szCs w:val="23"/>
                <w:color w:val="auto"/>
                <w:vertAlign w:val="superscript"/>
              </w:rPr>
              <w:t>(a)</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3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3"/>
              </w:rPr>
              <w:t>(51)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3"/>
              </w:rPr>
              <w:t>(51)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210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r>
    </w:tbl>
    <w:p>
      <w:pPr>
        <w:spacing w:after="0" w:line="4" w:lineRule="exact"/>
        <w:rPr>
          <w:sz w:val="20"/>
          <w:szCs w:val="20"/>
          <w:color w:val="auto"/>
        </w:rPr>
      </w:pPr>
    </w:p>
    <w:p>
      <w:pPr>
        <w:ind w:left="260" w:right="100" w:hanging="234"/>
        <w:spacing w:after="0"/>
        <w:tabs>
          <w:tab w:leader="none" w:pos="237"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2023, additional cash consideration of $0.3 million was received related to the customary post-closing adjustments on the sale of the investment in kaleo, Inc ("kaléo"), which was sold in December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EARNINGS PER SHARE</w:t>
      </w:r>
    </w:p>
    <w:p>
      <w:pPr>
        <w:spacing w:after="0" w:line="94"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w:t>
      </w:r>
    </w:p>
    <w:tbl>
      <w:tblPr>
        <w:tblLayout w:type="fixed"/>
        <w:tblInd w:w="0" w:type="dxa"/>
        <w:tblCellMar>
          <w:top w:w="0" w:type="dxa"/>
          <w:left w:w="0" w:type="dxa"/>
          <w:bottom w:w="0" w:type="dxa"/>
          <w:right w:w="0" w:type="dxa"/>
        </w:tblCellMar>
      </w:tblPr>
      <w:tr>
        <w:trPr>
          <w:trHeight w:val="245"/>
        </w:trPr>
        <w:tc>
          <w:tcPr>
            <w:tcW w:w="538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2"/>
              </w:rPr>
              <w:t>Three Months Ended September 30,</w:t>
            </w:r>
          </w:p>
        </w:tc>
        <w:tc>
          <w:tcPr>
            <w:tcW w:w="28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5"/>
              </w:rPr>
              <w:t>Nine Months Ended September 30,</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6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182"/>
        </w:trPr>
        <w:tc>
          <w:tcPr>
            <w:tcW w:w="53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89"/>
              </w:rPr>
              <w:t>Weighted average shares outstanding used to compute basic earnings per</w:t>
            </w:r>
          </w:p>
        </w:tc>
        <w:tc>
          <w:tcPr>
            <w:tcW w:w="16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34,264</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33,870</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34,081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33,780</w:t>
            </w:r>
          </w:p>
        </w:tc>
      </w:tr>
      <w:tr>
        <w:trPr>
          <w:trHeight w:val="188"/>
        </w:trPr>
        <w:tc>
          <w:tcPr>
            <w:tcW w:w="5380" w:type="dxa"/>
            <w:vAlign w:val="bottom"/>
          </w:tcPr>
          <w:p>
            <w:pPr>
              <w:ind w:left="20"/>
              <w:spacing w:after="0" w:line="189" w:lineRule="exact"/>
              <w:rPr>
                <w:sz w:val="20"/>
                <w:szCs w:val="20"/>
                <w:color w:val="auto"/>
              </w:rPr>
            </w:pPr>
            <w:r>
              <w:rPr>
                <w:rFonts w:ascii="Arial" w:cs="Arial" w:eastAsia="Arial" w:hAnsi="Arial"/>
                <w:sz w:val="18"/>
                <w:szCs w:val="18"/>
                <w:color w:val="auto"/>
                <w:w w:val="96"/>
              </w:rPr>
              <w:t>Incremental dilutive shares attributable to stock options and restricted</w:t>
            </w:r>
          </w:p>
        </w:tc>
        <w:tc>
          <w:tcPr>
            <w:tcW w:w="1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w:t>
            </w: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diluted earnings per share</w:t>
            </w:r>
          </w:p>
        </w:tc>
        <w:tc>
          <w:tcPr>
            <w:tcW w:w="16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34,264</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33,871</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34,081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33,808</w:t>
            </w:r>
          </w:p>
        </w:tc>
      </w:tr>
    </w:tbl>
    <w:p>
      <w:pPr>
        <w:spacing w:after="0" w:line="175"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Incremental shares attributable to stock options and restricted stock are computed under the treasury stock method using the average market price during the related period. The Company had a net loss for the three and nine months ended September 30, 2023, so there is no dilutive impact for such shares. If the Company had reported net income for the three and nine months ended September 30, 2023, average out-of-the-money options to purchase shares that were excluded from the calculation of incremental shares attributable to stock options and restricted stock would have been 3,019,333 and 2,893,677, respectively. The average out-of-the-money options to purchase shares that were excluded from the calculation of incremental shares attributable to stock options and restricted stock were 2,932,378 and 2,645,063 for the three and nine months ended September 30, 2022,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 (LOSS)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accumulated other comprehensive income (loss) by component for the three months ended September 30,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4"/>
              </w:rPr>
              <w:t>Foreign Currency</w:t>
            </w:r>
          </w:p>
        </w:tc>
        <w:tc>
          <w:tcPr>
            <w:tcW w:w="2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1"/>
              </w:rPr>
              <w:t>Gain (Loss) on</w:t>
            </w: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92"/>
              </w:rPr>
              <w:t>Pension &amp; Other</w:t>
            </w:r>
          </w:p>
        </w:tc>
        <w:tc>
          <w:tcPr>
            <w:tcW w:w="2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4"/>
              </w:rPr>
              <w:t>Total Accumulated Other</w:t>
            </w:r>
          </w:p>
        </w:tc>
        <w:tc>
          <w:tcPr>
            <w:tcW w:w="2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Derivative Financial</w:t>
            </w:r>
          </w:p>
        </w:tc>
        <w:tc>
          <w:tcPr>
            <w:tcW w:w="180" w:type="dxa"/>
            <w:vAlign w:val="bottom"/>
          </w:tcPr>
          <w:p>
            <w:pPr>
              <w:spacing w:after="0"/>
              <w:rPr>
                <w:sz w:val="15"/>
                <w:szCs w:val="15"/>
                <w:color w:val="auto"/>
              </w:rPr>
            </w:pPr>
          </w:p>
        </w:tc>
        <w:tc>
          <w:tcPr>
            <w:tcW w:w="1440" w:type="dxa"/>
            <w:vAlign w:val="bottom"/>
          </w:tcPr>
          <w:p>
            <w:pPr>
              <w:jc w:val="right"/>
              <w:ind w:right="190"/>
              <w:spacing w:after="0" w:line="176" w:lineRule="exact"/>
              <w:rPr>
                <w:sz w:val="20"/>
                <w:szCs w:val="20"/>
                <w:color w:val="auto"/>
              </w:rPr>
            </w:pPr>
            <w:r>
              <w:rPr>
                <w:rFonts w:ascii="Arial" w:cs="Arial" w:eastAsia="Arial" w:hAnsi="Arial"/>
                <w:sz w:val="18"/>
                <w:szCs w:val="18"/>
                <w:color w:val="auto"/>
                <w:w w:val="97"/>
              </w:rPr>
              <w:t>Postretirement</w:t>
            </w:r>
          </w:p>
        </w:tc>
        <w:tc>
          <w:tcPr>
            <w:tcW w:w="22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1"/>
                <w:szCs w:val="21"/>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21"/>
                <w:szCs w:val="21"/>
                <w:color w:val="auto"/>
              </w:rPr>
            </w:pPr>
          </w:p>
        </w:tc>
        <w:tc>
          <w:tcPr>
            <w:tcW w:w="1780" w:type="dxa"/>
            <w:vAlign w:val="bottom"/>
          </w:tcPr>
          <w:p>
            <w:pPr>
              <w:jc w:val="center"/>
              <w:ind w:right="110"/>
              <w:spacing w:after="0"/>
              <w:rPr>
                <w:sz w:val="20"/>
                <w:szCs w:val="20"/>
                <w:color w:val="auto"/>
              </w:rPr>
            </w:pPr>
            <w:r>
              <w:rPr>
                <w:rFonts w:ascii="Arial" w:cs="Arial" w:eastAsia="Arial" w:hAnsi="Arial"/>
                <w:sz w:val="18"/>
                <w:szCs w:val="18"/>
                <w:color w:val="auto"/>
                <w:w w:val="91"/>
              </w:rPr>
              <w:t>Instruments</w:t>
            </w:r>
          </w:p>
        </w:tc>
        <w:tc>
          <w:tcPr>
            <w:tcW w:w="180" w:type="dxa"/>
            <w:vAlign w:val="bottom"/>
          </w:tcPr>
          <w:p>
            <w:pPr>
              <w:spacing w:after="0"/>
              <w:rPr>
                <w:sz w:val="21"/>
                <w:szCs w:val="21"/>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Benefit Adjust</w:t>
            </w:r>
          </w:p>
        </w:tc>
        <w:tc>
          <w:tcPr>
            <w:tcW w:w="2620" w:type="dxa"/>
            <w:vAlign w:val="bottom"/>
            <w:gridSpan w:val="3"/>
          </w:tcPr>
          <w:p>
            <w:pPr>
              <w:ind w:left="100"/>
              <w:spacing w:after="0"/>
              <w:rPr>
                <w:sz w:val="20"/>
                <w:szCs w:val="20"/>
                <w:color w:val="auto"/>
              </w:rPr>
            </w:pPr>
            <w:r>
              <w:rPr>
                <w:rFonts w:ascii="Arial" w:cs="Arial" w:eastAsia="Arial" w:hAnsi="Arial"/>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July 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(83,338)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(54,463)</w:t>
            </w: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(138,644)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2,287</w:t>
            </w:r>
          </w:p>
        </w:tc>
        <w:tc>
          <w:tcPr>
            <w:tcW w:w="18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936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tcPr>
          <w:p>
            <w:pPr>
              <w:ind w:left="140"/>
              <w:spacing w:after="0" w:line="169" w:lineRule="exact"/>
              <w:rPr>
                <w:sz w:val="20"/>
                <w:szCs w:val="20"/>
                <w:color w:val="auto"/>
              </w:rPr>
            </w:pPr>
            <w:r>
              <w:rPr>
                <w:rFonts w:ascii="Arial" w:cs="Arial" w:eastAsia="Arial" w:hAnsi="Arial"/>
                <w:sz w:val="18"/>
                <w:szCs w:val="18"/>
                <w:color w:val="auto"/>
                <w:w w:val="90"/>
              </w:rPr>
              <w:t>Other comprehensive income (loss), net of</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14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(1,818)</w:t>
            </w:r>
          </w:p>
        </w:tc>
        <w:tc>
          <w:tcPr>
            <w:tcW w:w="22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2,090</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Reclassification adjustment to net income</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28,198</w:t>
            </w:r>
          </w:p>
        </w:tc>
        <w:tc>
          <w:tcPr>
            <w:tcW w:w="22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735</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w w:val="92"/>
              </w:rPr>
              <w:t>Reclassification adjustment to net income</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(loss),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21,980</w:t>
            </w:r>
          </w:p>
        </w:tc>
        <w:tc>
          <w:tcPr>
            <w:tcW w:w="2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220" w:type="dxa"/>
            <w:vAlign w:val="bottom"/>
          </w:tcPr>
          <w:p>
            <w:pPr>
              <w:ind w:left="240"/>
              <w:spacing w:after="0" w:line="169" w:lineRule="exact"/>
              <w:rPr>
                <w:sz w:val="20"/>
                <w:szCs w:val="20"/>
                <w:color w:val="auto"/>
              </w:rPr>
            </w:pPr>
            <w:r>
              <w:rPr>
                <w:rFonts w:ascii="Arial" w:cs="Arial" w:eastAsia="Arial" w:hAnsi="Arial"/>
                <w:sz w:val="18"/>
                <w:szCs w:val="18"/>
                <w:color w:val="auto"/>
                <w:w w:val="92"/>
              </w:rPr>
              <w:t>Other comprehensive income (loss), net</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(1,818)</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22,422</w:t>
            </w: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(85,156)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(32,041)</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ind w:right="119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color w:val="auto"/>
        </w:rPr>
        <w:t>The changes in accumulated other comprehensive income (loss) by component for the nine months ended September 30,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3"/>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0"/>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3"/>
              </w:rPr>
              <w:t>Total Accumulated Other</w:t>
            </w:r>
          </w:p>
        </w:tc>
        <w:tc>
          <w:tcPr>
            <w:tcW w:w="0" w:type="dxa"/>
            <w:vAlign w:val="bottom"/>
          </w:tcPr>
          <w:p>
            <w:pPr>
              <w:spacing w:after="0"/>
              <w:rPr>
                <w:sz w:val="1"/>
                <w:szCs w:val="1"/>
                <w:color w:val="auto"/>
              </w:rPr>
            </w:pPr>
          </w:p>
        </w:tc>
      </w:tr>
      <w:tr>
        <w:trPr>
          <w:trHeight w:val="176"/>
        </w:trPr>
        <w:tc>
          <w:tcPr>
            <w:tcW w:w="34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76" w:lineRule="exact"/>
              <w:rPr>
                <w:sz w:val="20"/>
                <w:szCs w:val="20"/>
                <w:color w:val="auto"/>
              </w:rPr>
            </w:pPr>
            <w:r>
              <w:rPr>
                <w:rFonts w:ascii="Arial" w:cs="Arial" w:eastAsia="Arial" w:hAnsi="Arial"/>
                <w:sz w:val="18"/>
                <w:szCs w:val="18"/>
                <w:color w:val="auto"/>
                <w:w w:val="95"/>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(59,036)</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(147,595)</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1,563</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7,852</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w w:val="90"/>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923</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5,624</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188"/>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34,045</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28,695</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1,432</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182"/>
        </w:trPr>
        <w:tc>
          <w:tcPr>
            <w:tcW w:w="348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26,553</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22,635</w:t>
            </w: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line="182" w:lineRule="exact"/>
              <w:rPr>
                <w:sz w:val="20"/>
                <w:szCs w:val="20"/>
                <w:color w:val="auto"/>
              </w:rPr>
            </w:pPr>
            <w:r>
              <w:rPr>
                <w:rFonts w:ascii="Arial" w:cs="Arial" w:eastAsia="Arial" w:hAnsi="Arial"/>
                <w:sz w:val="18"/>
                <w:szCs w:val="18"/>
                <w:color w:val="auto"/>
                <w:w w:val="94"/>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923</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1,706</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26,995</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29,624</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(32,041)</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accumulated other comprehensive income (loss) by component for the three months ended September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3"/>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0"/>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3"/>
              </w:rPr>
              <w:t>Total Accumulated Other</w:t>
            </w:r>
          </w:p>
        </w:tc>
        <w:tc>
          <w:tcPr>
            <w:tcW w:w="0" w:type="dxa"/>
            <w:vAlign w:val="bottom"/>
          </w:tcPr>
          <w:p>
            <w:pPr>
              <w:spacing w:after="0"/>
              <w:rPr>
                <w:sz w:val="1"/>
                <w:szCs w:val="1"/>
                <w:color w:val="auto"/>
              </w:rPr>
            </w:pPr>
          </w:p>
        </w:tc>
      </w:tr>
      <w:tr>
        <w:trPr>
          <w:trHeight w:val="176"/>
        </w:trPr>
        <w:tc>
          <w:tcPr>
            <w:tcW w:w="34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76" w:lineRule="exact"/>
              <w:rPr>
                <w:sz w:val="20"/>
                <w:szCs w:val="20"/>
                <w:color w:val="auto"/>
              </w:rPr>
            </w:pPr>
            <w:r>
              <w:rPr>
                <w:rFonts w:ascii="Arial" w:cs="Arial" w:eastAsia="Arial" w:hAnsi="Arial"/>
                <w:sz w:val="18"/>
                <w:szCs w:val="18"/>
                <w:color w:val="auto"/>
                <w:w w:val="95"/>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(59,519)</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(147,335)</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(2,488)</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(2,205)</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w w:val="90"/>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(2,340)</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(1,683)</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188"/>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3,268</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82"/>
        </w:trPr>
        <w:tc>
          <w:tcPr>
            <w:tcW w:w="348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2,556</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line="182" w:lineRule="exact"/>
              <w:rPr>
                <w:sz w:val="20"/>
                <w:szCs w:val="20"/>
                <w:color w:val="auto"/>
              </w:rPr>
            </w:pPr>
            <w:r>
              <w:rPr>
                <w:rFonts w:ascii="Arial" w:cs="Arial" w:eastAsia="Arial" w:hAnsi="Arial"/>
                <w:sz w:val="18"/>
                <w:szCs w:val="18"/>
                <w:color w:val="auto"/>
                <w:w w:val="94"/>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2,556</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(56,963)</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(149,666)</w:t>
            </w:r>
          </w:p>
        </w:tc>
        <w:tc>
          <w:tcPr>
            <w:tcW w:w="0" w:type="dxa"/>
            <w:vAlign w:val="bottom"/>
          </w:tcPr>
          <w:p>
            <w:pPr>
              <w:spacing w:after="0"/>
              <w:rPr>
                <w:sz w:val="1"/>
                <w:szCs w:val="1"/>
                <w:color w:val="auto"/>
              </w:rPr>
            </w:pPr>
          </w:p>
        </w:tc>
      </w:tr>
      <w:tr>
        <w:trPr>
          <w:trHeight w:val="864"/>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1450"/>
              <w:spacing w:after="0"/>
              <w:rPr>
                <w:sz w:val="20"/>
                <w:szCs w:val="20"/>
                <w:color w:val="auto"/>
              </w:rPr>
            </w:pPr>
            <w:r>
              <w:rPr>
                <w:rFonts w:ascii="Arial" w:cs="Arial" w:eastAsia="Arial" w:hAnsi="Arial"/>
                <w:sz w:val="18"/>
                <w:szCs w:val="18"/>
                <w:color w:val="auto"/>
                <w:w w:val="99"/>
              </w:rPr>
              <w:t>13</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color w:val="auto"/>
        </w:rPr>
        <w:t>The changes in accumulated other comprehensive income (loss) by component for the nine months ended September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3"/>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0"/>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3"/>
              </w:rPr>
              <w:t>Total Accumulated Other</w:t>
            </w:r>
          </w:p>
        </w:tc>
        <w:tc>
          <w:tcPr>
            <w:tcW w:w="0" w:type="dxa"/>
            <w:vAlign w:val="bottom"/>
          </w:tcPr>
          <w:p>
            <w:pPr>
              <w:spacing w:after="0"/>
              <w:rPr>
                <w:sz w:val="1"/>
                <w:szCs w:val="1"/>
                <w:color w:val="auto"/>
              </w:rPr>
            </w:pPr>
          </w:p>
        </w:tc>
      </w:tr>
      <w:tr>
        <w:trPr>
          <w:trHeight w:val="176"/>
        </w:trPr>
        <w:tc>
          <w:tcPr>
            <w:tcW w:w="34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76" w:lineRule="exact"/>
              <w:rPr>
                <w:sz w:val="20"/>
                <w:szCs w:val="20"/>
                <w:color w:val="auto"/>
              </w:rPr>
            </w:pPr>
            <w:r>
              <w:rPr>
                <w:rFonts w:ascii="Arial" w:cs="Arial" w:eastAsia="Arial" w:hAnsi="Arial"/>
                <w:sz w:val="18"/>
                <w:szCs w:val="18"/>
                <w:color w:val="auto"/>
                <w:w w:val="95"/>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1"/>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(64,613)</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(1,936)</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(3,883)</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color w:val="auto"/>
                <w:w w:val="90"/>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(3,441)</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188"/>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9,786</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819</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182"/>
        </w:trPr>
        <w:tc>
          <w:tcPr>
            <w:tcW w:w="348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7,650</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line="182" w:lineRule="exact"/>
              <w:rPr>
                <w:sz w:val="20"/>
                <w:szCs w:val="20"/>
                <w:color w:val="auto"/>
              </w:rPr>
            </w:pPr>
            <w:r>
              <w:rPr>
                <w:rFonts w:ascii="Arial" w:cs="Arial" w:eastAsia="Arial" w:hAnsi="Arial"/>
                <w:sz w:val="18"/>
                <w:szCs w:val="18"/>
                <w:color w:val="auto"/>
                <w:w w:val="94"/>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7,650</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(56,963)</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(149,666)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w:t>
      </w:r>
    </w:p>
    <w:p>
      <w:pPr>
        <w:spacing w:after="0" w:line="10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condensed consolidated balance sheet at fair value. If individual derivative instruments with the same counterparty can be settled on a net basis, the Company records the corresponding derivative fair values as a net asset or net liability.</w:t>
      </w:r>
    </w:p>
    <w:p>
      <w:pPr>
        <w:spacing w:after="0" w:line="66"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In the normal course of business, Aluminum Extrusions enters into fixed-price forward sales contracts with a small subset of its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12 months. The notional amount of aluminum futures contracts that hedged future purchases of aluminum to meet fixed-price forward sales contract obligations was $10.9 million (7.4 million pounds of aluminum) at September 30, 2023 and $30.7 million (20.3 million pounds of aluminum) at December 31, 2022.</w:t>
      </w:r>
    </w:p>
    <w:p>
      <w:pPr>
        <w:spacing w:after="0" w:line="42" w:lineRule="exact"/>
        <w:rPr>
          <w:sz w:val="20"/>
          <w:szCs w:val="20"/>
          <w:color w:val="auto"/>
        </w:rPr>
      </w:pPr>
    </w:p>
    <w:p>
      <w:pPr>
        <w:ind w:right="40" w:firstLine="405"/>
        <w:spacing w:after="0" w:line="274" w:lineRule="auto"/>
        <w:rPr>
          <w:sz w:val="20"/>
          <w:szCs w:val="20"/>
          <w:color w:val="auto"/>
        </w:rPr>
      </w:pPr>
      <w:r>
        <w:rPr>
          <w:rFonts w:ascii="Arial" w:cs="Arial" w:eastAsia="Arial" w:hAnsi="Arial"/>
          <w:sz w:val="18"/>
          <w:szCs w:val="18"/>
          <w:color w:val="auto"/>
        </w:rPr>
        <w:t>The table below summarizes the location and gross amounts of aluminum futures contract fair values (Level 2) in the condensed consolidated balance sheets as of September 30, 2023 and December 31, 2022:</w:t>
      </w:r>
    </w:p>
    <w:tbl>
      <w:tblPr>
        <w:tblLayout w:type="fixed"/>
        <w:tblInd w:w="0" w:type="dxa"/>
        <w:tblCellMar>
          <w:top w:w="0" w:type="dxa"/>
          <w:left w:w="0" w:type="dxa"/>
          <w:bottom w:w="0" w:type="dxa"/>
          <w:right w:w="0" w:type="dxa"/>
        </w:tblCellMar>
      </w:tblPr>
      <w:tr>
        <w:trPr>
          <w:trHeight w:val="237"/>
        </w:trPr>
        <w:tc>
          <w:tcPr>
            <w:tcW w:w="516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 2023</w:t>
            </w: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 2022</w:t>
            </w:r>
          </w:p>
        </w:tc>
        <w:tc>
          <w:tcPr>
            <w:tcW w:w="740" w:type="dxa"/>
            <w:vAlign w:val="bottom"/>
            <w:tcBorders>
              <w:top w:val="single" w:sz="8" w:color="auto"/>
              <w:bottom w:val="single" w:sz="8" w:color="auto"/>
            </w:tcBorders>
          </w:tcPr>
          <w:p>
            <w:pPr>
              <w:spacing w:after="0"/>
              <w:rPr>
                <w:sz w:val="20"/>
                <w:szCs w:val="20"/>
                <w:color w:val="auto"/>
              </w:rPr>
            </w:pPr>
          </w:p>
        </w:tc>
      </w:tr>
      <w:tr>
        <w:trPr>
          <w:trHeight w:val="182"/>
        </w:trPr>
        <w:tc>
          <w:tcPr>
            <w:tcW w:w="5160" w:type="dxa"/>
            <w:vAlign w:val="bottom"/>
          </w:tcPr>
          <w:p>
            <w:pPr>
              <w:spacing w:after="0"/>
              <w:rPr>
                <w:sz w:val="15"/>
                <w:szCs w:val="15"/>
                <w:color w:val="auto"/>
              </w:rPr>
            </w:pPr>
          </w:p>
        </w:tc>
        <w:tc>
          <w:tcPr>
            <w:tcW w:w="1880" w:type="dxa"/>
            <w:vAlign w:val="bottom"/>
          </w:tcPr>
          <w:p>
            <w:pPr>
              <w:jc w:val="center"/>
              <w:spacing w:after="0" w:line="182" w:lineRule="exact"/>
              <w:rPr>
                <w:sz w:val="20"/>
                <w:szCs w:val="20"/>
                <w:color w:val="auto"/>
              </w:rPr>
            </w:pPr>
            <w:r>
              <w:rPr>
                <w:rFonts w:ascii="Arial" w:cs="Arial" w:eastAsia="Arial" w:hAnsi="Arial"/>
                <w:sz w:val="18"/>
                <w:szCs w:val="18"/>
                <w:color w:val="auto"/>
                <w:w w:val="87"/>
              </w:rPr>
              <w:t>Balance Sheet</w:t>
            </w:r>
          </w:p>
        </w:tc>
        <w:tc>
          <w:tcPr>
            <w:tcW w:w="380" w:type="dxa"/>
            <w:vAlign w:val="bottom"/>
          </w:tcPr>
          <w:p>
            <w:pPr>
              <w:spacing w:after="0"/>
              <w:rPr>
                <w:sz w:val="15"/>
                <w:szCs w:val="15"/>
                <w:color w:val="auto"/>
              </w:rPr>
            </w:pPr>
          </w:p>
        </w:tc>
        <w:tc>
          <w:tcPr>
            <w:tcW w:w="7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5"/>
                <w:szCs w:val="15"/>
                <w:color w:val="auto"/>
              </w:rPr>
            </w:pPr>
          </w:p>
        </w:tc>
        <w:tc>
          <w:tcPr>
            <w:tcW w:w="1860" w:type="dxa"/>
            <w:vAlign w:val="bottom"/>
          </w:tcPr>
          <w:p>
            <w:pPr>
              <w:jc w:val="center"/>
              <w:spacing w:after="0" w:line="182" w:lineRule="exact"/>
              <w:rPr>
                <w:sz w:val="20"/>
                <w:szCs w:val="20"/>
                <w:color w:val="auto"/>
              </w:rPr>
            </w:pPr>
            <w:r>
              <w:rPr>
                <w:rFonts w:ascii="Arial" w:cs="Arial" w:eastAsia="Arial" w:hAnsi="Arial"/>
                <w:sz w:val="18"/>
                <w:szCs w:val="18"/>
                <w:color w:val="auto"/>
                <w:w w:val="88"/>
              </w:rPr>
              <w:t>Balance Sheet</w:t>
            </w:r>
          </w:p>
        </w:tc>
        <w:tc>
          <w:tcPr>
            <w:tcW w:w="380" w:type="dxa"/>
            <w:vAlign w:val="bottom"/>
          </w:tcPr>
          <w:p>
            <w:pPr>
              <w:spacing w:after="0"/>
              <w:rPr>
                <w:sz w:val="15"/>
                <w:szCs w:val="15"/>
                <w:color w:val="auto"/>
              </w:rPr>
            </w:pPr>
          </w:p>
        </w:tc>
        <w:tc>
          <w:tcPr>
            <w:tcW w:w="74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Fair</w:t>
            </w: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Account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6"/>
              </w:rPr>
              <w:t>Value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Account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Value</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88"/>
        </w:trPr>
        <w:tc>
          <w:tcPr>
            <w:tcW w:w="5160" w:type="dxa"/>
            <w:vAlign w:val="bottom"/>
          </w:tcPr>
          <w:p>
            <w:pPr>
              <w:ind w:left="20"/>
              <w:spacing w:after="0" w:line="189" w:lineRule="exact"/>
              <w:rPr>
                <w:sz w:val="20"/>
                <w:szCs w:val="20"/>
                <w:color w:val="auto"/>
              </w:rPr>
            </w:pPr>
            <w:r>
              <w:rPr>
                <w:rFonts w:ascii="Arial" w:cs="Arial" w:eastAsia="Arial" w:hAnsi="Arial"/>
                <w:sz w:val="18"/>
                <w:szCs w:val="18"/>
                <w:color w:val="auto"/>
              </w:rPr>
              <w:t>Asset derivatives:</w:t>
            </w:r>
          </w:p>
        </w:tc>
        <w:tc>
          <w:tcPr>
            <w:tcW w:w="1880" w:type="dxa"/>
            <w:vAlign w:val="bottom"/>
          </w:tcPr>
          <w:p>
            <w:pPr>
              <w:jc w:val="center"/>
              <w:spacing w:after="0" w:line="189" w:lineRule="exact"/>
              <w:rPr>
                <w:sz w:val="20"/>
                <w:szCs w:val="20"/>
                <w:color w:val="auto"/>
              </w:rPr>
            </w:pPr>
            <w:r>
              <w:rPr>
                <w:rFonts w:ascii="Arial" w:cs="Arial" w:eastAsia="Arial" w:hAnsi="Arial"/>
                <w:sz w:val="18"/>
                <w:szCs w:val="18"/>
                <w:color w:val="auto"/>
                <w:w w:val="85"/>
              </w:rPr>
              <w:t>Prepaid expenses and</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87"/>
              </w:rPr>
              <w:t>Prepaid expenses and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Aluminum futures contracts</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other</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88"/>
        </w:trPr>
        <w:tc>
          <w:tcPr>
            <w:tcW w:w="5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Liability derivatives:</w:t>
            </w:r>
          </w:p>
        </w:tc>
        <w:tc>
          <w:tcPr>
            <w:tcW w:w="1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Aluminum futures contracts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Accrued expenses</w:t>
            </w: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Accrued expenses</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r>
      <w:tr>
        <w:trPr>
          <w:trHeight w:val="188"/>
        </w:trPr>
        <w:tc>
          <w:tcPr>
            <w:tcW w:w="516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8"/>
                <w:szCs w:val="18"/>
                <w:color w:val="auto"/>
                <w:w w:val="91"/>
              </w:rPr>
              <w:t>Other non-current</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90"/>
              </w:rPr>
              <w:t>Other non-current</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5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Aluminum futures contracts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liabilities</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liabilities</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asset (liability)</w:t>
            </w:r>
          </w:p>
        </w:tc>
        <w:tc>
          <w:tcPr>
            <w:tcW w:w="18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r>
    </w:tbl>
    <w:p>
      <w:pPr>
        <w:spacing w:after="0" w:line="175"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ind w:right="240" w:firstLine="405"/>
        <w:spacing w:after="0" w:line="257" w:lineRule="auto"/>
        <w:rPr>
          <w:sz w:val="20"/>
          <w:szCs w:val="20"/>
          <w:color w:val="auto"/>
        </w:rPr>
      </w:pPr>
      <w:r>
        <w:rPr>
          <w:rFonts w:ascii="Arial" w:cs="Arial" w:eastAsia="Arial" w:hAnsi="Arial"/>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will result in an annual net cost of R$177 million for the full year of 2023.</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Terphane Ltda. had the following outstanding foreign exchange average forward rate contracts to purchase Brazilian Real and sell U.S. Dollars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Average Forward Rate</w:t>
            </w:r>
          </w:p>
        </w:tc>
        <w:tc>
          <w:tcPr>
            <w:tcW w:w="2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9"/>
              </w:rPr>
              <w:t>Estimated % of Terphane</w:t>
            </w:r>
          </w:p>
        </w:tc>
        <w:tc>
          <w:tcPr>
            <w:tcW w:w="0" w:type="dxa"/>
            <w:vAlign w:val="bottom"/>
          </w:tcPr>
          <w:p>
            <w:pPr>
              <w:spacing w:after="0"/>
              <w:rPr>
                <w:sz w:val="1"/>
                <w:szCs w:val="1"/>
                <w:color w:val="auto"/>
              </w:rPr>
            </w:pPr>
          </w:p>
        </w:tc>
      </w:tr>
      <w:tr>
        <w:trPr>
          <w:trHeight w:val="176"/>
        </w:trPr>
        <w:tc>
          <w:tcPr>
            <w:tcW w:w="2320" w:type="dxa"/>
            <w:vAlign w:val="bottom"/>
            <w:vMerge w:val="restart"/>
          </w:tcPr>
          <w:p>
            <w:pPr>
              <w:ind w:left="20"/>
              <w:spacing w:after="0"/>
              <w:rPr>
                <w:sz w:val="20"/>
                <w:szCs w:val="20"/>
                <w:color w:val="auto"/>
              </w:rPr>
            </w:pPr>
            <w:r>
              <w:rPr>
                <w:rFonts w:ascii="Arial" w:cs="Arial" w:eastAsia="Arial" w:hAnsi="Arial"/>
                <w:sz w:val="18"/>
                <w:szCs w:val="18"/>
                <w:color w:val="auto"/>
                <w:w w:val="98"/>
              </w:rPr>
              <w:t>USD Notional Amount (000s)</w:t>
            </w:r>
          </w:p>
        </w:tc>
        <w:tc>
          <w:tcPr>
            <w:tcW w:w="2040" w:type="dxa"/>
            <w:vAlign w:val="bottom"/>
            <w:vMerge w:val="continue"/>
          </w:tcPr>
          <w:p>
            <w:pPr>
              <w:spacing w:after="0"/>
              <w:rPr>
                <w:sz w:val="15"/>
                <w:szCs w:val="15"/>
                <w:color w:val="auto"/>
              </w:rPr>
            </w:pPr>
          </w:p>
        </w:tc>
        <w:tc>
          <w:tcPr>
            <w:tcW w:w="254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 Equivalent Amount (000s)</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4"/>
              </w:rPr>
              <w:t>Applicable Month</w:t>
            </w:r>
          </w:p>
        </w:tc>
        <w:tc>
          <w:tcPr>
            <w:tcW w:w="23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1"/>
              </w:rPr>
              <w:t>Ltda. R$ Operating Cost</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Contracted on USD/BRL</w:t>
            </w:r>
          </w:p>
        </w:tc>
        <w:tc>
          <w:tcPr>
            <w:tcW w:w="254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Exposure Hedged</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$2,013</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5.7556</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R$11,586</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Oct-23</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79%</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$2,018</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5.7836</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R$11,671</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Nov-23</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$1,786</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5.8312</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R$10,414</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Dec-23</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71%</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$1,784</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5.2993</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R$9,454</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Jan-24</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$1,766</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5.3188</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R$9,393</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Feb-24</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72%</w:t>
            </w: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$1,781</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5.3346</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R$9,501</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Mar-24</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$1,827</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5.3373</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R$9,751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Apr-24</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$1,798</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5.3588</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R$9,635</w:t>
            </w:r>
          </w:p>
        </w:tc>
        <w:tc>
          <w:tcPr>
            <w:tcW w:w="1900" w:type="dxa"/>
            <w:vAlign w:val="bottom"/>
          </w:tcPr>
          <w:p>
            <w:pPr>
              <w:jc w:val="center"/>
              <w:spacing w:after="0"/>
              <w:rPr>
                <w:sz w:val="20"/>
                <w:szCs w:val="20"/>
                <w:color w:val="auto"/>
              </w:rPr>
            </w:pPr>
            <w:r>
              <w:rPr>
                <w:rFonts w:ascii="Arial" w:cs="Arial" w:eastAsia="Arial" w:hAnsi="Arial"/>
                <w:sz w:val="18"/>
                <w:szCs w:val="18"/>
                <w:color w:val="auto"/>
                <w:w w:val="96"/>
              </w:rPr>
              <w:t>May-24</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$1,812</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5.3708</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R$9,732</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Jun-24</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$1,804</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5.3848</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R$9,714</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Jul-24</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$1,806</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5.4014</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R$9,755</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Aug-24</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$1,857</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5.4107</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R$10,048</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Sep-24</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$1,851</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5.4225</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R$10,037</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Oct-24</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Arial" w:cs="Arial" w:eastAsia="Arial" w:hAnsi="Arial"/>
                <w:sz w:val="18"/>
                <w:szCs w:val="18"/>
                <w:color w:val="auto"/>
                <w:w w:val="90"/>
              </w:rPr>
              <w:t>$1,837</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5.4403</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R$9,994</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Nov-24</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$1,801</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5.4580</w:t>
            </w:r>
          </w:p>
        </w:tc>
        <w:tc>
          <w:tcPr>
            <w:tcW w:w="25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R$9,830</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Dec-24</w:t>
            </w:r>
          </w:p>
        </w:tc>
        <w:tc>
          <w:tcPr>
            <w:tcW w:w="23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76%</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$27,541</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5.4651</w:t>
            </w:r>
          </w:p>
        </w:tc>
        <w:tc>
          <w:tcPr>
            <w:tcW w:w="25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R$150,515</w:t>
            </w:r>
          </w:p>
        </w:tc>
        <w:tc>
          <w:tcPr>
            <w:tcW w:w="19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condensed consolidated statements of income.</w:t>
      </w:r>
    </w:p>
    <w:p>
      <w:pPr>
        <w:spacing w:after="0" w:line="52" w:lineRule="exact"/>
        <w:rPr>
          <w:sz w:val="20"/>
          <w:szCs w:val="20"/>
          <w:color w:val="auto"/>
        </w:rPr>
      </w:pPr>
    </w:p>
    <w:p>
      <w:pPr>
        <w:ind w:right="100" w:firstLine="405"/>
        <w:spacing w:after="0" w:line="274" w:lineRule="auto"/>
        <w:rPr>
          <w:sz w:val="20"/>
          <w:szCs w:val="20"/>
          <w:color w:val="auto"/>
        </w:rPr>
      </w:pPr>
      <w:r>
        <w:rPr>
          <w:rFonts w:ascii="Arial" w:cs="Arial" w:eastAsia="Arial" w:hAnsi="Arial"/>
          <w:sz w:val="18"/>
          <w:szCs w:val="18"/>
          <w:color w:val="auto"/>
        </w:rPr>
        <w:t>The table below summarizes the location and gross amounts of foreign currency forward contract fair values (Level 2) in the condensed consolidated balance sheets as of September 30, 2023 and December 31, 2022:</w:t>
      </w:r>
    </w:p>
    <w:tbl>
      <w:tblPr>
        <w:tblLayout w:type="fixed"/>
        <w:tblInd w:w="0" w:type="dxa"/>
        <w:tblCellMar>
          <w:top w:w="0" w:type="dxa"/>
          <w:left w:w="0" w:type="dxa"/>
          <w:bottom w:w="0" w:type="dxa"/>
          <w:right w:w="0" w:type="dxa"/>
        </w:tblCellMar>
      </w:tblPr>
      <w:tr>
        <w:trPr>
          <w:trHeight w:val="237"/>
        </w:trPr>
        <w:tc>
          <w:tcPr>
            <w:tcW w:w="516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 2023</w:t>
            </w:r>
          </w:p>
        </w:tc>
        <w:tc>
          <w:tcPr>
            <w:tcW w:w="7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 2022</w:t>
            </w:r>
          </w:p>
        </w:tc>
        <w:tc>
          <w:tcPr>
            <w:tcW w:w="760" w:type="dxa"/>
            <w:vAlign w:val="bottom"/>
            <w:tcBorders>
              <w:top w:val="single" w:sz="8" w:color="auto"/>
              <w:bottom w:val="single" w:sz="8" w:color="auto"/>
            </w:tcBorders>
          </w:tcPr>
          <w:p>
            <w:pPr>
              <w:spacing w:after="0"/>
              <w:rPr>
                <w:sz w:val="20"/>
                <w:szCs w:val="20"/>
                <w:color w:val="auto"/>
              </w:rPr>
            </w:pPr>
          </w:p>
        </w:tc>
      </w:tr>
      <w:tr>
        <w:trPr>
          <w:trHeight w:val="182"/>
        </w:trPr>
        <w:tc>
          <w:tcPr>
            <w:tcW w:w="5160" w:type="dxa"/>
            <w:vAlign w:val="bottom"/>
          </w:tcPr>
          <w:p>
            <w:pPr>
              <w:spacing w:after="0"/>
              <w:rPr>
                <w:sz w:val="15"/>
                <w:szCs w:val="15"/>
                <w:color w:val="auto"/>
              </w:rPr>
            </w:pPr>
          </w:p>
        </w:tc>
        <w:tc>
          <w:tcPr>
            <w:tcW w:w="1840" w:type="dxa"/>
            <w:vAlign w:val="bottom"/>
          </w:tcPr>
          <w:p>
            <w:pPr>
              <w:jc w:val="center"/>
              <w:spacing w:after="0" w:line="182" w:lineRule="exact"/>
              <w:rPr>
                <w:sz w:val="20"/>
                <w:szCs w:val="20"/>
                <w:color w:val="auto"/>
              </w:rPr>
            </w:pPr>
            <w:r>
              <w:rPr>
                <w:rFonts w:ascii="Arial" w:cs="Arial" w:eastAsia="Arial" w:hAnsi="Arial"/>
                <w:sz w:val="18"/>
                <w:szCs w:val="18"/>
                <w:color w:val="auto"/>
                <w:w w:val="87"/>
              </w:rPr>
              <w:t>Balance Sheet</w:t>
            </w:r>
          </w:p>
        </w:tc>
        <w:tc>
          <w:tcPr>
            <w:tcW w:w="400" w:type="dxa"/>
            <w:vAlign w:val="bottom"/>
          </w:tcPr>
          <w:p>
            <w:pPr>
              <w:spacing w:after="0"/>
              <w:rPr>
                <w:sz w:val="15"/>
                <w:szCs w:val="15"/>
                <w:color w:val="auto"/>
              </w:rPr>
            </w:pPr>
          </w:p>
        </w:tc>
        <w:tc>
          <w:tcPr>
            <w:tcW w:w="720" w:type="dxa"/>
            <w:vAlign w:val="bottom"/>
          </w:tcPr>
          <w:p>
            <w:pPr>
              <w:jc w:val="center"/>
              <w:ind w:right="170"/>
              <w:spacing w:after="0" w:line="182"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5"/>
                <w:szCs w:val="15"/>
                <w:color w:val="auto"/>
              </w:rPr>
            </w:pPr>
          </w:p>
        </w:tc>
        <w:tc>
          <w:tcPr>
            <w:tcW w:w="1880" w:type="dxa"/>
            <w:vAlign w:val="bottom"/>
          </w:tcPr>
          <w:p>
            <w:pPr>
              <w:jc w:val="center"/>
              <w:spacing w:after="0" w:line="182" w:lineRule="exact"/>
              <w:rPr>
                <w:sz w:val="20"/>
                <w:szCs w:val="20"/>
                <w:color w:val="auto"/>
              </w:rPr>
            </w:pPr>
            <w:r>
              <w:rPr>
                <w:rFonts w:ascii="Arial" w:cs="Arial" w:eastAsia="Arial" w:hAnsi="Arial"/>
                <w:sz w:val="18"/>
                <w:szCs w:val="18"/>
                <w:color w:val="auto"/>
                <w:w w:val="87"/>
              </w:rPr>
              <w:t>Balance Sheet</w:t>
            </w:r>
          </w:p>
        </w:tc>
        <w:tc>
          <w:tcPr>
            <w:tcW w:w="380" w:type="dxa"/>
            <w:vAlign w:val="bottom"/>
          </w:tcPr>
          <w:p>
            <w:pPr>
              <w:spacing w:after="0"/>
              <w:rPr>
                <w:sz w:val="15"/>
                <w:szCs w:val="15"/>
                <w:color w:val="auto"/>
              </w:rPr>
            </w:pPr>
          </w:p>
        </w:tc>
        <w:tc>
          <w:tcPr>
            <w:tcW w:w="7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Fair</w:t>
            </w: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Account</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Account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Value</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8"/>
        </w:trPr>
        <w:tc>
          <w:tcPr>
            <w:tcW w:w="5160" w:type="dxa"/>
            <w:vAlign w:val="bottom"/>
          </w:tcPr>
          <w:p>
            <w:pPr>
              <w:ind w:left="20"/>
              <w:spacing w:after="0" w:line="189" w:lineRule="exact"/>
              <w:rPr>
                <w:sz w:val="20"/>
                <w:szCs w:val="20"/>
                <w:color w:val="auto"/>
              </w:rPr>
            </w:pPr>
            <w:r>
              <w:rPr>
                <w:rFonts w:ascii="Arial" w:cs="Arial" w:eastAsia="Arial" w:hAnsi="Arial"/>
                <w:sz w:val="18"/>
                <w:szCs w:val="18"/>
                <w:color w:val="auto"/>
              </w:rPr>
              <w:t>Asset derivatives:</w:t>
            </w:r>
          </w:p>
        </w:tc>
        <w:tc>
          <w:tcPr>
            <w:tcW w:w="1840" w:type="dxa"/>
            <w:vAlign w:val="bottom"/>
          </w:tcPr>
          <w:p>
            <w:pPr>
              <w:jc w:val="center"/>
              <w:spacing w:after="0" w:line="189" w:lineRule="exact"/>
              <w:rPr>
                <w:sz w:val="20"/>
                <w:szCs w:val="20"/>
                <w:color w:val="auto"/>
              </w:rPr>
            </w:pPr>
            <w:r>
              <w:rPr>
                <w:rFonts w:ascii="Arial" w:cs="Arial" w:eastAsia="Arial" w:hAnsi="Arial"/>
                <w:sz w:val="18"/>
                <w:szCs w:val="18"/>
                <w:color w:val="auto"/>
                <w:w w:val="85"/>
              </w:rPr>
              <w:t>Prepaid expenses and</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8"/>
                <w:szCs w:val="18"/>
                <w:color w:val="auto"/>
                <w:w w:val="85"/>
              </w:rPr>
              <w:t>Prepaid expenses and</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Foreign currency forward contracts</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forward contracts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Other assets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188"/>
        </w:trPr>
        <w:tc>
          <w:tcPr>
            <w:tcW w:w="5160" w:type="dxa"/>
            <w:vAlign w:val="bottom"/>
          </w:tcPr>
          <w:p>
            <w:pPr>
              <w:ind w:left="20"/>
              <w:spacing w:after="0" w:line="189" w:lineRule="exact"/>
              <w:rPr>
                <w:sz w:val="20"/>
                <w:szCs w:val="20"/>
                <w:color w:val="auto"/>
              </w:rPr>
            </w:pPr>
            <w:r>
              <w:rPr>
                <w:rFonts w:ascii="Arial" w:cs="Arial" w:eastAsia="Arial" w:hAnsi="Arial"/>
                <w:sz w:val="18"/>
                <w:szCs w:val="18"/>
                <w:color w:val="auto"/>
              </w:rPr>
              <w:t>Liability derivatives:</w:t>
            </w:r>
          </w:p>
        </w:tc>
        <w:tc>
          <w:tcPr>
            <w:tcW w:w="1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8"/>
                <w:szCs w:val="18"/>
                <w:color w:val="auto"/>
                <w:w w:val="91"/>
              </w:rPr>
              <w:t>Other non-current</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Foreign currency forward contracts</w:t>
            </w: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Accrued expenses</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6"/>
              </w:rPr>
              <w:t>liabilities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88"/>
        </w:trPr>
        <w:tc>
          <w:tcPr>
            <w:tcW w:w="5160" w:type="dxa"/>
            <w:vAlign w:val="bottom"/>
            <w:shd w:val="clear" w:color="auto" w:fill="CCEEFF"/>
          </w:tcPr>
          <w:p>
            <w:pPr>
              <w:spacing w:after="0"/>
              <w:rPr>
                <w:sz w:val="16"/>
                <w:szCs w:val="16"/>
                <w:color w:val="auto"/>
              </w:rPr>
            </w:pPr>
          </w:p>
        </w:tc>
        <w:tc>
          <w:tcPr>
            <w:tcW w:w="18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Other non-current</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Other non-current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0"/>
        </w:trPr>
        <w:tc>
          <w:tcPr>
            <w:tcW w:w="5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 currency forward contracts</w:t>
            </w: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asset (liability)</w:t>
            </w:r>
          </w:p>
        </w:tc>
        <w:tc>
          <w:tcPr>
            <w:tcW w:w="1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864"/>
        </w:trPr>
        <w:tc>
          <w:tcPr>
            <w:tcW w:w="5160" w:type="dxa"/>
            <w:vAlign w:val="bottom"/>
          </w:tcPr>
          <w:p>
            <w:pPr>
              <w:spacing w:after="0"/>
              <w:rPr>
                <w:sz w:val="24"/>
                <w:szCs w:val="24"/>
                <w:color w:val="auto"/>
              </w:rPr>
            </w:pPr>
          </w:p>
        </w:tc>
        <w:tc>
          <w:tcPr>
            <w:tcW w:w="1840" w:type="dxa"/>
            <w:vAlign w:val="bottom"/>
          </w:tcPr>
          <w:p>
            <w:pPr>
              <w:jc w:val="right"/>
              <w:ind w:right="119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6" w:name="page17"/>
    <w:bookmarkEnd w:id="16"/>
    <w:p>
      <w:pPr>
        <w:ind w:right="280" w:firstLine="405"/>
        <w:spacing w:after="0" w:line="257" w:lineRule="auto"/>
        <w:rPr>
          <w:sz w:val="20"/>
          <w:szCs w:val="20"/>
          <w:color w:val="auto"/>
        </w:rPr>
      </w:pPr>
      <w:r>
        <w:rPr>
          <w:rFonts w:ascii="Arial" w:cs="Arial" w:eastAsia="Arial" w:hAnsi="Arial"/>
          <w:sz w:val="18"/>
          <w:szCs w:val="18"/>
          <w:color w:val="auto"/>
        </w:rPr>
        <w:t>These derivative contracts involve elements of market risk that are not reflected on the condensed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53" w:lineRule="exact"/>
        <w:rPr>
          <w:sz w:val="20"/>
          <w:szCs w:val="20"/>
          <w:color w:val="auto"/>
        </w:rPr>
      </w:pPr>
    </w:p>
    <w:p>
      <w:pPr>
        <w:ind w:right="80" w:firstLine="405"/>
        <w:spacing w:after="0" w:line="290" w:lineRule="auto"/>
        <w:rPr>
          <w:sz w:val="20"/>
          <w:szCs w:val="20"/>
          <w:color w:val="auto"/>
        </w:rPr>
      </w:pPr>
      <w:r>
        <w:rPr>
          <w:rFonts w:ascii="Arial" w:cs="Arial" w:eastAsia="Arial" w:hAnsi="Arial"/>
          <w:sz w:val="17"/>
          <w:szCs w:val="17"/>
          <w:color w:val="auto"/>
        </w:rPr>
        <w:t>The pre-tax effect on net income (loss) and other comprehensive income (loss) of derivative instruments classified as cash flow hedges and described in the previous paragraphs for the three and nine month periods ended September 30, 2023 and 2022 is summarized in the table below:</w:t>
      </w:r>
    </w:p>
    <w:tbl>
      <w:tblPr>
        <w:tblLayout w:type="fixed"/>
        <w:tblInd w:w="0" w:type="dxa"/>
        <w:tblCellMar>
          <w:top w:w="0" w:type="dxa"/>
          <w:left w:w="0" w:type="dxa"/>
          <w:bottom w:w="0" w:type="dxa"/>
          <w:right w:w="0" w:type="dxa"/>
        </w:tblCellMar>
      </w:tblPr>
      <w:tr>
        <w:trPr>
          <w:trHeight w:val="237"/>
        </w:trPr>
        <w:tc>
          <w:tcPr>
            <w:tcW w:w="53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940" w:type="dxa"/>
            <w:vAlign w:val="bottom"/>
            <w:tcBorders>
              <w:top w:val="single" w:sz="8" w:color="auto"/>
              <w:bottom w:val="single" w:sz="8" w:color="auto"/>
            </w:tcBorders>
            <w:gridSpan w:val="5"/>
          </w:tcPr>
          <w:p>
            <w:pPr>
              <w:jc w:val="center"/>
              <w:ind w:left="530"/>
              <w:spacing w:after="0"/>
              <w:rPr>
                <w:sz w:val="20"/>
                <w:szCs w:val="20"/>
                <w:color w:val="auto"/>
              </w:rPr>
            </w:pPr>
            <w:r>
              <w:rPr>
                <w:rFonts w:ascii="Arial" w:cs="Arial" w:eastAsia="Arial" w:hAnsi="Arial"/>
                <w:sz w:val="18"/>
                <w:szCs w:val="18"/>
                <w:color w:val="auto"/>
                <w:w w:val="91"/>
              </w:rPr>
              <w:t>Cash Flow Derivative Hedges</w:t>
            </w:r>
          </w:p>
        </w:tc>
        <w:tc>
          <w:tcPr>
            <w:tcW w:w="6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Three Months Ended September 30,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right w:val="single" w:sz="8" w:color="auto"/>
            </w:tcBorders>
            <w:gridSpan w:val="3"/>
          </w:tcPr>
          <w:p>
            <w:pPr>
              <w:jc w:val="center"/>
              <w:ind w:right="210"/>
              <w:spacing w:after="0" w:line="182" w:lineRule="exact"/>
              <w:rPr>
                <w:sz w:val="20"/>
                <w:szCs w:val="20"/>
                <w:color w:val="auto"/>
              </w:rPr>
            </w:pPr>
            <w:r>
              <w:rPr>
                <w:rFonts w:ascii="Arial" w:cs="Arial" w:eastAsia="Arial" w:hAnsi="Arial"/>
                <w:sz w:val="18"/>
                <w:szCs w:val="18"/>
                <w:color w:val="auto"/>
                <w:w w:val="94"/>
              </w:rPr>
              <w:t>Aluminum Futures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Borders>
              <w:right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90"/>
              </w:rPr>
              <w:t>Contracts</w:t>
            </w:r>
          </w:p>
        </w:tc>
        <w:tc>
          <w:tcPr>
            <w:tcW w:w="140" w:type="dxa"/>
            <w:vAlign w:val="bottom"/>
          </w:tcPr>
          <w:p>
            <w:pPr>
              <w:spacing w:after="0"/>
              <w:rPr>
                <w:sz w:val="19"/>
                <w:szCs w:val="19"/>
                <w:color w:val="auto"/>
              </w:rPr>
            </w:pPr>
          </w:p>
        </w:tc>
        <w:tc>
          <w:tcPr>
            <w:tcW w:w="2880" w:type="dxa"/>
            <w:vAlign w:val="bottom"/>
            <w:gridSpan w:val="5"/>
          </w:tcPr>
          <w:p>
            <w:pPr>
              <w:ind w:left="800"/>
              <w:spacing w:after="0"/>
              <w:rPr>
                <w:sz w:val="20"/>
                <w:szCs w:val="20"/>
                <w:color w:val="auto"/>
              </w:rPr>
            </w:pPr>
            <w:r>
              <w:rPr>
                <w:rFonts w:ascii="Arial" w:cs="Arial" w:eastAsia="Arial" w:hAnsi="Arial"/>
                <w:sz w:val="18"/>
                <w:szCs w:val="18"/>
                <w:color w:val="auto"/>
                <w:w w:val="94"/>
              </w:rPr>
              <w:t>Foreign Currency Forwards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2023</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89"/>
              </w:rPr>
              <w:t>2022</w:t>
            </w: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9"/>
              </w:rPr>
              <w:t>2023</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w w:val="84"/>
              </w:rPr>
              <w:t>2022</w:t>
            </w:r>
          </w:p>
        </w:tc>
        <w:tc>
          <w:tcPr>
            <w:tcW w:w="0" w:type="dxa"/>
            <w:vAlign w:val="bottom"/>
          </w:tcPr>
          <w:p>
            <w:pPr>
              <w:spacing w:after="0"/>
              <w:rPr>
                <w:sz w:val="1"/>
                <w:szCs w:val="1"/>
                <w:color w:val="auto"/>
              </w:rPr>
            </w:pPr>
          </w:p>
        </w:tc>
      </w:tr>
      <w:tr>
        <w:trPr>
          <w:trHeight w:val="182"/>
        </w:trPr>
        <w:tc>
          <w:tcPr>
            <w:tcW w:w="5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Amount of pre-tax gain (loss) recognized in other comprehensive</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8"/>
        </w:trPr>
        <w:tc>
          <w:tcPr>
            <w:tcW w:w="5320" w:type="dxa"/>
            <w:vAlign w:val="bottom"/>
          </w:tcPr>
          <w:p>
            <w:pPr>
              <w:ind w:left="20"/>
              <w:spacing w:after="0" w:line="189" w:lineRule="exact"/>
              <w:rPr>
                <w:sz w:val="20"/>
                <w:szCs w:val="20"/>
                <w:color w:val="auto"/>
              </w:rPr>
            </w:pPr>
            <w:r>
              <w:rPr>
                <w:rFonts w:ascii="Arial" w:cs="Arial" w:eastAsia="Arial" w:hAnsi="Arial"/>
                <w:sz w:val="18"/>
                <w:szCs w:val="18"/>
                <w:color w:val="auto"/>
              </w:rPr>
              <w:t>Location of gain (loss) reclassified from accumulated other</w:t>
            </w:r>
          </w:p>
        </w:tc>
        <w:tc>
          <w:tcPr>
            <w:tcW w:w="160" w:type="dxa"/>
            <w:vAlign w:val="bottom"/>
          </w:tcPr>
          <w:p>
            <w:pPr>
              <w:spacing w:after="0"/>
              <w:rPr>
                <w:sz w:val="16"/>
                <w:szCs w:val="16"/>
                <w:color w:val="auto"/>
              </w:rPr>
            </w:pP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Cost of</w:t>
            </w:r>
          </w:p>
        </w:tc>
        <w:tc>
          <w:tcPr>
            <w:tcW w:w="220" w:type="dxa"/>
            <w:vAlign w:val="bottom"/>
          </w:tcPr>
          <w:p>
            <w:pPr>
              <w:spacing w:after="0"/>
              <w:rPr>
                <w:sz w:val="16"/>
                <w:szCs w:val="16"/>
                <w:color w:val="auto"/>
              </w:rPr>
            </w:pPr>
          </w:p>
        </w:tc>
        <w:tc>
          <w:tcPr>
            <w:tcW w:w="86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91"/>
              </w:rPr>
              <w:t>Cost of</w:t>
            </w:r>
          </w:p>
        </w:tc>
        <w:tc>
          <w:tcPr>
            <w:tcW w:w="140" w:type="dxa"/>
            <w:vAlign w:val="bottom"/>
          </w:tcPr>
          <w:p>
            <w:pPr>
              <w:spacing w:after="0"/>
              <w:rPr>
                <w:sz w:val="16"/>
                <w:szCs w:val="16"/>
                <w:color w:val="auto"/>
              </w:rPr>
            </w:pPr>
          </w:p>
        </w:tc>
        <w:tc>
          <w:tcPr>
            <w:tcW w:w="84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Cost of</w:t>
            </w:r>
          </w:p>
        </w:tc>
        <w:tc>
          <w:tcPr>
            <w:tcW w:w="90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4"/>
              </w:rPr>
              <w:t>Selling,</w:t>
            </w:r>
          </w:p>
        </w:tc>
        <w:tc>
          <w:tcPr>
            <w:tcW w:w="2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4"/>
              </w:rPr>
              <w:t>Cost of</w:t>
            </w:r>
          </w:p>
        </w:tc>
        <w:tc>
          <w:tcPr>
            <w:tcW w:w="300" w:type="dxa"/>
            <w:vAlign w:val="bottom"/>
          </w:tcPr>
          <w:p>
            <w:pPr>
              <w:spacing w:after="0"/>
              <w:rPr>
                <w:sz w:val="16"/>
                <w:szCs w:val="16"/>
                <w:color w:val="auto"/>
              </w:rPr>
            </w:pPr>
          </w:p>
        </w:tc>
        <w:tc>
          <w:tcPr>
            <w:tcW w:w="8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4"/>
              </w:rPr>
              <w:t>Selling,</w:t>
            </w:r>
          </w:p>
        </w:tc>
        <w:tc>
          <w:tcPr>
            <w:tcW w:w="0" w:type="dxa"/>
            <w:vAlign w:val="bottom"/>
          </w:tcPr>
          <w:p>
            <w:pPr>
              <w:spacing w:after="0"/>
              <w:rPr>
                <w:sz w:val="1"/>
                <w:szCs w:val="1"/>
                <w:color w:val="auto"/>
              </w:rPr>
            </w:pPr>
          </w:p>
        </w:tc>
      </w:tr>
      <w:tr>
        <w:trPr>
          <w:trHeight w:val="176"/>
        </w:trPr>
        <w:tc>
          <w:tcPr>
            <w:tcW w:w="5320" w:type="dxa"/>
            <w:vAlign w:val="bottom"/>
          </w:tcPr>
          <w:p>
            <w:pPr>
              <w:ind w:left="20"/>
              <w:spacing w:after="0" w:line="176" w:lineRule="exact"/>
              <w:rPr>
                <w:sz w:val="20"/>
                <w:szCs w:val="20"/>
                <w:color w:val="auto"/>
              </w:rPr>
            </w:pPr>
            <w:r>
              <w:rPr>
                <w:rFonts w:ascii="Arial" w:cs="Arial" w:eastAsia="Arial" w:hAnsi="Arial"/>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general &amp;</w:t>
            </w: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general &amp;</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goods sold</w:t>
            </w: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goods sold</w:t>
            </w:r>
          </w:p>
        </w:tc>
        <w:tc>
          <w:tcPr>
            <w:tcW w:w="98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goods sold</w:t>
            </w: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89"/>
              </w:rPr>
              <w:t>admin</w:t>
            </w:r>
          </w:p>
        </w:tc>
        <w:tc>
          <w:tcPr>
            <w:tcW w:w="1140" w:type="dxa"/>
            <w:vAlign w:val="bottom"/>
            <w:gridSpan w:val="3"/>
          </w:tcPr>
          <w:p>
            <w:pPr>
              <w:jc w:val="center"/>
              <w:ind w:right="70"/>
              <w:spacing w:after="0"/>
              <w:rPr>
                <w:sz w:val="20"/>
                <w:szCs w:val="20"/>
                <w:color w:val="auto"/>
              </w:rPr>
            </w:pPr>
            <w:r>
              <w:rPr>
                <w:rFonts w:ascii="Arial" w:cs="Arial" w:eastAsia="Arial" w:hAnsi="Arial"/>
                <w:sz w:val="18"/>
                <w:szCs w:val="18"/>
                <w:color w:val="auto"/>
                <w:w w:val="89"/>
              </w:rPr>
              <w:t>goods sold</w:t>
            </w: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3"/>
              </w:rPr>
              <w:t>admin</w:t>
            </w: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 of pre-tax gain (loss) reclassified from accumulated other</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16 $</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16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0"/>
              </w:rPr>
              <w:t>Nine Months Ended September 30,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right w:val="single" w:sz="8" w:color="auto"/>
            </w:tcBorders>
            <w:gridSpan w:val="3"/>
          </w:tcPr>
          <w:p>
            <w:pPr>
              <w:jc w:val="center"/>
              <w:ind w:right="210"/>
              <w:spacing w:after="0" w:line="182" w:lineRule="exact"/>
              <w:rPr>
                <w:sz w:val="20"/>
                <w:szCs w:val="20"/>
                <w:color w:val="auto"/>
              </w:rPr>
            </w:pPr>
            <w:r>
              <w:rPr>
                <w:rFonts w:ascii="Arial" w:cs="Arial" w:eastAsia="Arial" w:hAnsi="Arial"/>
                <w:sz w:val="18"/>
                <w:szCs w:val="18"/>
                <w:color w:val="auto"/>
                <w:w w:val="94"/>
              </w:rPr>
              <w:t>Aluminum Futures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Borders>
              <w:right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90"/>
              </w:rPr>
              <w:t>Contracts</w:t>
            </w:r>
          </w:p>
        </w:tc>
        <w:tc>
          <w:tcPr>
            <w:tcW w:w="140" w:type="dxa"/>
            <w:vAlign w:val="bottom"/>
          </w:tcPr>
          <w:p>
            <w:pPr>
              <w:spacing w:after="0"/>
              <w:rPr>
                <w:sz w:val="19"/>
                <w:szCs w:val="19"/>
                <w:color w:val="auto"/>
              </w:rPr>
            </w:pPr>
          </w:p>
        </w:tc>
        <w:tc>
          <w:tcPr>
            <w:tcW w:w="2880" w:type="dxa"/>
            <w:vAlign w:val="bottom"/>
            <w:gridSpan w:val="5"/>
          </w:tcPr>
          <w:p>
            <w:pPr>
              <w:ind w:left="800"/>
              <w:spacing w:after="0"/>
              <w:rPr>
                <w:sz w:val="20"/>
                <w:szCs w:val="20"/>
                <w:color w:val="auto"/>
              </w:rPr>
            </w:pPr>
            <w:r>
              <w:rPr>
                <w:rFonts w:ascii="Arial" w:cs="Arial" w:eastAsia="Arial" w:hAnsi="Arial"/>
                <w:sz w:val="18"/>
                <w:szCs w:val="18"/>
                <w:color w:val="auto"/>
                <w:w w:val="94"/>
              </w:rPr>
              <w:t>Foreign Currency Forwards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2023</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89"/>
              </w:rPr>
              <w:t>2022</w:t>
            </w: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9"/>
              </w:rPr>
              <w:t>2023</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w w:val="84"/>
              </w:rPr>
              <w:t>2022</w:t>
            </w:r>
          </w:p>
        </w:tc>
        <w:tc>
          <w:tcPr>
            <w:tcW w:w="0" w:type="dxa"/>
            <w:vAlign w:val="bottom"/>
          </w:tcPr>
          <w:p>
            <w:pPr>
              <w:spacing w:after="0"/>
              <w:rPr>
                <w:sz w:val="1"/>
                <w:szCs w:val="1"/>
                <w:color w:val="auto"/>
              </w:rPr>
            </w:pPr>
          </w:p>
        </w:tc>
      </w:tr>
      <w:tr>
        <w:trPr>
          <w:trHeight w:val="182"/>
        </w:trPr>
        <w:tc>
          <w:tcPr>
            <w:tcW w:w="532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9"/>
              </w:rPr>
              <w:t>Amount of pre-tax gain (loss) recognized in other comprehensive</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188"/>
        </w:trPr>
        <w:tc>
          <w:tcPr>
            <w:tcW w:w="5320" w:type="dxa"/>
            <w:vAlign w:val="bottom"/>
          </w:tcPr>
          <w:p>
            <w:pPr>
              <w:ind w:left="180"/>
              <w:spacing w:after="0" w:line="189" w:lineRule="exact"/>
              <w:rPr>
                <w:sz w:val="20"/>
                <w:szCs w:val="20"/>
                <w:color w:val="auto"/>
              </w:rPr>
            </w:pPr>
            <w:r>
              <w:rPr>
                <w:rFonts w:ascii="Arial" w:cs="Arial" w:eastAsia="Arial" w:hAnsi="Arial"/>
                <w:sz w:val="18"/>
                <w:szCs w:val="18"/>
                <w:color w:val="auto"/>
              </w:rPr>
              <w:t>Location of gain (loss) reclassified from accumulated other</w:t>
            </w:r>
          </w:p>
        </w:tc>
        <w:tc>
          <w:tcPr>
            <w:tcW w:w="160" w:type="dxa"/>
            <w:vAlign w:val="bottom"/>
          </w:tcPr>
          <w:p>
            <w:pPr>
              <w:spacing w:after="0"/>
              <w:rPr>
                <w:sz w:val="16"/>
                <w:szCs w:val="16"/>
                <w:color w:val="auto"/>
              </w:rPr>
            </w:pP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Cost of</w:t>
            </w:r>
          </w:p>
        </w:tc>
        <w:tc>
          <w:tcPr>
            <w:tcW w:w="220" w:type="dxa"/>
            <w:vAlign w:val="bottom"/>
          </w:tcPr>
          <w:p>
            <w:pPr>
              <w:spacing w:after="0"/>
              <w:rPr>
                <w:sz w:val="16"/>
                <w:szCs w:val="16"/>
                <w:color w:val="auto"/>
              </w:rPr>
            </w:pPr>
          </w:p>
        </w:tc>
        <w:tc>
          <w:tcPr>
            <w:tcW w:w="86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91"/>
              </w:rPr>
              <w:t>Cost of</w:t>
            </w:r>
          </w:p>
        </w:tc>
        <w:tc>
          <w:tcPr>
            <w:tcW w:w="140" w:type="dxa"/>
            <w:vAlign w:val="bottom"/>
          </w:tcPr>
          <w:p>
            <w:pPr>
              <w:spacing w:after="0"/>
              <w:rPr>
                <w:sz w:val="16"/>
                <w:szCs w:val="16"/>
                <w:color w:val="auto"/>
              </w:rPr>
            </w:pPr>
          </w:p>
        </w:tc>
        <w:tc>
          <w:tcPr>
            <w:tcW w:w="84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Cost of</w:t>
            </w:r>
          </w:p>
        </w:tc>
        <w:tc>
          <w:tcPr>
            <w:tcW w:w="90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4"/>
              </w:rPr>
              <w:t>Selling,</w:t>
            </w:r>
          </w:p>
        </w:tc>
        <w:tc>
          <w:tcPr>
            <w:tcW w:w="2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4"/>
              </w:rPr>
              <w:t>Cost of</w:t>
            </w:r>
          </w:p>
        </w:tc>
        <w:tc>
          <w:tcPr>
            <w:tcW w:w="300" w:type="dxa"/>
            <w:vAlign w:val="bottom"/>
          </w:tcPr>
          <w:p>
            <w:pPr>
              <w:spacing w:after="0"/>
              <w:rPr>
                <w:sz w:val="16"/>
                <w:szCs w:val="16"/>
                <w:color w:val="auto"/>
              </w:rPr>
            </w:pPr>
          </w:p>
        </w:tc>
        <w:tc>
          <w:tcPr>
            <w:tcW w:w="8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4"/>
              </w:rPr>
              <w:t>Selling,</w:t>
            </w:r>
          </w:p>
        </w:tc>
        <w:tc>
          <w:tcPr>
            <w:tcW w:w="0" w:type="dxa"/>
            <w:vAlign w:val="bottom"/>
          </w:tcPr>
          <w:p>
            <w:pPr>
              <w:spacing w:after="0"/>
              <w:rPr>
                <w:sz w:val="1"/>
                <w:szCs w:val="1"/>
                <w:color w:val="auto"/>
              </w:rPr>
            </w:pPr>
          </w:p>
        </w:tc>
      </w:tr>
      <w:tr>
        <w:trPr>
          <w:trHeight w:val="176"/>
        </w:trPr>
        <w:tc>
          <w:tcPr>
            <w:tcW w:w="5320" w:type="dxa"/>
            <w:vAlign w:val="bottom"/>
          </w:tcPr>
          <w:p>
            <w:pPr>
              <w:ind w:left="180"/>
              <w:spacing w:after="0" w:line="176" w:lineRule="exact"/>
              <w:rPr>
                <w:sz w:val="20"/>
                <w:szCs w:val="20"/>
                <w:color w:val="auto"/>
              </w:rPr>
            </w:pPr>
            <w:r>
              <w:rPr>
                <w:rFonts w:ascii="Arial" w:cs="Arial" w:eastAsia="Arial" w:hAnsi="Arial"/>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general &amp;</w:t>
            </w: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general &amp;</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goods sold</w:t>
            </w: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goods sold</w:t>
            </w:r>
          </w:p>
        </w:tc>
        <w:tc>
          <w:tcPr>
            <w:tcW w:w="98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goods sold</w:t>
            </w: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89"/>
              </w:rPr>
              <w:t>admin</w:t>
            </w:r>
          </w:p>
        </w:tc>
        <w:tc>
          <w:tcPr>
            <w:tcW w:w="1140" w:type="dxa"/>
            <w:vAlign w:val="bottom"/>
            <w:gridSpan w:val="3"/>
          </w:tcPr>
          <w:p>
            <w:pPr>
              <w:jc w:val="center"/>
              <w:ind w:right="70"/>
              <w:spacing w:after="0"/>
              <w:rPr>
                <w:sz w:val="20"/>
                <w:szCs w:val="20"/>
                <w:color w:val="auto"/>
              </w:rPr>
            </w:pPr>
            <w:r>
              <w:rPr>
                <w:rFonts w:ascii="Arial" w:cs="Arial" w:eastAsia="Arial" w:hAnsi="Arial"/>
                <w:sz w:val="18"/>
                <w:szCs w:val="18"/>
                <w:color w:val="auto"/>
                <w:w w:val="89"/>
              </w:rPr>
              <w:t>goods sold</w:t>
            </w: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3"/>
              </w:rPr>
              <w:t>admin</w:t>
            </w: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Amount of pre-tax gain (loss) reclassified from accumulated other</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46 $</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46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September 30, 2023, the Company expects $1.1 million of unrealized after-tax losses on aluminum and foreign currency derivative instruments reported in accumulated other comprehensive income (loss) to be reclassified to earnings within the next 12 months. For the three and nine month periods ended September 30, 2023 and 2022, net gains or losses realized, from previously unrealized net gains or losses on hedges that had been discontinued, were not material.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08"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Tredegar recorded tax benefit of $16.3 million on pre-tax loss of $86.6 million in the first nine months of 2023. Therefore, the effective tax rate in the first nine months of 2023 was 18.8%, unchanged compared to the effective tax rate in the first nine months of 2022. The effective tax rate in the first nine months of 2022 was impacted by a large discrete benefit recorded in the first quarter of 2022, resulting from the implementation of new U.S. tax regulations associated with foreign tax credits published by the U.S. Treasury and Internal Revenue Service on January 4, 2022. These regulations overhauled various components of the foreign tax credit regime including the determination of creditable foreign taxes and limit the amount of foreign taxes that are creditable against U.S. income taxes. As the result of these regulations, future Brazilian income tax under Brazil tax law in place at that time would have been deductible, but not creditable, in the U.S. The accounting rules require a reduction of the U.S. deferred tax liability previously established related to anticipated future income from Brazil. The tax effect of the reduction of the U.S. deferred tax liability resulted in the discrete tax benefit described above. In the second quarter of 2023, Brazil enacted new tax legislation that causes the Brazil income tax to once again be creditable after 2023. This law change caused a reversal of the discrete tax benefit recognized in the first quarter of 2022 described above, which increased the deferred tax liability related to anticipated future income from Brazil.</w:t>
      </w:r>
    </w:p>
    <w:p>
      <w:pPr>
        <w:spacing w:after="0" w:line="60"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In the third quarter of 2023, the Internal Revenue Service released Notice 2023-55 which provides temporary relief for tax years 2022 and 2023 from the regulations published by the U.S. Treasury and Internal Revenue Service on January 4, 2022. Notice 2023-55 allows Tredegar to treat Brazil income tax as creditable in 2022 and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ind w:firstLine="405"/>
        <w:spacing w:after="0" w:line="275" w:lineRule="auto"/>
        <w:rPr>
          <w:sz w:val="20"/>
          <w:szCs w:val="20"/>
          <w:color w:val="auto"/>
        </w:rPr>
      </w:pPr>
      <w:r>
        <w:rPr>
          <w:rFonts w:ascii="Arial" w:cs="Arial" w:eastAsia="Arial" w:hAnsi="Arial"/>
          <w:sz w:val="17"/>
          <w:szCs w:val="17"/>
          <w:color w:val="auto"/>
        </w:rPr>
        <w:t>The effective tax rate in the first nine months of 2023 was impacted by tax benefits related to the goodwill impairment, the pension settlement loss, and the treatment of Brazil income tax as creditable in 2022 and 2023. These benefits were offset by the reversal of the discrete tax benefit recorded in the first quarter of 2022 and an increase in the valuation allowance related to deferred tax assets. Total deferred tax assets increased during the first nine months of 2023 compared to December 31, 2022 primarily due to changes in other comprehensive income, the pre-tax loss, and decrease in deferred tax liability related to the goodwill impairment incurred during the first nine months of 2023.</w:t>
      </w:r>
    </w:p>
    <w:p>
      <w:pPr>
        <w:spacing w:after="0" w:line="4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Tredegar accrues U.S. federal income taxes on unremitted earnings of foreign subsidiaries where required. However, due to changes in the taxation of dividends under the U.S. Tax Cuts and Jobs Act of 2017, Tredegar will only record U.S. federal income taxes on unremitted earnings of its foreign subsidiaries where Tredegar cannot take steps to eliminate any potential tax on future distributions from its foreign subsidiaries.</w:t>
      </w:r>
    </w:p>
    <w:p>
      <w:pPr>
        <w:spacing w:after="0" w:line="4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10-year period, from the commencement date of January 1, 2015 and expiring at the end of 2024. The benefit from the tax incentives was $0.5 million and $2.6 million in the first nine months of 2023 and 2022, respectively.</w:t>
      </w:r>
    </w:p>
    <w:p>
      <w:pPr>
        <w:spacing w:after="0" w:line="66"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Tredegar and its subsidiaries file income tax returns in the U.S., various states, and jurisdictions outside the U.S. With exceptions for some U.S. states and non-U.S. jurisdictions, Tredegar and its subsidiaries as of September 30, 2023 are no longer subject to U.S. federal, state or non-U.S. income tax examinations by tax authorities for years before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9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Company’s business segments are Aluminum Extrusions, PE Films, and Flexible Packaging Films. Information by business segment is reported below. There are no accounting transactions between segments and no allocations to segments.</w:t>
      </w:r>
    </w:p>
    <w:p>
      <w:pPr>
        <w:spacing w:after="0" w:line="4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ind w:right="280" w:firstLine="405"/>
        <w:spacing w:after="0" w:line="277" w:lineRule="auto"/>
        <w:rPr>
          <w:sz w:val="20"/>
          <w:szCs w:val="20"/>
          <w:color w:val="auto"/>
        </w:rPr>
      </w:pPr>
      <w:r>
        <w:rPr>
          <w:rFonts w:ascii="Arial" w:cs="Arial" w:eastAsia="Arial" w:hAnsi="Arial"/>
          <w:sz w:val="18"/>
          <w:szCs w:val="18"/>
          <w:color w:val="auto"/>
        </w:rPr>
        <w:t>The following table presents net sales and EBITDA from ongoing operations by segment for the three and nine months ended September 30, 2023 and 2022:</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76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88"/>
              </w:rPr>
              <w:t>Three Months Ended September 30,</w:t>
            </w:r>
          </w:p>
        </w:tc>
        <w:tc>
          <w:tcPr>
            <w:tcW w:w="20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89"/>
              </w:rPr>
              <w:t>Nine Months Ended September 30,</w:t>
            </w: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Aluminum Extrusions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109,410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161,649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364,607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510,066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Films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19,938</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20,059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56,036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82,613</w:t>
            </w:r>
          </w:p>
        </w:tc>
      </w:tr>
      <w:tr>
        <w:trPr>
          <w:trHeight w:val="22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Flexible Packaging Films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30,111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47,278</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94,861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128,117</w:t>
            </w:r>
          </w:p>
        </w:tc>
      </w:tr>
      <w:tr>
        <w:trPr>
          <w:trHeight w:val="22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159,459</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228,986</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515,504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720,796</w:t>
            </w:r>
          </w:p>
        </w:tc>
      </w:tr>
      <w:tr>
        <w:trPr>
          <w:trHeight w:val="22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Add back freight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9,500</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19,977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28,619</w:t>
            </w: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Sales as shown in the condensed consolidated statements of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166,192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238,486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535,481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749,415</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EBITDA from Ongoing Operations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Ongoing operations: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29,968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57,885</w:t>
            </w:r>
          </w:p>
        </w:tc>
      </w:tr>
      <w:tr>
        <w:trPr>
          <w:trHeight w:val="229"/>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Depreciation &amp; amortization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(13,252)</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(12,846)</w:t>
            </w:r>
          </w:p>
        </w:tc>
      </w:tr>
      <w:tr>
        <w:trPr>
          <w:trHeight w:val="223"/>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7,655</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16,716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45,039</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Plant shutdowns, asset impairments, restructurings and other</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(1,483)</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(1,821)</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Films: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Ongoing operations: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4,037</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6,700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14,543</w:t>
            </w:r>
          </w:p>
        </w:tc>
      </w:tr>
      <w:tr>
        <w:trPr>
          <w:trHeight w:val="229"/>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Depreciation &amp; amortization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r>
      <w:tr>
        <w:trPr>
          <w:trHeight w:val="223"/>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w:t>
            </w: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Plant shutdowns, asset impairments, restructurings and other</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(4,566)</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(4,565)</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Flexible Packaging Films: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Ongoing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7,830</w:t>
            </w: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2,076</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20,495</w:t>
            </w:r>
          </w:p>
        </w:tc>
      </w:tr>
      <w:tr>
        <w:trPr>
          <w:trHeight w:val="230"/>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&amp;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r>
      <w:tr>
        <w:trPr>
          <w:trHeight w:val="223"/>
        </w:trPr>
        <w:tc>
          <w:tcPr>
            <w:tcW w:w="5460" w:type="dxa"/>
            <w:vAlign w:val="bottom"/>
          </w:tcPr>
          <w:p>
            <w:pPr>
              <w:ind w:left="240"/>
              <w:spacing w:after="0"/>
              <w:rPr>
                <w:sz w:val="20"/>
                <w:szCs w:val="20"/>
                <w:color w:val="auto"/>
              </w:rPr>
            </w:pPr>
            <w:r>
              <w:rPr>
                <w:rFonts w:ascii="Arial" w:cs="Arial" w:eastAsia="Arial" w:hAnsi="Arial"/>
                <w:sz w:val="18"/>
                <w:szCs w:val="18"/>
                <w:color w:val="auto"/>
              </w:rPr>
              <w:t>EBIT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7,240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18,772</w:t>
            </w:r>
          </w:p>
        </w:tc>
      </w:tr>
      <w:tr>
        <w:trPr>
          <w:trHeight w:val="230"/>
        </w:trPr>
        <w:tc>
          <w:tcPr>
            <w:tcW w:w="5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Plant shutdowns, asset impairments, restructurings and other</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(23,398)</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13,211</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(23,284)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72,765</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3,106</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7,791</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3,158</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investment in kaléo</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Stock option-based compensation costs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1,153</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settlement loss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25,612</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25,612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expenses, net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11,633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9,653</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30,100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30,119</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(63,687)</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39,782</w:t>
            </w: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(13,307)</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1,125</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7,460</w:t>
            </w: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32,322</w:t>
            </w:r>
          </w:p>
        </w:tc>
      </w:tr>
      <w:tr>
        <w:trPr>
          <w:trHeight w:val="864"/>
        </w:trPr>
        <w:tc>
          <w:tcPr>
            <w:tcW w:w="5460" w:type="dxa"/>
            <w:vAlign w:val="bottom"/>
          </w:tcPr>
          <w:p>
            <w:pPr>
              <w:spacing w:after="0"/>
              <w:rPr>
                <w:sz w:val="24"/>
                <w:szCs w:val="24"/>
                <w:color w:val="auto"/>
              </w:rPr>
            </w:pPr>
          </w:p>
        </w:tc>
        <w:tc>
          <w:tcPr>
            <w:tcW w:w="1420" w:type="dxa"/>
            <w:vAlign w:val="bottom"/>
            <w:gridSpan w:val="2"/>
          </w:tcPr>
          <w:p>
            <w:pPr>
              <w:jc w:val="right"/>
              <w:ind w:right="107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t>The following table presents identifiable assets by segment at September 30, 2023 and December 31,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88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1"/>
              </w:rPr>
              <w:t>September 30, 2023</w:t>
            </w:r>
          </w:p>
        </w:tc>
        <w:tc>
          <w:tcPr>
            <w:tcW w:w="26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December 31, 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293,308</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PE Films</w:t>
            </w:r>
          </w:p>
        </w:tc>
        <w:tc>
          <w:tcPr>
            <w:tcW w:w="28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58,459</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102,431</w:t>
            </w: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28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82,789</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103,448</w:t>
            </w:r>
          </w:p>
        </w:tc>
      </w:tr>
      <w:tr>
        <w:trPr>
          <w:trHeight w:val="223"/>
        </w:trPr>
        <w:tc>
          <w:tcPr>
            <w:tcW w:w="4620" w:type="dxa"/>
            <w:vAlign w:val="bottom"/>
          </w:tcPr>
          <w:p>
            <w:pPr>
              <w:ind w:left="360"/>
              <w:spacing w:after="0"/>
              <w:rPr>
                <w:sz w:val="20"/>
                <w:szCs w:val="20"/>
                <w:color w:val="auto"/>
              </w:rPr>
            </w:pPr>
            <w:r>
              <w:rPr>
                <w:rFonts w:ascii="Arial" w:cs="Arial" w:eastAsia="Arial" w:hAnsi="Arial"/>
                <w:sz w:val="18"/>
                <w:szCs w:val="18"/>
                <w:color w:val="auto"/>
              </w:rPr>
              <w:t>Subtotal</w:t>
            </w:r>
          </w:p>
        </w:tc>
        <w:tc>
          <w:tcPr>
            <w:tcW w:w="28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397,919</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499,187</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28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32,994</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23,674</w:t>
            </w:r>
          </w:p>
        </w:tc>
      </w:tr>
      <w:tr>
        <w:trPr>
          <w:trHeight w:val="22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48,604</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19,232</w:t>
            </w:r>
          </w:p>
        </w:tc>
      </w:tr>
      <w:tr>
        <w:trPr>
          <w:trHeight w:val="230"/>
        </w:trPr>
        <w:tc>
          <w:tcPr>
            <w:tcW w:w="4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542,093</w:t>
            </w:r>
          </w:p>
        </w:tc>
      </w:tr>
    </w:tbl>
    <w:p>
      <w:pPr>
        <w:spacing w:after="0" w:line="16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tables disaggregate the Company’s revenue by geographic area and product group for the three and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Net Sales by Geographic Area (a)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40" w:type="dxa"/>
            <w:vAlign w:val="bottom"/>
            <w:tcBorders>
              <w:top w:val="single" w:sz="8" w:color="auto"/>
            </w:tcBorders>
          </w:tcPr>
          <w:p>
            <w:pPr>
              <w:spacing w:after="0"/>
              <w:rPr>
                <w:sz w:val="19"/>
                <w:szCs w:val="19"/>
                <w:color w:val="auto"/>
              </w:rPr>
            </w:pPr>
          </w:p>
        </w:tc>
        <w:tc>
          <w:tcPr>
            <w:tcW w:w="4240" w:type="dxa"/>
            <w:vAlign w:val="bottom"/>
            <w:tcBorders>
              <w:top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9"/>
              </w:rPr>
              <w:t>Nine Months Ended September 30,</w:t>
            </w:r>
          </w:p>
        </w:tc>
      </w:tr>
      <w:tr>
        <w:trPr>
          <w:trHeight w:val="23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125,407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181,405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409,433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577,496</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Exports from the United States to:</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1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19,082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34,582</w:t>
            </w:r>
          </w:p>
        </w:tc>
      </w:tr>
      <w:tr>
        <w:trPr>
          <w:trHeight w:val="229"/>
        </w:trPr>
        <w:tc>
          <w:tcPr>
            <w:tcW w:w="414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17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1,764</w:t>
            </w:r>
          </w:p>
        </w:tc>
        <w:tc>
          <w:tcPr>
            <w:tcW w:w="4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2,138</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5,440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4,824</w:t>
            </w: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1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w:t>
            </w:r>
          </w:p>
        </w:tc>
      </w:tr>
      <w:tr>
        <w:trPr>
          <w:trHeight w:val="229"/>
        </w:trPr>
        <w:tc>
          <w:tcPr>
            <w:tcW w:w="4140" w:type="dxa"/>
            <w:vAlign w:val="bottom"/>
          </w:tcPr>
          <w:p>
            <w:pPr>
              <w:ind w:left="360"/>
              <w:spacing w:after="0"/>
              <w:rPr>
                <w:sz w:val="20"/>
                <w:szCs w:val="20"/>
                <w:color w:val="auto"/>
              </w:rPr>
            </w:pPr>
            <w:r>
              <w:rPr>
                <w:rFonts w:ascii="Arial" w:cs="Arial" w:eastAsia="Arial" w:hAnsi="Arial"/>
                <w:sz w:val="18"/>
                <w:szCs w:val="18"/>
                <w:color w:val="auto"/>
              </w:rPr>
              <w:t>Europe</w:t>
            </w:r>
          </w:p>
        </w:tc>
        <w:tc>
          <w:tcPr>
            <w:tcW w:w="17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4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3,464</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outside the United States:</w:t>
            </w:r>
          </w:p>
        </w:tc>
        <w:tc>
          <w:tcPr>
            <w:tcW w:w="1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140" w:type="dxa"/>
            <w:vAlign w:val="bottom"/>
          </w:tcPr>
          <w:p>
            <w:pPr>
              <w:ind w:left="360"/>
              <w:spacing w:after="0"/>
              <w:rPr>
                <w:sz w:val="20"/>
                <w:szCs w:val="20"/>
                <w:color w:val="auto"/>
              </w:rPr>
            </w:pPr>
            <w:r>
              <w:rPr>
                <w:rFonts w:ascii="Arial" w:cs="Arial" w:eastAsia="Arial" w:hAnsi="Arial"/>
                <w:sz w:val="18"/>
                <w:szCs w:val="18"/>
                <w:color w:val="auto"/>
              </w:rPr>
              <w:t>Brazil</w:t>
            </w:r>
          </w:p>
        </w:tc>
        <w:tc>
          <w:tcPr>
            <w:tcW w:w="17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20,351</w:t>
            </w:r>
          </w:p>
        </w:tc>
        <w:tc>
          <w:tcPr>
            <w:tcW w:w="4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32,925</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66,954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87,999</w:t>
            </w:r>
          </w:p>
        </w:tc>
      </w:tr>
      <w:tr>
        <w:trPr>
          <w:trHeight w:val="229"/>
        </w:trPr>
        <w:tc>
          <w:tcPr>
            <w:tcW w:w="4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1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159,459</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228,986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515,504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720,796</w:t>
            </w:r>
          </w:p>
        </w:tc>
      </w:tr>
    </w:tbl>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Export sales relate mostly to PE Films. Operations in Brazil relate to Flexible Packaging Films.</w:t>
      </w:r>
    </w:p>
    <w:p>
      <w:pPr>
        <w:spacing w:after="0" w:line="208"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$4.8 million and $4.4 million in the third quarter of 2023 and 2022, respectively, and $11.7 million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$16.1 million in the first nine months of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Net Sales by Product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8"/>
              </w:rPr>
              <w:t>Three Months Ended September 30,</w:t>
            </w:r>
          </w:p>
        </w:tc>
        <w:tc>
          <w:tcPr>
            <w:tcW w:w="2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89"/>
              </w:rPr>
              <w:t>Nine Months Ended September 30,</w:t>
            </w:r>
          </w:p>
        </w:tc>
      </w:tr>
      <w:tr>
        <w:trPr>
          <w:trHeight w:val="23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1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Nonresidential building &amp; construction</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59,476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86,659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203,889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266,882</w:t>
            </w: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durables</w:t>
            </w:r>
          </w:p>
        </w:tc>
        <w:tc>
          <w:tcPr>
            <w:tcW w:w="1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16,714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30,723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52,409</w:t>
            </w: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Automotive</w:t>
            </w:r>
          </w:p>
        </w:tc>
        <w:tc>
          <w:tcPr>
            <w:tcW w:w="12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13,025</w:t>
            </w:r>
          </w:p>
        </w:tc>
        <w:tc>
          <w:tcPr>
            <w:tcW w:w="3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11,543</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36,916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39,857</w:t>
            </w: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building &amp; construction</w:t>
            </w:r>
          </w:p>
        </w:tc>
        <w:tc>
          <w:tcPr>
            <w:tcW w:w="1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7,999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15,136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29,658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52,549</w:t>
            </w: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Electrical</w:t>
            </w:r>
          </w:p>
        </w:tc>
        <w:tc>
          <w:tcPr>
            <w:tcW w:w="12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4,730</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16,223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21,704</w:t>
            </w: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Machinery &amp; equipment</w:t>
            </w:r>
          </w:p>
        </w:tc>
        <w:tc>
          <w:tcPr>
            <w:tcW w:w="1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20,028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36,008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48,902</w:t>
            </w:r>
          </w:p>
        </w:tc>
      </w:tr>
      <w:tr>
        <w:trPr>
          <w:trHeight w:val="229"/>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Distribution</w:t>
            </w:r>
          </w:p>
        </w:tc>
        <w:tc>
          <w:tcPr>
            <w:tcW w:w="1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6,839</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27,763</w:t>
            </w:r>
          </w:p>
        </w:tc>
      </w:tr>
      <w:tr>
        <w:trPr>
          <w:trHeight w:val="223"/>
        </w:trPr>
        <w:tc>
          <w:tcPr>
            <w:tcW w:w="4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109,410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161,649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364,607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510,066</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PE Films:</w:t>
            </w: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Surface protection films</w:t>
            </w:r>
          </w:p>
        </w:tc>
        <w:tc>
          <w:tcPr>
            <w:tcW w:w="1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13,018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34,251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58,839</w:t>
            </w:r>
          </w:p>
        </w:tc>
      </w:tr>
      <w:tr>
        <w:trPr>
          <w:trHeight w:val="229"/>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Overwrap packaging</w:t>
            </w:r>
          </w:p>
        </w:tc>
        <w:tc>
          <w:tcPr>
            <w:tcW w:w="1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7,183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21,785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23,774</w:t>
            </w:r>
          </w:p>
        </w:tc>
      </w:tr>
      <w:tr>
        <w:trPr>
          <w:trHeight w:val="223"/>
        </w:trPr>
        <w:tc>
          <w:tcPr>
            <w:tcW w:w="4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19,938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56,036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82,613</w:t>
            </w:r>
          </w:p>
        </w:tc>
      </w:tr>
      <w:tr>
        <w:trPr>
          <w:trHeight w:val="22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Flexible Packaging Films</w:t>
            </w:r>
          </w:p>
        </w:tc>
        <w:tc>
          <w:tcPr>
            <w:tcW w:w="1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30,111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47,278</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94,861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128,117</w:t>
            </w:r>
          </w:p>
        </w:tc>
      </w:tr>
      <w:tr>
        <w:trPr>
          <w:trHeight w:val="230"/>
        </w:trPr>
        <w:tc>
          <w:tcPr>
            <w:tcW w:w="43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159,459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228,986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515,504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720,796</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SUPPLY CHAIN FINANCING</w:t>
      </w:r>
    </w:p>
    <w:p>
      <w:pPr>
        <w:spacing w:after="0" w:line="10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has supply chain finance service agreements with third-party financial institutions to provide platforms that facilitate the ability of participating suppliers to finance payment obligations from the Company with the third-party financial institution. The Company’s obligations to its suppliers, including amounts due and scheduled payment dates, are not affected by suppliers’ decisions to finance amounts under the supply chain finance agreements. As of September 30, 2023 and December 31, 2022, $14.2 million and $25.9 million, respectively, of the Company’s accounts payable were financed by participating suppliers through third-party financial institutions.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0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On June 29, 2022, Tredegar entered into a Second Amended and Restated Credit Agreement, which is a five-year, revolving, secured credit facility that matures on June 29, 2027. On August 3, 2023, the Company entered into Amendment No. 2 to the Second Amended and Restated Credit Agreement (collectively the "Credit Agreement"), which amended the primary restrictive covenants and decreased aggregate borrowings from $375 million to $200 million.</w:t>
      </w:r>
    </w:p>
    <w:p>
      <w:pPr>
        <w:spacing w:after="0" w:line="5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Borrowings under the Credit Agreement bear an interest rate equal to Secured Overnight Financing Rate ("SOFR") plus a credit spread adjustment of 10 basis points ("Adjusted Term SOFR Rate"), plus a credit spread depending on the type of borrowings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Under the Credit Agreement (Basis Points)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Borders>
              <w:top w:val="single" w:sz="8" w:color="auto"/>
            </w:tcBorders>
          </w:tcPr>
          <w:p>
            <w:pPr>
              <w:spacing w:after="0"/>
              <w:rPr>
                <w:sz w:val="15"/>
                <w:szCs w:val="15"/>
                <w:color w:val="auto"/>
              </w:rPr>
            </w:pPr>
          </w:p>
        </w:tc>
        <w:tc>
          <w:tcPr>
            <w:tcW w:w="474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Term Benchmark</w:t>
            </w:r>
          </w:p>
        </w:tc>
        <w:tc>
          <w:tcPr>
            <w:tcW w:w="13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Commitment</w:t>
            </w: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Leverage Ratio</w:t>
            </w:r>
          </w:p>
        </w:tc>
        <w:tc>
          <w:tcPr>
            <w:tcW w:w="47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Spread</w:t>
            </w: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Fee</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&gt;1.0x but &lt;=2.0x</w:t>
            </w:r>
          </w:p>
        </w:tc>
        <w:tc>
          <w:tcPr>
            <w:tcW w:w="4740" w:type="dxa"/>
            <w:vAlign w:val="bottom"/>
          </w:tcPr>
          <w:p>
            <w:pPr>
              <w:jc w:val="right"/>
              <w:ind w:right="70"/>
              <w:spacing w:after="0"/>
              <w:rPr>
                <w:sz w:val="20"/>
                <w:szCs w:val="20"/>
                <w:color w:val="auto"/>
              </w:rPr>
            </w:pPr>
            <w:r>
              <w:rPr>
                <w:rFonts w:ascii="Arial" w:cs="Arial" w:eastAsia="Arial" w:hAnsi="Arial"/>
                <w:sz w:val="18"/>
                <w:szCs w:val="18"/>
                <w:color w:val="auto"/>
              </w:rPr>
              <w:t>187.5</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&gt;3.0x but &lt;=3.5x</w:t>
            </w:r>
          </w:p>
        </w:tc>
        <w:tc>
          <w:tcPr>
            <w:tcW w:w="4740" w:type="dxa"/>
            <w:vAlign w:val="bottom"/>
          </w:tcPr>
          <w:p>
            <w:pPr>
              <w:jc w:val="right"/>
              <w:ind w:right="70"/>
              <w:spacing w:after="0"/>
              <w:rPr>
                <w:sz w:val="20"/>
                <w:szCs w:val="20"/>
                <w:color w:val="auto"/>
              </w:rPr>
            </w:pPr>
            <w:r>
              <w:rPr>
                <w:rFonts w:ascii="Arial" w:cs="Arial" w:eastAsia="Arial" w:hAnsi="Arial"/>
                <w:sz w:val="18"/>
                <w:szCs w:val="18"/>
                <w:color w:val="auto"/>
              </w:rPr>
              <w:t>212.5</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225.0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17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At September 30, 2023, $155.0 million of the outstanding debt was principally priced at an interest rate equal to the Adjusted Term SOFR Rate plus the applicable credit spread of 200.0 basis points.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primary restrictive covenants in the Credit Agreement include: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1" w:name="page22"/>
    <w:bookmarkEnd w:id="21"/>
    <w:p>
      <w:pPr>
        <w:ind w:left="820" w:right="280" w:hanging="407"/>
        <w:spacing w:after="0" w:line="263"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Net Leverage Ratio covenant of: (i) 5.0x for the quarters ending September 30, 2023 through March 31, 2024, (ii) 4.75x for the quarter ending June 30, 2024, (iii) 4.25 for the quarter ending September 30, 2024, and (iv) 4.0x for the quarter ending December 31, 2024 and thereafter;</w:t>
      </w:r>
    </w:p>
    <w:p>
      <w:pPr>
        <w:spacing w:after="0" w:line="48" w:lineRule="exact"/>
        <w:rPr>
          <w:rFonts w:ascii="Arial" w:cs="Arial" w:eastAsia="Arial" w:hAnsi="Arial"/>
          <w:sz w:val="18"/>
          <w:szCs w:val="18"/>
          <w:color w:val="auto"/>
        </w:rPr>
      </w:pPr>
    </w:p>
    <w:p>
      <w:pPr>
        <w:ind w:left="820" w:right="440" w:hanging="407"/>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Coverage Ratio covenant of: (i) 2.50x for the quarters ending September 30, 2023 through June 30, 2024, (ii) 2.75x for the quarter ending September 30, 2024, and (iii) 3.0x for the quarter ending December 31, 2024 and thereafter; and</w:t>
      </w:r>
    </w:p>
    <w:p>
      <w:pPr>
        <w:spacing w:after="0" w:line="48"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Prohibiting dividend payments and share repurchases during fiscal quarters ending September 30, 2023 through December 31, 2024.</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Under the Credit Agreement:</w:t>
      </w:r>
    </w:p>
    <w:p>
      <w:pPr>
        <w:spacing w:after="0" w:line="90" w:lineRule="exact"/>
        <w:rPr>
          <w:sz w:val="20"/>
          <w:szCs w:val="20"/>
          <w:color w:val="auto"/>
        </w:rPr>
      </w:pPr>
    </w:p>
    <w:p>
      <w:pPr>
        <w:ind w:left="820" w:right="420" w:hanging="407"/>
        <w:spacing w:after="0" w:line="308" w:lineRule="auto"/>
        <w:tabs>
          <w:tab w:leader="none" w:pos="815"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Net Leverage Ratio is defined as the ratio of (a)(i) total indebtedness minus (ii) liquidity (the lesser of $50,000,000 and the aggregate amount of cash and cash equivalents) to (b) EBITDA (as defined in the Credit Agreement as "Credit EBITDA"); and</w:t>
      </w:r>
    </w:p>
    <w:p>
      <w:pPr>
        <w:spacing w:after="0" w:line="24" w:lineRule="exact"/>
        <w:rPr>
          <w:rFonts w:ascii="Arial" w:cs="Arial" w:eastAsia="Arial" w:hAnsi="Arial"/>
          <w:sz w:val="17"/>
          <w:szCs w:val="17"/>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Coverage Ratio is defined as the ratio of Credit EBITDA to interest expense.</w:t>
      </w:r>
    </w:p>
    <w:p>
      <w:pPr>
        <w:spacing w:after="0" w:line="10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Credit Agreement is secured by substantially all assets of the Company and its domestic subsidiaries, including equity in certain material first-tier foreign subsidiaries. At September 30, 2023, based upon the most restrictive covenants within the Credit Agreement, available credit under the Credit Agreement was approximately $4.7 million. Tredegar was in compliance with all of its debt covenants as of September 30, 2023.</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08"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 xml:space="preserve">The Company previously disclosed its intent to reduce the risk of a debt covenant violation during a severe cyclical downturn impacting all of its businesses at the same time (like the Company is currently experiencing) by investigating a transition from the existing “cash flow” based revolving credit facility (which uses Credit EBITDA) to an asset based revolving credit facility (“ABL”). The Company has contemplated this strategic transition, as described further below, as part of its on-going evaluation of liquidity, as required by ASC 205-40, </w:t>
      </w:r>
      <w:r>
        <w:rPr>
          <w:rFonts w:ascii="Arial" w:cs="Arial" w:eastAsia="Arial" w:hAnsi="Arial"/>
          <w:sz w:val="16"/>
          <w:szCs w:val="16"/>
          <w:i w:val="1"/>
          <w:iCs w:val="1"/>
          <w:color w:val="auto"/>
        </w:rPr>
        <w:t>Presentation of Financial Statements – Going Concern.</w:t>
      </w:r>
    </w:p>
    <w:p>
      <w:pPr>
        <w:spacing w:after="0" w:line="36" w:lineRule="exact"/>
        <w:rPr>
          <w:sz w:val="20"/>
          <w:szCs w:val="20"/>
          <w:color w:val="auto"/>
        </w:rPr>
      </w:pPr>
    </w:p>
    <w:p>
      <w:pPr>
        <w:ind w:right="100" w:firstLine="405"/>
        <w:spacing w:after="0" w:line="287" w:lineRule="auto"/>
        <w:rPr>
          <w:sz w:val="20"/>
          <w:szCs w:val="20"/>
          <w:color w:val="auto"/>
        </w:rPr>
      </w:pPr>
      <w:r>
        <w:rPr>
          <w:rFonts w:ascii="Arial" w:cs="Arial" w:eastAsia="Arial" w:hAnsi="Arial"/>
          <w:sz w:val="16"/>
          <w:szCs w:val="16"/>
          <w:color w:val="auto"/>
        </w:rPr>
        <w:t>The Company took its first step in the planned migration to ABL financing on October 26, 2023, when Terphane Limitada, the Company’s wholly owned subsidiary in Brazil, borrowed $20 million secured by certain of its assets (the “Terphane Brazil Loan”). This U.S. Dollar borrowing has a maturity date in five years, on October 30, 2028, with interest payable quarterly at an annual floating interest rate of the SOFR plus 5.99%. The SOFR rate was</w:t>
      </w:r>
    </w:p>
    <w:p>
      <w:pPr>
        <w:spacing w:after="0" w:line="2"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5.31% as of October 26, 2023. Quarterly principal payments of $1.7 million begin starting in year 3 of the loan. There are no prepayment penalties. The Company expects that the Terphane Brazil Loan will be repaid (and collateral released) upon a closing of the Contingent Terphane Sale. On October 26, 2023, the Company borrowed $20 million from Terphane Brazil (the “Intercompany Loan”) at the same interest rate as the Terphane Brazil Loan, thereby transferring the funds to the U.S. The Company will repay the Intercompany Loan in conjunction with the closing of the Contingent Terphane Sale.</w:t>
      </w:r>
    </w:p>
    <w:p>
      <w:pPr>
        <w:spacing w:after="0" w:line="26"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Between the dates of November 4, 2023 and November 8, 2023, the Company oversaw the execution of consent advice letters by a majority of the lending group to the Credit Agreement (collectively, the “Advice Letters”). Pursuant to the Advice Letters, subject only to satisfactory documentation, these lending group members confirmed their agreement to consent to an amendment to the Credit Agreement (the “Credit Agreement Amendment”) that amends the Credit Agreement to implement a senior secured asset-based revolving credit facility (the “ABL Credit Facility”), which would expire on June 30, 2026. The permitted borrowings under the ABL Credit Facility will be based on a portion of eligible receivables, inventories, property, plant and equipment and cash and cash equivalents, as reduced by certain reserves.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Financial highlights of the ABL Credit Facility include the following:</w:t>
      </w:r>
    </w:p>
    <w:p>
      <w:pPr>
        <w:spacing w:after="0" w:line="104" w:lineRule="exact"/>
        <w:rPr>
          <w:sz w:val="20"/>
          <w:szCs w:val="20"/>
          <w:color w:val="auto"/>
        </w:rPr>
      </w:pPr>
    </w:p>
    <w:p>
      <w:pPr>
        <w:ind w:left="660" w:right="12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Initial borrowing availability under the ABL Credit Facility of $180 million, which will be reduced to $125 million upon the earlier of March 31, 2025 and the date the Company receives the proceeds from the Contingent Terphane Sale (the “ABL Adjustment Date”).</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Outstanding borrowings to accrue interest at the rates elected by the Company depending on the type of loan and denomination of such borrowing:</w:t>
      </w:r>
    </w:p>
    <w:p>
      <w:pPr>
        <w:spacing w:after="0" w:line="126" w:lineRule="exact"/>
        <w:rPr>
          <w:rFonts w:ascii="Arial" w:cs="Arial" w:eastAsia="Arial" w:hAnsi="Arial"/>
          <w:sz w:val="16"/>
          <w:szCs w:val="16"/>
          <w:color w:val="auto"/>
        </w:rPr>
      </w:pPr>
    </w:p>
    <w:p>
      <w:pPr>
        <w:ind w:left="1300" w:right="220" w:hanging="320"/>
        <w:spacing w:after="0" w:line="277"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With respect to revolving loans denominated in U.S. Dollars, the Company may elect interest rates at ABR plus the Applicable Margin (defined below) or the Adjusted Term SOFR Rate plus the Applicable Margin.</w:t>
      </w:r>
    </w:p>
    <w:p>
      <w:pPr>
        <w:spacing w:after="0" w:line="48" w:lineRule="exact"/>
        <w:rPr>
          <w:rFonts w:ascii="Arial" w:cs="Arial" w:eastAsia="Arial" w:hAnsi="Arial"/>
          <w:sz w:val="18"/>
          <w:szCs w:val="18"/>
          <w:color w:val="auto"/>
        </w:rPr>
      </w:pPr>
    </w:p>
    <w:p>
      <w:pPr>
        <w:ind w:left="1300" w:right="560" w:hanging="320"/>
        <w:spacing w:after="0" w:line="277"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“Applicable Margin” is a set margin prior to the ABL Adjustment Date; on and after the ABL Adjustment Date, the margin is determined in accordance with an excess availability-based pricing grid.</w:t>
      </w:r>
    </w:p>
    <w:p>
      <w:pPr>
        <w:spacing w:after="0" w:line="35" w:lineRule="exact"/>
        <w:rPr>
          <w:rFonts w:ascii="Arial" w:cs="Arial" w:eastAsia="Arial" w:hAnsi="Arial"/>
          <w:sz w:val="18"/>
          <w:szCs w:val="18"/>
          <w:color w:val="auto"/>
        </w:rPr>
      </w:pPr>
    </w:p>
    <w:p>
      <w:pPr>
        <w:ind w:left="1300" w:right="40" w:hanging="320"/>
        <w:spacing w:after="0" w:line="277"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Interest rate indices for select non-U.S. dollar borrowings, including borrowings denominated in euro, Pounds Sterling, Swiss Francs and Japanese Yen, will be consistent with the existing Credit Agreement.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covenants including, among others: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2" w:name="page23"/>
    <w:bookmarkEnd w:id="22"/>
    <w:p>
      <w:pPr>
        <w:ind w:left="1300" w:right="240" w:hanging="320"/>
        <w:spacing w:after="0" w:line="248"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until the ABL Adjustment Date, the ABL Credit Facility will contain financial covenants that require the Company to maintain (i) a minimum consolidated EBITDA (as defined by the Credit Agreement), as of the end of each fiscal month for the twelve month period then ended,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64770</wp:posOffset>
            </wp:positionV>
            <wp:extent cx="27260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Minimum EBITDA (In thousands)</w:t>
      </w:r>
    </w:p>
    <w:p>
      <w:pPr>
        <w:spacing w:after="0" w:line="23" w:lineRule="exact"/>
        <w:rPr>
          <w:sz w:val="20"/>
          <w:szCs w:val="20"/>
          <w:color w:val="auto"/>
        </w:rPr>
      </w:pPr>
    </w:p>
    <w:tbl>
      <w:tblPr>
        <w:tblLayout w:type="fixed"/>
        <w:tblInd w:w="3480" w:type="dxa"/>
        <w:tblCellMar>
          <w:top w:w="0" w:type="dxa"/>
          <w:left w:w="0" w:type="dxa"/>
          <w:bottom w:w="0" w:type="dxa"/>
          <w:right w:w="0" w:type="dxa"/>
        </w:tblCellMar>
      </w:tblPr>
      <w:tr>
        <w:trPr>
          <w:trHeight w:val="223"/>
        </w:trPr>
        <w:tc>
          <w:tcPr>
            <w:tcW w:w="1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2023</w:t>
            </w:r>
          </w:p>
        </w:tc>
        <w:tc>
          <w:tcPr>
            <w:tcW w:w="13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22,060</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December 2023</w:t>
            </w: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21,070</w:t>
            </w: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2024</w:t>
            </w:r>
          </w:p>
        </w:tc>
        <w:tc>
          <w:tcPr>
            <w:tcW w:w="13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21,110</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February 2024</w:t>
            </w: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18,750</w:t>
            </w: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2024</w:t>
            </w:r>
          </w:p>
        </w:tc>
        <w:tc>
          <w:tcPr>
            <w:tcW w:w="13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16,640</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April 2024</w:t>
            </w: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19,780</w:t>
            </w:r>
          </w:p>
        </w:tc>
      </w:tr>
      <w:tr>
        <w:trPr>
          <w:trHeight w:val="229"/>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2024</w:t>
            </w:r>
          </w:p>
        </w:tc>
        <w:tc>
          <w:tcPr>
            <w:tcW w:w="13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19,660</w:t>
            </w: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June 2024</w:t>
            </w: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19,450</w:t>
            </w:r>
          </w:p>
        </w:tc>
      </w:tr>
      <w:tr>
        <w:trPr>
          <w:trHeight w:val="229"/>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2024</w:t>
            </w:r>
          </w:p>
        </w:tc>
        <w:tc>
          <w:tcPr>
            <w:tcW w:w="13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August 2024</w:t>
            </w: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22,830</w:t>
            </w: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2024</w:t>
            </w:r>
          </w:p>
        </w:tc>
        <w:tc>
          <w:tcPr>
            <w:tcW w:w="13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25,370</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October 2024</w:t>
            </w: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26,070</w:t>
            </w: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2024</w:t>
            </w:r>
          </w:p>
        </w:tc>
        <w:tc>
          <w:tcPr>
            <w:tcW w:w="13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27,640</w:t>
            </w: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December 2024</w:t>
            </w: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29,640</w:t>
            </w:r>
          </w:p>
        </w:tc>
      </w:tr>
      <w:tr>
        <w:trPr>
          <w:trHeight w:val="229"/>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2025</w:t>
            </w:r>
          </w:p>
        </w:tc>
        <w:tc>
          <w:tcPr>
            <w:tcW w:w="13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29,740</w:t>
            </w: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February 2025</w:t>
            </w: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29,850</w:t>
            </w:r>
          </w:p>
        </w:tc>
      </w:tr>
      <w:tr>
        <w:trPr>
          <w:trHeight w:val="236"/>
        </w:trPr>
        <w:tc>
          <w:tcPr>
            <w:tcW w:w="1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2025</w:t>
            </w:r>
          </w:p>
        </w:tc>
        <w:tc>
          <w:tcPr>
            <w:tcW w:w="13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29,980</w:t>
            </w:r>
          </w:p>
        </w:tc>
      </w:tr>
    </w:tbl>
    <w:p>
      <w:pPr>
        <w:spacing w:after="0" w:line="175" w:lineRule="exact"/>
        <w:rPr>
          <w:sz w:val="20"/>
          <w:szCs w:val="20"/>
          <w:color w:val="auto"/>
        </w:rPr>
      </w:pPr>
    </w:p>
    <w:p>
      <w:pPr>
        <w:ind w:left="1300" w:right="220"/>
        <w:spacing w:after="0" w:line="308" w:lineRule="auto"/>
        <w:rPr>
          <w:sz w:val="20"/>
          <w:szCs w:val="20"/>
          <w:color w:val="auto"/>
        </w:rPr>
      </w:pPr>
      <w:r>
        <w:rPr>
          <w:rFonts w:ascii="Arial" w:cs="Arial" w:eastAsia="Arial" w:hAnsi="Arial"/>
          <w:sz w:val="17"/>
          <w:szCs w:val="17"/>
          <w:color w:val="auto"/>
        </w:rPr>
        <w:t>and (ii) a minimum liquidity of $10 million (defined as the sum of a portion of eligible receivables, inventories and property, plant and equipment under the ABL Credit Facility plus domestic unrestricted and unencumbered cash and cash equivalents).</w:t>
      </w:r>
    </w:p>
    <w:p>
      <w:pPr>
        <w:spacing w:after="0" w:line="11" w:lineRule="exact"/>
        <w:rPr>
          <w:sz w:val="20"/>
          <w:szCs w:val="20"/>
          <w:color w:val="auto"/>
        </w:rPr>
      </w:pPr>
    </w:p>
    <w:p>
      <w:pPr>
        <w:ind w:left="66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Following the ABL Adjustment Date, the forgoing financial covenants will cease to exist and will be replaced with a minimum fixed charge coverage ratio of 1.00:1.00 that will be triggered in the event that availability is less than 10% of the ABL Credit Facility commitment amount and continuing thereafter until availability is greater than 10% of the ABL Credit Facility commitment amount for 30 consecutive days.</w:t>
      </w:r>
    </w:p>
    <w:p>
      <w:pPr>
        <w:spacing w:after="0" w:line="4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is targeting the execution of the Credit Agreement Amendment by the end of 2023. The agreement to consent to the Credit Agreement Amendment by the majority of the lender group members expires on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3" w:name="page24"/>
    <w:bookmarkEnd w:id="23"/>
    <w:p>
      <w:pPr>
        <w:jc w:val="right"/>
        <w:ind w:right="3620"/>
        <w:spacing w:after="0" w:line="354"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and Cautionary Statements</w:t>
      </w:r>
    </w:p>
    <w:p>
      <w:pPr>
        <w:spacing w:after="0" w:line="1"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or gain of sales to significant customers on which the Company’s business is highly dependent;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achieve sales to new customers to replace lost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develop, efficiently manufacture and deliver new products at competitive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the Company’s customers to achieve success or maintain market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protect our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of doing business in countries outside the U.S. that affect our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economic, and regulatory factors concerning the Company’s products;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 economic conditions in countries in which the Company does business, including continued high inflation and the effects of the Russian invasion of Ukraine;</w:t>
      </w: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competition from other manufacturers, including manufacturers in lower-cost countries and manufacturers benefiting from government subsidies;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 of fluctuations in foreign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increase in the operating costs incurred by the Company’s business units, including, for example, the cost of raw materials and energy;</w:t>
      </w:r>
    </w:p>
    <w:p>
      <w:pPr>
        <w:spacing w:after="0" w:line="20" w:lineRule="exact"/>
        <w:rPr>
          <w:rFonts w:ascii="Arial" w:cs="Arial" w:eastAsia="Arial" w:hAnsi="Arial"/>
          <w:sz w:val="17"/>
          <w:szCs w:val="17"/>
          <w:color w:val="auto"/>
        </w:rPr>
      </w:pPr>
    </w:p>
    <w:p>
      <w:pPr>
        <w:ind w:left="660" w:right="2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problems or delays with the implementation of an enterprise resource planning and manufacturing executions systems, or security breaches and other disruptions to the Company's information technology infrastructure;</w:t>
      </w:r>
    </w:p>
    <w:p>
      <w:pPr>
        <w:ind w:left="660" w:right="4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successfully identify, complete or integrate strategic acquisitions; failure to realize the expected benefits of such acquisitions and assumption of unanticipated risks in such acquisitions;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to the Company’s manufacturing facilities, including those resulting from labor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continue to attract, develop and retain certain key officers or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noncompliance with any of the financial and other restrictive covenants in the Company's revolving credit facility;</w:t>
      </w:r>
    </w:p>
    <w:p>
      <w:pPr>
        <w:spacing w:after="0" w:line="9"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anticipated amendment to the Credit Agreement to implement the Company’s transition to a senior secured asset-based revolving credit facility has not been finalized and remains subject to satisfactory documentation, may not be completed by the end of 2023;</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public health epidemics on employees, production and the global economy, such as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information technology system failure or breach;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imposition of tariffs and sanctions on imported aluminum ingot used by Bonnell Aluminum;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new tariffs, duties or other trade restrictions imposed as a result of trade tensions between the U.S. and other countries;</w:t>
      </w:r>
    </w:p>
    <w:p>
      <w:pPr>
        <w:spacing w:after="0" w:line="20" w:lineRule="exact"/>
        <w:rPr>
          <w:rFonts w:ascii="Arial" w:cs="Arial" w:eastAsia="Arial" w:hAnsi="Arial"/>
          <w:sz w:val="17"/>
          <w:szCs w:val="17"/>
          <w:color w:val="auto"/>
        </w:rPr>
      </w:pPr>
    </w:p>
    <w:p>
      <w:pPr>
        <w:ind w:left="660" w:right="2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successfully complete strategic dispositions, including the Contingent Terphane Sale, failure to realize the expected benefits of such dispositions and assumption of unanticipated risks in such dispositions;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termination of anti-dumping duties on products imported to Brazil that compete with products produced by Flexible Packaging;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of the Surface Protection reporting unit's goodwill;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establish and maintain effective internal control over financial reporting;</w:t>
      </w:r>
    </w:p>
    <w:p>
      <w:pPr>
        <w:spacing w:after="0" w:line="8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2022 (the “2022 Form 10-K”) and Part II, Item 1A of Tredegar's Quarterly Report on Form 10-Q for the quarter ended June 30, 2023 and this Form 10-Q. Readers are urged to review and consider carefully the disclosures Tredegar makes in its filings with the SEC.</w:t>
      </w:r>
    </w:p>
    <w:p>
      <w:pPr>
        <w:spacing w:after="0" w:line="36"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4" w:name="page25"/>
    <w:bookmarkEnd w:id="24"/>
    <w:p>
      <w:pPr>
        <w:ind w:right="500" w:firstLine="405"/>
        <w:spacing w:after="0" w:line="277" w:lineRule="auto"/>
        <w:rPr>
          <w:sz w:val="20"/>
          <w:szCs w:val="20"/>
          <w:color w:val="auto"/>
        </w:rPr>
      </w:pPr>
      <w:r>
        <w:rPr>
          <w:rFonts w:ascii="Arial" w:cs="Arial" w:eastAsia="Arial" w:hAnsi="Arial"/>
          <w:sz w:val="18"/>
          <w:szCs w:val="18"/>
          <w:color w:val="auto"/>
        </w:rPr>
        <w:t>References herein to “Tredegar,” “the Company,” “we,” “us” and “our” are to Tredegar Corporation and its subsidiaries, collectively, unless the context otherwise indicates or requires.</w:t>
      </w:r>
    </w:p>
    <w:p>
      <w:pPr>
        <w:spacing w:after="0" w:line="3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0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 in the 2022 Form 10-K have the greatest potential impact on our financial statements, so Tredegar considers these to be its critical accounting policies. Since December 31, 2022, there have been no changes in these policies or estimates that have had a material impact on our results of operations or financial position.</w:t>
      </w:r>
    </w:p>
    <w:p>
      <w:pPr>
        <w:spacing w:after="0" w:line="3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10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Tredegar Corporation is an industrial manufacturer with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2,000 employees, the Company operates manufacturing facilities in North America, South America, and Asia.</w:t>
      </w:r>
    </w:p>
    <w:p>
      <w:pPr>
        <w:spacing w:after="0" w:line="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Earnings before interest and taxes ("EBIT") from ongoing operations is a non-GAAP financial measure included in the reconciliation of segment financial information to consolidated results for the Company in Note 10.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4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Third quarter 2023 net income (loss) was $(50.4) million ($(1.47) per diluted share) compared with net income (loss) of $1.0 million ($0.03 per diluted share) in the third quarter of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 Highlights</w:t>
      </w:r>
    </w:p>
    <w:p>
      <w:pPr>
        <w:spacing w:after="0" w:line="94" w:lineRule="exact"/>
        <w:rPr>
          <w:sz w:val="20"/>
          <w:szCs w:val="20"/>
          <w:color w:val="auto"/>
        </w:rPr>
      </w:pPr>
    </w:p>
    <w:p>
      <w:pPr>
        <w:ind w:left="340" w:right="2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from ongoing operations for Aluminum Extrusions was $5.1 million in the third quarter of 2023 versus $12.1 million in the third quarter of last year due to sluggish market conditions. EBITDA from ongoing operations during the last four quarters has been weak, in a range of $5.1 million to $14.6 million.</w:t>
      </w:r>
    </w:p>
    <w:p>
      <w:pPr>
        <w:spacing w:after="0" w:line="62" w:lineRule="exact"/>
        <w:rPr>
          <w:rFonts w:ascii="Arial" w:cs="Arial" w:eastAsia="Arial" w:hAnsi="Arial"/>
          <w:sz w:val="18"/>
          <w:szCs w:val="18"/>
          <w:color w:val="auto"/>
        </w:rPr>
      </w:pPr>
    </w:p>
    <w:p>
      <w:pPr>
        <w:ind w:left="980" w:right="160" w:hanging="324"/>
        <w:spacing w:after="0" w:line="277" w:lineRule="auto"/>
        <w:tabs>
          <w:tab w:leader="none" w:pos="9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Sales volume of 32.5 million pounds in the third quarter of 2023 declined significantly versus 45.5 million pounds in the third quarter of last year.</w:t>
      </w:r>
    </w:p>
    <w:p>
      <w:pPr>
        <w:spacing w:after="0" w:line="48" w:lineRule="exact"/>
        <w:rPr>
          <w:rFonts w:ascii="Arial" w:cs="Arial" w:eastAsia="Arial" w:hAnsi="Arial"/>
          <w:sz w:val="18"/>
          <w:szCs w:val="18"/>
          <w:color w:val="auto"/>
        </w:rPr>
      </w:pPr>
    </w:p>
    <w:p>
      <w:pPr>
        <w:ind w:left="980" w:right="140" w:hanging="324"/>
        <w:spacing w:after="0" w:line="286" w:lineRule="auto"/>
        <w:tabs>
          <w:tab w:leader="none" w:pos="976" w:val="left"/>
        </w:tabs>
        <w:numPr>
          <w:ilvl w:val="1"/>
          <w:numId w:val="10"/>
        </w:numPr>
        <w:rPr>
          <w:rFonts w:ascii="Arial" w:cs="Arial" w:eastAsia="Arial" w:hAnsi="Arial"/>
          <w:sz w:val="17"/>
          <w:szCs w:val="17"/>
          <w:color w:val="auto"/>
        </w:rPr>
      </w:pPr>
      <w:r>
        <w:rPr>
          <w:rFonts w:ascii="Arial" w:cs="Arial" w:eastAsia="Arial" w:hAnsi="Arial"/>
          <w:sz w:val="17"/>
          <w:szCs w:val="17"/>
          <w:color w:val="auto"/>
        </w:rPr>
        <w:t>Open orders at the end of the third quarter of 2023 were approximately 17 million pounds (versus 20 million pounds at the end of the second quarter of 2023), which is below the quarterly range of 21 to 27 million pounds in 2019 before pandemic-related disruptions that resulted in excessive open orders, which peaked in the first quarter of 2022 at approximately 100 million pounds.</w:t>
      </w:r>
    </w:p>
    <w:p>
      <w:pPr>
        <w:spacing w:after="0" w:line="30" w:lineRule="exact"/>
        <w:rPr>
          <w:rFonts w:ascii="Arial" w:cs="Arial" w:eastAsia="Arial" w:hAnsi="Arial"/>
          <w:sz w:val="17"/>
          <w:szCs w:val="17"/>
          <w:color w:val="auto"/>
        </w:rPr>
      </w:pPr>
    </w:p>
    <w:p>
      <w:pPr>
        <w:ind w:left="340" w:right="60" w:hanging="332"/>
        <w:spacing w:after="0" w:line="308"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EBITDA from ongoing operations for PE Films was $4.0 million in the third quarter of 2023 versus $0.4 million in the third quarter of 2022. EBITDA from ongoing operations during the last four quarters has been low with a range of negative $2.6 million to positive $4.0 million.</w:t>
      </w:r>
    </w:p>
    <w:p>
      <w:pPr>
        <w:spacing w:after="0" w:line="65" w:lineRule="exact"/>
        <w:rPr>
          <w:rFonts w:ascii="Arial" w:cs="Arial" w:eastAsia="Arial" w:hAnsi="Arial"/>
          <w:sz w:val="17"/>
          <w:szCs w:val="17"/>
          <w:color w:val="auto"/>
        </w:rPr>
      </w:pPr>
    </w:p>
    <w:p>
      <w:pPr>
        <w:ind w:left="340" w:right="120" w:hanging="332"/>
        <w:spacing w:after="0" w:line="259" w:lineRule="auto"/>
        <w:tabs>
          <w:tab w:leader="none" w:pos="335" w:val="left"/>
        </w:tabs>
        <w:numPr>
          <w:ilvl w:val="0"/>
          <w:numId w:val="10"/>
        </w:numPr>
        <w:rPr>
          <w:rFonts w:ascii="Arial" w:cs="Arial" w:eastAsia="Arial" w:hAnsi="Arial"/>
          <w:sz w:val="21"/>
          <w:szCs w:val="21"/>
          <w:color w:val="auto"/>
        </w:rPr>
      </w:pPr>
      <w:r>
        <w:rPr>
          <w:rFonts w:ascii="Arial" w:cs="Arial" w:eastAsia="Arial" w:hAnsi="Arial"/>
          <w:sz w:val="17"/>
          <w:szCs w:val="17"/>
          <w:color w:val="auto"/>
        </w:rPr>
        <w:t xml:space="preserve">EBITDA from ongoing operations for Flexible Packaging Films (also referred to as "Terphane") was $0.5 million during the third quarter of 2023 versus $7.8 million in the third quarter of 2022 primarily due to lower sales volume and lower margins that the Company believes were driven by customer inventory corrections earlier in the year and now are being driven by global excess capacity and competition in Brazil from imports. See the </w:t>
      </w:r>
      <w:r>
        <w:rPr>
          <w:rFonts w:ascii="Arial" w:cs="Arial" w:eastAsia="Arial" w:hAnsi="Arial"/>
          <w:sz w:val="17"/>
          <w:szCs w:val="17"/>
          <w:i w:val="1"/>
          <w:iCs w:val="1"/>
          <w:color w:val="auto"/>
        </w:rPr>
        <w:t xml:space="preserve">Status of Current Corporate Strategic Initiatives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Results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below for information on the planned sale of Terphane.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ind w:right="20" w:firstLine="405"/>
        <w:spacing w:after="0" w:line="255" w:lineRule="auto"/>
        <w:rPr>
          <w:sz w:val="20"/>
          <w:szCs w:val="20"/>
          <w:color w:val="auto"/>
        </w:rPr>
      </w:pPr>
      <w:r>
        <w:rPr>
          <w:rFonts w:ascii="Arial" w:cs="Arial" w:eastAsia="Arial" w:hAnsi="Arial"/>
          <w:sz w:val="18"/>
          <w:szCs w:val="18"/>
          <w:color w:val="auto"/>
        </w:rPr>
        <w:t xml:space="preserve">The Company recognized a net loss for the third quarter of 2023, with all business segments continuing to suffer from severe down cycles in their respective markets, which the Company believes can be traced to the residual impact of the pandemic. The timing of recovery for our businesses remains uncertain. The Company has made progress in corporate strategic initiatives, which include: entering a definitive agreement to sell Terphane, as announced on September 1, 2023; partial pension plan obligation settlement, with the final settlement expected to be complete in November 2023; and taking steps to restructure its revolving credit facility by investigating asset based revolving credit facilities. See the </w:t>
      </w:r>
      <w:r>
        <w:rPr>
          <w:rFonts w:ascii="Arial" w:cs="Arial" w:eastAsia="Arial" w:hAnsi="Arial"/>
          <w:sz w:val="18"/>
          <w:szCs w:val="18"/>
          <w:i w:val="1"/>
          <w:iCs w:val="1"/>
          <w:color w:val="auto"/>
        </w:rPr>
        <w:t>Status of Current Corporate Strategic Initiatives</w:t>
      </w:r>
      <w:r>
        <w:rPr>
          <w:rFonts w:ascii="Arial" w:cs="Arial" w:eastAsia="Arial" w:hAnsi="Arial"/>
          <w:sz w:val="18"/>
          <w:szCs w:val="18"/>
          <w:color w:val="auto"/>
        </w:rPr>
        <w:t xml:space="preserve"> in </w:t>
      </w: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color w:val="auto"/>
        </w:rPr>
        <w:t>below.</w:t>
      </w:r>
    </w:p>
    <w:p>
      <w:pPr>
        <w:spacing w:after="0" w:line="5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 xml:space="preserve">For information related to other losses related to asset impairments and costs associated with exit and disposal activities for the three and nine months ended September 30, 2023 and 2022, see Note 1. Gains and losses associated with plant shutdowns, asset impairments, restructurings and other items are described in </w:t>
      </w:r>
      <w:r>
        <w:rPr>
          <w:rFonts w:ascii="Arial" w:cs="Arial" w:eastAsia="Arial" w:hAnsi="Arial"/>
          <w:sz w:val="18"/>
          <w:szCs w:val="18"/>
          <w:b w:val="1"/>
          <w:bCs w:val="1"/>
          <w:i w:val="1"/>
          <w:iCs w:val="1"/>
          <w:color w:val="auto"/>
        </w:rPr>
        <w:t>Results of Operations</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26" w:name="page27"/>
    <w:bookmarkEnd w:id="26"/>
    <w:p>
      <w:pPr>
        <w:jc w:val="center"/>
        <w:ind w:left="40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Third Quarter of 2023 Compared with the Third Quarter of 2022</w:t>
      </w:r>
    </w:p>
    <w:p>
      <w:pPr>
        <w:spacing w:after="0" w:line="10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presents a bridge of consolidated net income (loss) from the third quarter of 2022 to the third quarter of 2023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the three months ended September 30, 2022</w:t>
            </w:r>
          </w:p>
        </w:tc>
        <w:tc>
          <w:tcPr>
            <w:tcW w:w="2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29"/>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for the three months ended September 30, 2022</w:t>
            </w:r>
          </w:p>
        </w:tc>
        <w:tc>
          <w:tcPr>
            <w:tcW w:w="2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Increase (decrease) in income from increases (decreases) in the following items:</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2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(72,294)</w:t>
            </w:r>
          </w:p>
        </w:tc>
      </w:tr>
      <w:tr>
        <w:trPr>
          <w:trHeight w:val="229"/>
        </w:trPr>
        <w:tc>
          <w:tcPr>
            <w:tcW w:w="8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income (expense), net</w:t>
            </w:r>
          </w:p>
        </w:tc>
        <w:tc>
          <w:tcPr>
            <w:tcW w:w="2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(72,485)</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Increase (decrease) in income from (increases) decreases in the following items:</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2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56,043</w:t>
            </w:r>
          </w:p>
        </w:tc>
      </w:tr>
      <w:tr>
        <w:trPr>
          <w:trHeight w:val="230"/>
        </w:trPr>
        <w:tc>
          <w:tcPr>
            <w:tcW w:w="8060" w:type="dxa"/>
            <w:vAlign w:val="bottom"/>
          </w:tcPr>
          <w:p>
            <w:pPr>
              <w:ind w:left="240"/>
              <w:spacing w:after="0"/>
              <w:rPr>
                <w:sz w:val="20"/>
                <w:szCs w:val="20"/>
                <w:color w:val="auto"/>
              </w:rPr>
            </w:pPr>
            <w:r>
              <w:rPr>
                <w:rFonts w:ascii="Arial" w:cs="Arial" w:eastAsia="Arial" w:hAnsi="Arial"/>
                <w:sz w:val="18"/>
                <w:szCs w:val="18"/>
                <w:color w:val="auto"/>
              </w:rPr>
              <w:t>Freight</w:t>
            </w:r>
          </w:p>
        </w:tc>
        <w:tc>
          <w:tcPr>
            <w:tcW w:w="2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2,767</w:t>
            </w: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r>
      <w:tr>
        <w:trPr>
          <w:trHeight w:val="230"/>
        </w:trPr>
        <w:tc>
          <w:tcPr>
            <w:tcW w:w="8060" w:type="dxa"/>
            <w:vAlign w:val="bottom"/>
          </w:tcPr>
          <w:p>
            <w:pPr>
              <w:ind w:left="240"/>
              <w:spacing w:after="0"/>
              <w:rPr>
                <w:sz w:val="20"/>
                <w:szCs w:val="20"/>
                <w:color w:val="auto"/>
              </w:rPr>
            </w:pPr>
            <w:r>
              <w:rPr>
                <w:rFonts w:ascii="Arial" w:cs="Arial" w:eastAsia="Arial" w:hAnsi="Arial"/>
                <w:sz w:val="18"/>
                <w:szCs w:val="18"/>
                <w:color w:val="auto"/>
              </w:rPr>
              <w:t>Pension settlement loss</w:t>
            </w:r>
          </w:p>
        </w:tc>
        <w:tc>
          <w:tcPr>
            <w:tcW w:w="2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(25,612)</w:t>
            </w: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impairment</w:t>
            </w:r>
          </w:p>
        </w:tc>
        <w:tc>
          <w:tcPr>
            <w:tcW w:w="2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w:t>
            </w:r>
          </w:p>
        </w:tc>
      </w:tr>
      <w:tr>
        <w:trPr>
          <w:trHeight w:val="229"/>
        </w:trPr>
        <w:tc>
          <w:tcPr>
            <w:tcW w:w="8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w:t>
            </w:r>
          </w:p>
        </w:tc>
      </w:tr>
      <w:tr>
        <w:trPr>
          <w:trHeight w:val="223"/>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Income (loss) before income taxes for the three months ended September 30, 2023</w:t>
            </w:r>
          </w:p>
        </w:tc>
        <w:tc>
          <w:tcPr>
            <w:tcW w:w="2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(63,687)</w:t>
            </w: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(13,307)</w:t>
            </w:r>
          </w:p>
        </w:tc>
      </w:tr>
      <w:tr>
        <w:trPr>
          <w:trHeight w:val="23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for the three months ended September 30, 2023</w:t>
            </w:r>
          </w:p>
        </w:tc>
        <w:tc>
          <w:tcPr>
            <w:tcW w:w="2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(50,380)</w:t>
            </w:r>
          </w:p>
        </w:tc>
      </w:tr>
    </w:tbl>
    <w:p>
      <w:pPr>
        <w:spacing w:after="0" w:line="16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 xml:space="preserve">Sales in the third quarter of 2023 decreased by $72.3 million compared with the third quarter of 2022. Net sales (sales less freight) in Aluminum Extrusions decreased $52.2 million, primarily due to lower sales volume and the pass-through of lower metal costs. Net sales in PE Films was relatively flat, primarily due unfavorable product mix, offset by increased volume. Net sales in Flexible Packaging Films decreased $17.2 million, primarily due to lower sales volume and lower selling prices that the Company believes are from excess offers in the market, driven by excess global capacity and competition in Brazil from imports, and the pass-through of lower resin costs. For more information on net sales and volume, see the </w:t>
      </w:r>
      <w:r>
        <w:rPr>
          <w:rFonts w:ascii="Arial" w:cs="Arial" w:eastAsia="Arial" w:hAnsi="Arial"/>
          <w:sz w:val="18"/>
          <w:szCs w:val="18"/>
          <w:b w:val="1"/>
          <w:bCs w:val="1"/>
          <w:i w:val="1"/>
          <w:iCs w:val="1"/>
          <w:color w:val="auto"/>
        </w:rPr>
        <w:t>Segment Operations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below.</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income (expense), net for the third quarter of 2023 remained consistent with the third quarter of 2022. See Note 5 for additional information.</w:t>
      </w:r>
    </w:p>
    <w:p>
      <w:pPr>
        <w:spacing w:after="0" w:line="113" w:lineRule="exact"/>
        <w:rPr>
          <w:sz w:val="20"/>
          <w:szCs w:val="20"/>
          <w:color w:val="auto"/>
        </w:rPr>
      </w:pPr>
    </w:p>
    <w:p>
      <w:pPr>
        <w:ind w:right="200" w:firstLine="405"/>
        <w:spacing w:after="0" w:line="270" w:lineRule="auto"/>
        <w:rPr>
          <w:sz w:val="20"/>
          <w:szCs w:val="20"/>
          <w:color w:val="auto"/>
        </w:rPr>
      </w:pPr>
      <w:r>
        <w:rPr>
          <w:rFonts w:ascii="Arial" w:cs="Arial" w:eastAsia="Arial" w:hAnsi="Arial"/>
          <w:sz w:val="17"/>
          <w:szCs w:val="17"/>
          <w:color w:val="auto"/>
        </w:rPr>
        <w:t>Consolidated gross profit (sales minus cost of goods sold and freight) as a percentage of sales (gross profit margin) was 9.0% in the third quarter of 2023 compared to 11.9% in the third quarter of 2022. The gross profit margin in Aluminum Extrusions decreased primarily due to lower sales volume, higher labor and employee-related costs, lower pricing and higher supply expense associated with inflationary costs, partially offset by lower utility costs and lower freight rates. Additionally, the timing of the flow through under the first-in first-out method of aluminum raw material costs passed through to customers, previously acquired at higher prices in a quickly changing commodity pricing environment, resulted in a charge of $1.2 million in the third quarter of 2023 versus a charge of $3.8 million in the third quarter of 2022. The gross profit margin in PE Films increased due to a higher Surface Protection contribution margin associated with favorable pricing and operating efficiencies and cost improvements associated with overwrap films. The gross profit margin in Flexible Packaging Films decreased primarily due to lower selling prices and lower sales volume, partially offset by lower raw material costs and lower fixed costs.</w:t>
      </w:r>
    </w:p>
    <w:p>
      <w:pPr>
        <w:spacing w:after="0" w:line="59"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As a percentage of sales, selling, general and administrative (“SG&amp;A”) and research and development ("R&amp;D") expenses were 13.3% in the third quarter of 2023 compared with 8.6% in the third quarter of 2022. While third quarter SG&amp;A expenses and sales increased year-over-year, R&amp;D expenses decreased due to lower R&amp;D spend as a result of the PE Films technical center closure. Higher SG&amp;A spending is primarily due to higher professional fees associated with business development activities, partially offset by lower employee-related compensation and lower stock-based compensation.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right="200" w:firstLine="405"/>
        <w:spacing w:after="0" w:line="238" w:lineRule="auto"/>
        <w:rPr>
          <w:sz w:val="20"/>
          <w:szCs w:val="20"/>
          <w:color w:val="auto"/>
        </w:rPr>
      </w:pPr>
      <w:r>
        <w:rPr>
          <w:rFonts w:ascii="Arial" w:cs="Arial" w:eastAsia="Arial" w:hAnsi="Arial"/>
          <w:sz w:val="18"/>
          <w:szCs w:val="18"/>
          <w:color w:val="auto"/>
        </w:rPr>
        <w:t xml:space="preserve">During the third quarter of 2023, the Company remeasured the pension plan, which resulted in a pre-tax pension settlement loss in the condensed consolidated results of operation of $25.6 million. The remeasurement of the pension benefit obligation and plan assets was triggered by $64.5 million of lump sum distributions from the pension plan assets which exceeded the pension plan's service and interest cost. See the </w:t>
      </w:r>
      <w:r>
        <w:rPr>
          <w:rFonts w:ascii="Arial" w:cs="Arial" w:eastAsia="Arial" w:hAnsi="Arial"/>
          <w:sz w:val="18"/>
          <w:szCs w:val="18"/>
          <w:i w:val="1"/>
          <w:iCs w:val="1"/>
          <w:color w:val="auto"/>
        </w:rPr>
        <w:t>Status of Current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Strategic Initiatives </w:t>
      </w:r>
      <w:r>
        <w:rPr>
          <w:rFonts w:ascii="Arial" w:cs="Arial" w:eastAsia="Arial" w:hAnsi="Arial"/>
          <w:sz w:val="18"/>
          <w:szCs w:val="18"/>
          <w:color w:val="auto"/>
        </w:rPr>
        <w:t>below for more information.</w:t>
      </w:r>
    </w:p>
    <w:p>
      <w:pPr>
        <w:spacing w:after="0" w:line="83"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 xml:space="preserve">In the third quarter of 2023, a non-cash partial goodwill impairment of $19.5 million was recognized, see the PE Films section in </w:t>
      </w:r>
      <w:r>
        <w:rPr>
          <w:rFonts w:ascii="Arial" w:cs="Arial" w:eastAsia="Arial" w:hAnsi="Arial"/>
          <w:sz w:val="18"/>
          <w:szCs w:val="18"/>
          <w:b w:val="1"/>
          <w:bCs w:val="1"/>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Operations Review </w:t>
      </w:r>
      <w:r>
        <w:rPr>
          <w:rFonts w:ascii="Arial" w:cs="Arial" w:eastAsia="Arial" w:hAnsi="Arial"/>
          <w:sz w:val="18"/>
          <w:szCs w:val="18"/>
          <w:color w:val="auto"/>
        </w:rPr>
        <w:t>below for more information.</w:t>
      </w:r>
    </w:p>
    <w:p>
      <w:pPr>
        <w:spacing w:after="0" w:line="49"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Other expenses increased to $4.7 million during the third quarter of 2023 due to the closure of the PE Films technical center in Richmond, Virginia and higher interest expense due to higher average debt levels and interest rates. See Note 1 and Note 12 for additional information.</w:t>
      </w:r>
    </w:p>
    <w:p>
      <w:pPr>
        <w:spacing w:after="0" w:line="1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effective tax rate used to compute income taxes for the third quarter of 2023 was 20.9%, compared to 52.6% in the third quarter of 2022. The change in the effective tax rate is primarily due to a pre-tax loss in the three months ending September 30, 2023 versus pre-tax income in the three months ending September 30, 2022, and tax benefits related to the goodwill impairment, the pension settlement loss, and the treatment of Brazil income tax as creditable in the nine months ended September 30, 2023. See Note 9 for additional information.</w:t>
      </w:r>
    </w:p>
    <w:p>
      <w:pPr>
        <w:spacing w:after="0" w:line="50"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Pre-tax gains and losses associated with plant shutdowns, asset impairments, restructurings and other items for the third quarters of 2023 and 2022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194"/>
        </w:trPr>
        <w:tc>
          <w:tcPr>
            <w:tcW w:w="8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3"/>
          </w:tcPr>
          <w:p>
            <w:pPr>
              <w:jc w:val="right"/>
              <w:ind w:right="250"/>
              <w:spacing w:after="0" w:line="195" w:lineRule="exact"/>
              <w:rPr>
                <w:sz w:val="20"/>
                <w:szCs w:val="20"/>
                <w:color w:val="auto"/>
              </w:rPr>
            </w:pPr>
            <w:r>
              <w:rPr>
                <w:rFonts w:ascii="Arial" w:cs="Arial" w:eastAsia="Arial" w:hAnsi="Arial"/>
                <w:sz w:val="18"/>
                <w:szCs w:val="18"/>
                <w:color w:val="auto"/>
                <w:w w:val="96"/>
              </w:rPr>
              <w:t>Three Months Ended</w:t>
            </w:r>
          </w:p>
        </w:tc>
      </w:tr>
      <w:tr>
        <w:trPr>
          <w:trHeight w:val="230"/>
        </w:trPr>
        <w:tc>
          <w:tcPr>
            <w:tcW w:w="8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3"/>
          </w:tcPr>
          <w:p>
            <w:pPr>
              <w:jc w:val="right"/>
              <w:ind w:right="490"/>
              <w:spacing w:after="0"/>
              <w:rPr>
                <w:sz w:val="20"/>
                <w:szCs w:val="20"/>
                <w:color w:val="auto"/>
              </w:rPr>
            </w:pPr>
            <w:r>
              <w:rPr>
                <w:rFonts w:ascii="Arial" w:cs="Arial" w:eastAsia="Arial" w:hAnsi="Arial"/>
                <w:sz w:val="18"/>
                <w:szCs w:val="18"/>
                <w:color w:val="auto"/>
              </w:rPr>
              <w:t>September 30,</w:t>
            </w:r>
          </w:p>
        </w:tc>
      </w:tr>
      <w:tr>
        <w:trPr>
          <w:trHeight w:val="242"/>
        </w:trPr>
        <w:tc>
          <w:tcPr>
            <w:tcW w:w="8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20" w:type="dxa"/>
            <w:vAlign w:val="bottom"/>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restructuring costs - severance</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20" w:type="dxa"/>
            <w:vAlign w:val="bottom"/>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Consulting expenses for ERP/MES project</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20" w:type="dxa"/>
            <w:vAlign w:val="bottom"/>
            <w:tcBorders>
              <w:bottom w:val="single" w:sz="8" w:color="auto"/>
            </w:tcBorders>
          </w:tcPr>
          <w:p>
            <w:pPr>
              <w:ind w:left="460"/>
              <w:spacing w:after="0" w:line="230" w:lineRule="exact"/>
              <w:rPr>
                <w:sz w:val="20"/>
                <w:szCs w:val="20"/>
                <w:color w:val="auto"/>
              </w:rPr>
            </w:pPr>
            <w:r>
              <w:rPr>
                <w:rFonts w:ascii="Arial" w:cs="Arial" w:eastAsia="Arial" w:hAnsi="Arial"/>
                <w:sz w:val="18"/>
                <w:szCs w:val="18"/>
                <w:color w:val="auto"/>
              </w:rPr>
              <w:t>Storm damage to the Newnan, Georgia plant</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Aluminum Extrusions</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PE Films: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20" w:type="dxa"/>
            <w:vAlign w:val="bottom"/>
          </w:tcPr>
          <w:p>
            <w:pPr>
              <w:ind w:left="360"/>
              <w:spacing w:after="0" w:line="230" w:lineRule="exact"/>
              <w:rPr>
                <w:sz w:val="20"/>
                <w:szCs w:val="20"/>
                <w:color w:val="auto"/>
              </w:rPr>
            </w:pPr>
            <w:r>
              <w:rPr>
                <w:rFonts w:ascii="Arial" w:cs="Arial" w:eastAsia="Arial" w:hAnsi="Arial"/>
                <w:sz w:val="18"/>
                <w:szCs w:val="18"/>
                <w:color w:val="auto"/>
              </w:rPr>
              <w:t>Write-down of Richmond, Virginia Technical Center assets</w:t>
            </w:r>
            <w:r>
              <w:rPr>
                <w:rFonts w:ascii="Arial" w:cs="Arial" w:eastAsia="Arial" w:hAnsi="Arial"/>
                <w:sz w:val="23"/>
                <w:szCs w:val="23"/>
                <w:color w:val="auto"/>
                <w:vertAlign w:val="superscript"/>
              </w:rPr>
              <w:t>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Richmond, Virginia Technical Center closure expenses</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20" w:type="dxa"/>
            <w:vAlign w:val="bottom"/>
          </w:tcPr>
          <w:p>
            <w:pPr>
              <w:ind w:left="360"/>
              <w:spacing w:after="0"/>
              <w:rPr>
                <w:sz w:val="20"/>
                <w:szCs w:val="20"/>
                <w:color w:val="auto"/>
              </w:rPr>
            </w:pPr>
            <w:r>
              <w:rPr>
                <w:rFonts w:ascii="Arial" w:cs="Arial" w:eastAsia="Arial" w:hAnsi="Arial"/>
                <w:sz w:val="18"/>
                <w:szCs w:val="18"/>
                <w:color w:val="auto"/>
              </w:rPr>
              <w:t>Other restructuring costs - severance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for PE Films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Professional fees associated with business development activities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20" w:type="dxa"/>
            <w:vAlign w:val="bottom"/>
          </w:tcPr>
          <w:p>
            <w:pPr>
              <w:ind w:left="360"/>
              <w:spacing w:after="0" w:line="230" w:lineRule="exact"/>
              <w:rPr>
                <w:sz w:val="20"/>
                <w:szCs w:val="20"/>
                <w:color w:val="auto"/>
              </w:rPr>
            </w:pPr>
            <w:r>
              <w:rPr>
                <w:rFonts w:ascii="Arial" w:cs="Arial" w:eastAsia="Arial" w:hAnsi="Arial"/>
                <w:sz w:val="18"/>
                <w:szCs w:val="18"/>
                <w:color w:val="auto"/>
              </w:rPr>
              <w:t>Professional fees associated with remediation activities related to internal control over financial reporting</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175"/>
        </w:trPr>
        <w:tc>
          <w:tcPr>
            <w:tcW w:w="89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Stock-based compensation expense associated with the fair value remeasurement of awards granted at the time of the</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8920" w:type="dxa"/>
            <w:vAlign w:val="bottom"/>
            <w:shd w:val="clear" w:color="auto" w:fill="CCEEFF"/>
          </w:tcPr>
          <w:p>
            <w:pPr>
              <w:ind w:left="360"/>
              <w:spacing w:after="0" w:line="243" w:lineRule="exact"/>
              <w:rPr>
                <w:sz w:val="20"/>
                <w:szCs w:val="20"/>
                <w:color w:val="auto"/>
              </w:rPr>
            </w:pPr>
            <w:r>
              <w:rPr>
                <w:rFonts w:ascii="Arial" w:cs="Arial" w:eastAsia="Arial" w:hAnsi="Arial"/>
                <w:sz w:val="18"/>
                <w:szCs w:val="18"/>
                <w:color w:val="auto"/>
              </w:rPr>
              <w:t>2020 special dividend</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920" w:type="dxa"/>
            <w:vAlign w:val="bottom"/>
          </w:tcPr>
          <w:p>
            <w:pPr>
              <w:ind w:left="140"/>
              <w:spacing w:after="0" w:line="230" w:lineRule="exact"/>
              <w:rPr>
                <w:sz w:val="20"/>
                <w:szCs w:val="20"/>
                <w:color w:val="auto"/>
              </w:rPr>
            </w:pPr>
            <w:r>
              <w:rPr>
                <w:rFonts w:ascii="Arial" w:cs="Arial" w:eastAsia="Arial" w:hAnsi="Arial"/>
                <w:sz w:val="18"/>
                <w:szCs w:val="18"/>
                <w:color w:val="auto"/>
              </w:rPr>
              <w:t>Net periodic benefit cost for the frozen defined benefit pension plan in process of termination</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92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Pension settlement loss</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920" w:type="dxa"/>
            <w:vAlign w:val="bottom"/>
          </w:tcPr>
          <w:p>
            <w:pPr>
              <w:ind w:left="20"/>
              <w:spacing w:after="0"/>
              <w:rPr>
                <w:sz w:val="20"/>
                <w:szCs w:val="20"/>
                <w:color w:val="auto"/>
              </w:rPr>
            </w:pPr>
            <w:r>
              <w:rPr>
                <w:rFonts w:ascii="Arial" w:cs="Arial" w:eastAsia="Arial" w:hAnsi="Arial"/>
                <w:sz w:val="18"/>
                <w:szCs w:val="18"/>
                <w:color w:val="auto"/>
              </w:rPr>
              <w:t>Total for Corporate</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80" w:hanging="154"/>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“Selling, general and administrative expenses” in the condensed consolidated statements of income.</w:t>
      </w:r>
    </w:p>
    <w:p>
      <w:pPr>
        <w:ind w:left="180" w:hanging="154"/>
        <w:spacing w:after="0" w:line="211"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“Status of Current Corporate Strategic Initiatives” below and Note 4 for additional information.</w:t>
      </w:r>
    </w:p>
    <w:p>
      <w:pPr>
        <w:ind w:left="180" w:hanging="154"/>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more information, see "PE Films" section below.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color w:val="auto"/>
        </w:rPr>
        <w:t>Average debt outstanding and interest rates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332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color w:val="auto"/>
                <w:w w:val="95"/>
              </w:rPr>
              <w:t>Three Months Ended September 30,</w:t>
            </w:r>
          </w:p>
        </w:tc>
      </w:tr>
      <w:tr>
        <w:trPr>
          <w:trHeight w:val="230"/>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percentages)</w:t>
            </w:r>
          </w:p>
        </w:tc>
        <w:tc>
          <w:tcPr>
            <w:tcW w:w="1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Floating-rate debt with interest charged on a rollover basis plus a credit spread:</w:t>
            </w:r>
          </w:p>
        </w:tc>
        <w:tc>
          <w:tcPr>
            <w:tcW w:w="1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6680" w:type="dxa"/>
            <w:vAlign w:val="bottom"/>
          </w:tcPr>
          <w:p>
            <w:pPr>
              <w:ind w:left="360"/>
              <w:spacing w:after="0"/>
              <w:rPr>
                <w:sz w:val="20"/>
                <w:szCs w:val="20"/>
                <w:color w:val="auto"/>
              </w:rPr>
            </w:pPr>
            <w:r>
              <w:rPr>
                <w:rFonts w:ascii="Arial" w:cs="Arial" w:eastAsia="Arial" w:hAnsi="Arial"/>
                <w:sz w:val="18"/>
                <w:szCs w:val="18"/>
                <w:color w:val="auto"/>
              </w:rPr>
              <w:t>Average outstanding debt balance</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138.2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111.1</w:t>
            </w: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interest rate</w:t>
            </w:r>
          </w:p>
        </w:tc>
        <w:tc>
          <w:tcPr>
            <w:tcW w:w="1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First Nine Months of 2023 Compared with the First Nine Months of 2022</w:t>
      </w:r>
    </w:p>
    <w:p>
      <w:pPr>
        <w:spacing w:after="0" w:line="10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presents a bridge of consolidated net income (loss) from the first nine months of 2022 to the first nine months of 2023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the nine months ended September 30, 2022</w:t>
            </w:r>
          </w:p>
        </w:tc>
        <w:tc>
          <w:tcPr>
            <w:tcW w:w="2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32,322</w:t>
            </w:r>
          </w:p>
        </w:tc>
      </w:tr>
      <w:tr>
        <w:trPr>
          <w:trHeight w:val="230"/>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7,460</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for the nine months ended September 30, 2022</w:t>
            </w:r>
          </w:p>
        </w:tc>
        <w:tc>
          <w:tcPr>
            <w:tcW w:w="2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39,782</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Increase (decrease) in income from increases (decreases) in the following items:</w:t>
            </w:r>
          </w:p>
        </w:tc>
        <w:tc>
          <w:tcPr>
            <w:tcW w:w="2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2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(213,934)</w:t>
            </w:r>
          </w:p>
        </w:tc>
      </w:tr>
      <w:tr>
        <w:trPr>
          <w:trHeight w:val="229"/>
        </w:trPr>
        <w:tc>
          <w:tcPr>
            <w:tcW w:w="8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income (expense), net</w:t>
            </w:r>
          </w:p>
        </w:tc>
        <w:tc>
          <w:tcPr>
            <w:tcW w:w="2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(214,905)</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Increase (decrease) in income from (increases) decreases in the following items:</w:t>
            </w:r>
          </w:p>
        </w:tc>
        <w:tc>
          <w:tcPr>
            <w:tcW w:w="2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2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144,598</w:t>
            </w:r>
          </w:p>
        </w:tc>
      </w:tr>
      <w:tr>
        <w:trPr>
          <w:trHeight w:val="229"/>
        </w:trPr>
        <w:tc>
          <w:tcPr>
            <w:tcW w:w="8040" w:type="dxa"/>
            <w:vAlign w:val="bottom"/>
          </w:tcPr>
          <w:p>
            <w:pPr>
              <w:ind w:left="240"/>
              <w:spacing w:after="0"/>
              <w:rPr>
                <w:sz w:val="20"/>
                <w:szCs w:val="20"/>
                <w:color w:val="auto"/>
              </w:rPr>
            </w:pPr>
            <w:r>
              <w:rPr>
                <w:rFonts w:ascii="Arial" w:cs="Arial" w:eastAsia="Arial" w:hAnsi="Arial"/>
                <w:sz w:val="18"/>
                <w:szCs w:val="18"/>
                <w:color w:val="auto"/>
              </w:rPr>
              <w:t>Freight</w:t>
            </w:r>
          </w:p>
        </w:tc>
        <w:tc>
          <w:tcPr>
            <w:tcW w:w="2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8,642</w:t>
            </w:r>
          </w:p>
        </w:tc>
      </w:tr>
      <w:tr>
        <w:trPr>
          <w:trHeight w:val="229"/>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30"/>
        </w:trPr>
        <w:tc>
          <w:tcPr>
            <w:tcW w:w="8040" w:type="dxa"/>
            <w:vAlign w:val="bottom"/>
          </w:tcPr>
          <w:p>
            <w:pPr>
              <w:ind w:left="240"/>
              <w:spacing w:after="0"/>
              <w:rPr>
                <w:sz w:val="20"/>
                <w:szCs w:val="20"/>
                <w:color w:val="auto"/>
              </w:rPr>
            </w:pPr>
            <w:r>
              <w:rPr>
                <w:rFonts w:ascii="Arial" w:cs="Arial" w:eastAsia="Arial" w:hAnsi="Arial"/>
                <w:sz w:val="18"/>
                <w:szCs w:val="18"/>
                <w:color w:val="auto"/>
              </w:rPr>
              <w:t>Pension settlement loss</w:t>
            </w:r>
          </w:p>
        </w:tc>
        <w:tc>
          <w:tcPr>
            <w:tcW w:w="2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(25,612)</w:t>
            </w:r>
          </w:p>
        </w:tc>
      </w:tr>
      <w:tr>
        <w:trPr>
          <w:trHeight w:val="229"/>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impairment</w:t>
            </w:r>
          </w:p>
        </w:tc>
        <w:tc>
          <w:tcPr>
            <w:tcW w:w="2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w:t>
            </w:r>
          </w:p>
        </w:tc>
      </w:tr>
      <w:tr>
        <w:trPr>
          <w:trHeight w:val="230"/>
        </w:trPr>
        <w:tc>
          <w:tcPr>
            <w:tcW w:w="8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w:t>
            </w: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88,502</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Income (loss) before income taxes for the nine months ended September 30, 2023</w:t>
            </w:r>
          </w:p>
        </w:tc>
        <w:tc>
          <w:tcPr>
            <w:tcW w:w="2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(86,621)</w:t>
            </w:r>
          </w:p>
        </w:tc>
      </w:tr>
      <w:tr>
        <w:trPr>
          <w:trHeight w:val="230"/>
        </w:trPr>
        <w:tc>
          <w:tcPr>
            <w:tcW w:w="8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(16,307)</w:t>
            </w:r>
          </w:p>
        </w:tc>
      </w:tr>
      <w:tr>
        <w:trPr>
          <w:trHeight w:val="230"/>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for the nine months ended September 30, 2023</w:t>
            </w:r>
          </w:p>
        </w:tc>
        <w:tc>
          <w:tcPr>
            <w:tcW w:w="2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(70,314)</w:t>
            </w:r>
          </w:p>
        </w:tc>
      </w:tr>
    </w:tbl>
    <w:p>
      <w:pPr>
        <w:spacing w:after="0" w:line="17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 xml:space="preserve">Sales in the first nine months of 2023 decreased by $213.9 million compared with the first nine months of 2022. Net sales (sales less freight) in Aluminum Extrusions decreased $145.5 million, primarily due to lower sales volume and the pass-through of lower metal costs, partially offset by an increase in prices to cover higher operating costs during the first half of 2023. Net sales in PE Films decreased $26.6 million, primarily due to a decrease in sales volume in Surface Protection, resulting from weak demand in the consumer electronics market and customer inventory corrections in the first six months of 2023. Net sales in Flexible Packaging Films decreased $33.3 million, primarily due to lower sales volume and lower selling prices that the Company believes were mainly driven by customer inventory corrections earlier in the year and now are driven by excess offers in the market from global excess capacity and competition in Brazil from imports, and the pass-through of lower resin costs, partially offset by favorable product mix. For more information on net sales and volume, see the </w:t>
      </w:r>
      <w:r>
        <w:rPr>
          <w:rFonts w:ascii="Arial" w:cs="Arial" w:eastAsia="Arial" w:hAnsi="Arial"/>
          <w:sz w:val="17"/>
          <w:szCs w:val="17"/>
          <w:b w:val="1"/>
          <w:bCs w:val="1"/>
          <w:i w:val="1"/>
          <w:iCs w:val="1"/>
          <w:color w:val="auto"/>
        </w:rPr>
        <w:t>Segment Operations Review</w:t>
      </w:r>
      <w:r>
        <w:rPr>
          <w:rFonts w:ascii="Arial" w:cs="Arial" w:eastAsia="Arial" w:hAnsi="Arial"/>
          <w:sz w:val="17"/>
          <w:szCs w:val="17"/>
          <w:color w:val="auto"/>
        </w:rPr>
        <w:t xml:space="preserve"> below.</w:t>
      </w:r>
    </w:p>
    <w:p>
      <w:pPr>
        <w:spacing w:after="0" w:line="4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Other income (expense), net was $0.2 million in the first nine months of 2023 compared to other income (expense), net of $1.2 million in the first nine months of 2022. The change in other income (expense), net is primarily due to cash consideration of $0.3 million received in January 2023 compared to $1.4 million received in May 2022 related to the customary post-closing adjustments on the sale of the investment in kaléo, which was sold in December 2021. See Note 5 for additional information.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ind w:firstLine="405"/>
        <w:spacing w:after="0" w:line="269" w:lineRule="auto"/>
        <w:rPr>
          <w:sz w:val="20"/>
          <w:szCs w:val="20"/>
          <w:color w:val="auto"/>
        </w:rPr>
      </w:pPr>
      <w:r>
        <w:rPr>
          <w:rFonts w:ascii="Arial" w:cs="Arial" w:eastAsia="Arial" w:hAnsi="Arial"/>
          <w:sz w:val="17"/>
          <w:szCs w:val="17"/>
          <w:color w:val="auto"/>
        </w:rPr>
        <w:t>Consolidated gross profit (sales minus cost of goods sold and freight) as a percentage of sales (gross profit margin) was 10.9% in the first nine months of 2023 compared to 15.9% in the first nine months of 2022. The gross profit margin in Aluminum Extrusions decreased primarily due to lower sales volume, higher labor and employee-related costs and higher supply expense, including higher paint expense associated with a shift to more painted product in the first six months of 2023 and inflationary costs for other supplies, and higher freight costs, partially offset by higher pricing and lower utility costs. Additionally, the timing of the flow through under the first-in first-out method of aluminum raw material costs passed through to customers, previously acquired at lower prices in a quickly changing commodity pricing environment, resulted in a charge of $0.8 million in the first nine months of 2023 versus a benefit of $1.7 million in the first nine months of 2022. In addition, the Company recorded an unfavorable out-of-period adjustment of $2.5 million related to inventory and accrued labor costs in the third quarter of 2022. The gross profit margin in PE Films decreased primarily due to a lower Surface Protection contribution margin for previously disclosed customer product transitions and for non-transitioning products associated with a market slowdown and customer inventory corrections, partially offset by operating efficiencies, overwrap films favorable mix and cost improvements. The gross profit margin in Flexible Packaging Films decreased primarily due to lower sales volume, lower selling prices, higher fixed costs and higher variable costs, partially offset by lower raw material costs and favorable product mix.</w:t>
      </w:r>
    </w:p>
    <w:p>
      <w:pPr>
        <w:spacing w:after="0" w:line="4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a percentage of sales, SG&amp;A and R&amp;D expenses were 11.3% in the first nine months of 2023, compared with 8.5% in the first nine months of 2022. While SG&amp;A and R&amp;D expenses decreased 3.2% and 30.5% year-over-year, sales decreased $213.9 million or 28.5% compared with the prior year period. Lower SG&amp;A spending was primarily due to lower employee-related compensation and lower stock-based compensation, partially offset by higher professional fees associated with business development activities.</w:t>
      </w:r>
    </w:p>
    <w:p>
      <w:pPr>
        <w:spacing w:after="0" w:line="52" w:lineRule="exact"/>
        <w:rPr>
          <w:sz w:val="20"/>
          <w:szCs w:val="20"/>
          <w:color w:val="auto"/>
        </w:rPr>
      </w:pPr>
    </w:p>
    <w:p>
      <w:pPr>
        <w:ind w:right="60" w:firstLine="405"/>
        <w:spacing w:after="0" w:line="243" w:lineRule="auto"/>
        <w:rPr>
          <w:sz w:val="20"/>
          <w:szCs w:val="20"/>
          <w:color w:val="auto"/>
        </w:rPr>
      </w:pPr>
      <w:r>
        <w:rPr>
          <w:rFonts w:ascii="Arial" w:cs="Arial" w:eastAsia="Arial" w:hAnsi="Arial"/>
          <w:sz w:val="18"/>
          <w:szCs w:val="18"/>
          <w:color w:val="auto"/>
        </w:rPr>
        <w:t xml:space="preserve">During the first nine months of 2023, the Company remeasured the pension plan, which resulted in a pre-tax pension settlement loss in the condensed consolidated results of operation of $25.6 million. The remeasurement of the pension benefit obligation and plan assets was triggered by $64.5 million of lump sum distributions from the pension plan assets which exceeded the pension plan's service and interest cost. See the </w:t>
      </w:r>
      <w:r>
        <w:rPr>
          <w:rFonts w:ascii="Arial" w:cs="Arial" w:eastAsia="Arial" w:hAnsi="Arial"/>
          <w:sz w:val="18"/>
          <w:szCs w:val="18"/>
          <w:i w:val="1"/>
          <w:iCs w:val="1"/>
          <w:color w:val="auto"/>
        </w:rPr>
        <w:t>Status of Current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Strategic Initiatives </w:t>
      </w:r>
      <w:r>
        <w:rPr>
          <w:rFonts w:ascii="Arial" w:cs="Arial" w:eastAsia="Arial" w:hAnsi="Arial"/>
          <w:sz w:val="18"/>
          <w:szCs w:val="18"/>
          <w:color w:val="auto"/>
        </w:rPr>
        <w:t>below for more information.</w:t>
      </w:r>
    </w:p>
    <w:p>
      <w:pPr>
        <w:spacing w:after="0" w:line="66"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 xml:space="preserve">In the first nine months of 2023, a non-cash partial goodwill impairment of $34.9 million was recognized, see the PE Films section in </w:t>
      </w:r>
      <w:r>
        <w:rPr>
          <w:rFonts w:ascii="Arial" w:cs="Arial" w:eastAsia="Arial" w:hAnsi="Arial"/>
          <w:sz w:val="18"/>
          <w:szCs w:val="18"/>
          <w:b w:val="1"/>
          <w:bCs w:val="1"/>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Operations Review </w:t>
      </w:r>
      <w:r>
        <w:rPr>
          <w:rFonts w:ascii="Arial" w:cs="Arial" w:eastAsia="Arial" w:hAnsi="Arial"/>
          <w:sz w:val="18"/>
          <w:szCs w:val="18"/>
          <w:color w:val="auto"/>
        </w:rPr>
        <w:t>below for more information.</w:t>
      </w:r>
    </w:p>
    <w:p>
      <w:pPr>
        <w:spacing w:after="0" w:line="49" w:lineRule="exact"/>
        <w:rPr>
          <w:sz w:val="20"/>
          <w:szCs w:val="20"/>
          <w:color w:val="auto"/>
        </w:rPr>
      </w:pPr>
    </w:p>
    <w:p>
      <w:pPr>
        <w:ind w:right="560" w:firstLine="405"/>
        <w:spacing w:after="0" w:line="342" w:lineRule="auto"/>
        <w:rPr>
          <w:sz w:val="20"/>
          <w:szCs w:val="20"/>
          <w:color w:val="auto"/>
        </w:rPr>
      </w:pPr>
      <w:r>
        <w:rPr>
          <w:rFonts w:ascii="Arial" w:cs="Arial" w:eastAsia="Arial" w:hAnsi="Arial"/>
          <w:sz w:val="16"/>
          <w:szCs w:val="16"/>
          <w:color w:val="auto"/>
        </w:rPr>
        <w:t>Other expenses increased to $6.2 million during the first nine months of 2023 due to the closure of the PE Films technical center in Richmond, Virginia and higher interest expense due to higher average debt levels and interest rates. See Note 1 and Note 12 for additional information.</w:t>
      </w:r>
    </w:p>
    <w:p>
      <w:pPr>
        <w:spacing w:after="0" w:line="2"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effective tax rate used to compute income taxes for the first nine months of 2023 was 18.8%, unchanged compared to the effective tax rate in the first nine months of 2022. The effective tax rate in the first nine months of 2023 was impacted by tax benefits related to the goodwill impairment, the pension settlement loss, and the treatment of Brazil income tax as creditable in 2022 and 2023. These benefits were offset by the reversal of the discrete tax benefit recorded in the first quarter of 2022 and an increase in the valuation allowance related to deferred tax assets. See Note 9 for additional information.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ind w:right="20" w:firstLine="405"/>
        <w:spacing w:after="0" w:line="259" w:lineRule="auto"/>
        <w:rPr>
          <w:sz w:val="20"/>
          <w:szCs w:val="20"/>
          <w:color w:val="auto"/>
        </w:rPr>
      </w:pPr>
      <w:r>
        <w:rPr>
          <w:rFonts w:ascii="Arial" w:cs="Arial" w:eastAsia="Arial" w:hAnsi="Arial"/>
          <w:sz w:val="18"/>
          <w:szCs w:val="18"/>
          <w:color w:val="auto"/>
        </w:rPr>
        <w:t>Pre-tax gains and losses associated with plant shutdowns, asset impairments, restructurings and other items for the first nine months of 2023 and 2022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248"/>
        </w:trPr>
        <w:tc>
          <w:tcPr>
            <w:tcW w:w="8580" w:type="dxa"/>
            <w:vAlign w:val="bottom"/>
            <w:tcBorders>
              <w:top w:val="single" w:sz="8" w:color="auto"/>
            </w:tcBorders>
          </w:tcPr>
          <w:p>
            <w:pPr>
              <w:spacing w:after="0"/>
              <w:rPr>
                <w:sz w:val="21"/>
                <w:szCs w:val="21"/>
                <w:color w:val="auto"/>
              </w:rPr>
            </w:pPr>
          </w:p>
        </w:tc>
        <w:tc>
          <w:tcPr>
            <w:tcW w:w="26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2"/>
              </w:rPr>
              <w:t>Nine Months Ended September 30,</w:t>
            </w:r>
          </w:p>
        </w:tc>
      </w:tr>
      <w:tr>
        <w:trPr>
          <w:trHeight w:val="230"/>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580" w:type="dxa"/>
            <w:vAlign w:val="bottom"/>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restructuring costs - severance</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5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Consulting expenses for ERP/MES project</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tcPr>
          <w:p>
            <w:pPr>
              <w:ind w:left="460"/>
              <w:spacing w:after="0" w:line="230" w:lineRule="exact"/>
              <w:rPr>
                <w:sz w:val="20"/>
                <w:szCs w:val="20"/>
                <w:color w:val="auto"/>
              </w:rPr>
            </w:pPr>
            <w:r>
              <w:rPr>
                <w:rFonts w:ascii="Arial" w:cs="Arial" w:eastAsia="Arial" w:hAnsi="Arial"/>
                <w:sz w:val="18"/>
                <w:szCs w:val="18"/>
                <w:color w:val="auto"/>
              </w:rPr>
              <w:t>Storm damage to the Newnan, Georgia plant</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Borders>
              <w:bottom w:val="single" w:sz="8" w:color="auto"/>
            </w:tcBorders>
            <w:shd w:val="clear" w:color="auto" w:fill="CCEEFF"/>
          </w:tcPr>
          <w:p>
            <w:pPr>
              <w:ind w:left="460"/>
              <w:spacing w:after="0" w:line="230" w:lineRule="exact"/>
              <w:rPr>
                <w:sz w:val="20"/>
                <w:szCs w:val="20"/>
                <w:color w:val="auto"/>
              </w:rPr>
            </w:pPr>
            <w:r>
              <w:rPr>
                <w:rFonts w:ascii="Arial" w:cs="Arial" w:eastAsia="Arial" w:hAnsi="Arial"/>
                <w:sz w:val="18"/>
                <w:szCs w:val="18"/>
                <w:color w:val="auto"/>
              </w:rPr>
              <w:t>COVID-19-related expenses, net of relief</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for Aluminum Extrusions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Films: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580" w:type="dxa"/>
            <w:vAlign w:val="bottom"/>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5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Write-down of Richmond, Virginia Technical Center assets</w:t>
            </w:r>
            <w:r>
              <w:rPr>
                <w:rFonts w:ascii="Arial" w:cs="Arial" w:eastAsia="Arial" w:hAnsi="Arial"/>
                <w:sz w:val="23"/>
                <w:szCs w:val="23"/>
                <w:color w:val="auto"/>
                <w:vertAlign w:val="superscript"/>
              </w:rPr>
              <w:t>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360"/>
              <w:spacing w:after="0" w:line="230" w:lineRule="exact"/>
              <w:rPr>
                <w:sz w:val="20"/>
                <w:szCs w:val="20"/>
                <w:color w:val="auto"/>
              </w:rPr>
            </w:pPr>
            <w:r>
              <w:rPr>
                <w:rFonts w:ascii="Arial" w:cs="Arial" w:eastAsia="Arial" w:hAnsi="Arial"/>
                <w:sz w:val="18"/>
                <w:szCs w:val="18"/>
                <w:color w:val="auto"/>
              </w:rPr>
              <w:t>Richmond, Virginia Technical Center closure expenses</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restructuring costs - severance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580" w:type="dxa"/>
            <w:vAlign w:val="bottom"/>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5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COVID-19-related expenses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58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PE Films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Flexible Packaging Films: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580" w:type="dxa"/>
            <w:vAlign w:val="bottom"/>
          </w:tcPr>
          <w:p>
            <w:pPr>
              <w:ind w:left="460"/>
              <w:spacing w:after="0"/>
              <w:rPr>
                <w:sz w:val="20"/>
                <w:szCs w:val="20"/>
                <w:color w:val="auto"/>
              </w:rPr>
            </w:pPr>
            <w:r>
              <w:rPr>
                <w:rFonts w:ascii="Arial" w:cs="Arial" w:eastAsia="Arial" w:hAnsi="Arial"/>
                <w:sz w:val="18"/>
                <w:szCs w:val="18"/>
                <w:color w:val="auto"/>
              </w:rPr>
              <w:t>Other restructuring costs - severance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580" w:type="dxa"/>
            <w:vAlign w:val="bottom"/>
            <w:tcBorders>
              <w:bottom w:val="single" w:sz="8" w:color="auto"/>
            </w:tcBorders>
          </w:tcPr>
          <w:p>
            <w:pPr>
              <w:ind w:left="460"/>
              <w:spacing w:after="0" w:line="230" w:lineRule="exact"/>
              <w:rPr>
                <w:sz w:val="20"/>
                <w:szCs w:val="20"/>
                <w:color w:val="auto"/>
              </w:rPr>
            </w:pPr>
            <w:r>
              <w:rPr>
                <w:rFonts w:ascii="Arial" w:cs="Arial" w:eastAsia="Arial" w:hAnsi="Arial"/>
                <w:sz w:val="18"/>
                <w:szCs w:val="18"/>
                <w:color w:val="auto"/>
              </w:rPr>
              <w:t>COVID-19-related expenses</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Flexible Packaging Films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Other restructuring costs - severance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580" w:type="dxa"/>
            <w:vAlign w:val="bottom"/>
          </w:tcPr>
          <w:p>
            <w:pPr>
              <w:ind w:left="360"/>
              <w:spacing w:after="0" w:line="230" w:lineRule="exact"/>
              <w:rPr>
                <w:sz w:val="20"/>
                <w:szCs w:val="20"/>
                <w:color w:val="auto"/>
              </w:rPr>
            </w:pPr>
            <w:r>
              <w:rPr>
                <w:rFonts w:ascii="Arial" w:cs="Arial" w:eastAsia="Arial" w:hAnsi="Arial"/>
                <w:sz w:val="18"/>
                <w:szCs w:val="18"/>
                <w:color w:val="auto"/>
              </w:rPr>
              <w:t>Professional fees associated with business development activities</w:t>
            </w:r>
            <w:r>
              <w:rPr>
                <w:rFonts w:ascii="Arial" w:cs="Arial" w:eastAsia="Arial" w:hAnsi="Arial"/>
                <w:sz w:val="23"/>
                <w:szCs w:val="23"/>
                <w:color w:val="auto"/>
                <w:vertAlign w:val="superscript"/>
              </w:rPr>
              <w:t>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5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w w:val="97"/>
              </w:rPr>
              <w:t>Professional fees associated with remediation activities related to internal control over financial reporting</w:t>
            </w:r>
            <w:r>
              <w:rPr>
                <w:rFonts w:ascii="Arial" w:cs="Arial" w:eastAsia="Arial" w:hAnsi="Arial"/>
                <w:sz w:val="23"/>
                <w:szCs w:val="23"/>
                <w:color w:val="auto"/>
                <w:w w:val="97"/>
                <w:vertAlign w:val="superscript"/>
              </w:rPr>
              <w:t>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580" w:type="dxa"/>
            <w:vAlign w:val="bottom"/>
          </w:tcPr>
          <w:p>
            <w:pPr>
              <w:ind w:left="360"/>
              <w:spacing w:after="0" w:line="230" w:lineRule="exact"/>
              <w:rPr>
                <w:sz w:val="20"/>
                <w:szCs w:val="20"/>
                <w:color w:val="auto"/>
              </w:rPr>
            </w:pPr>
            <w:r>
              <w:rPr>
                <w:rFonts w:ascii="Arial" w:cs="Arial" w:eastAsia="Arial" w:hAnsi="Arial"/>
                <w:sz w:val="18"/>
                <w:szCs w:val="18"/>
                <w:color w:val="auto"/>
              </w:rPr>
              <w:t>Write-down of investment in Harbinger Capital Partners Special Situations Fund</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5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Stock-based compensation expense associated with the fair value remeasurement of awards granted at the time of</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580" w:type="dxa"/>
            <w:vAlign w:val="bottom"/>
            <w:shd w:val="clear" w:color="auto" w:fill="CCEEFF"/>
          </w:tcPr>
          <w:p>
            <w:pPr>
              <w:ind w:left="360"/>
              <w:spacing w:after="0" w:line="243" w:lineRule="exact"/>
              <w:rPr>
                <w:sz w:val="20"/>
                <w:szCs w:val="20"/>
                <w:color w:val="auto"/>
              </w:rPr>
            </w:pPr>
            <w:r>
              <w:rPr>
                <w:rFonts w:ascii="Arial" w:cs="Arial" w:eastAsia="Arial" w:hAnsi="Arial"/>
                <w:sz w:val="18"/>
                <w:szCs w:val="18"/>
                <w:color w:val="auto"/>
              </w:rPr>
              <w:t>the 2020 special dividend</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580" w:type="dxa"/>
            <w:vAlign w:val="bottom"/>
          </w:tcPr>
          <w:p>
            <w:pPr>
              <w:ind w:left="140"/>
              <w:spacing w:after="0" w:line="230" w:lineRule="exact"/>
              <w:rPr>
                <w:sz w:val="20"/>
                <w:szCs w:val="20"/>
                <w:color w:val="auto"/>
              </w:rPr>
            </w:pPr>
            <w:r>
              <w:rPr>
                <w:rFonts w:ascii="Arial" w:cs="Arial" w:eastAsia="Arial" w:hAnsi="Arial"/>
                <w:sz w:val="18"/>
                <w:szCs w:val="18"/>
                <w:color w:val="auto"/>
              </w:rPr>
              <w:t>Net periodic benefit cost for the frozen defined benefit pension plan in process of termination</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Pension settlement loss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580" w:type="dxa"/>
            <w:vAlign w:val="bottom"/>
          </w:tcPr>
          <w:p>
            <w:pPr>
              <w:ind w:left="20"/>
              <w:spacing w:after="0"/>
              <w:rPr>
                <w:sz w:val="20"/>
                <w:szCs w:val="20"/>
                <w:color w:val="auto"/>
              </w:rPr>
            </w:pPr>
            <w:r>
              <w:rPr>
                <w:rFonts w:ascii="Arial" w:cs="Arial" w:eastAsia="Arial" w:hAnsi="Arial"/>
                <w:sz w:val="18"/>
                <w:szCs w:val="18"/>
                <w:color w:val="auto"/>
              </w:rPr>
              <w:t>Total for Corporate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80" w:hanging="154"/>
        <w:spacing w:after="0"/>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“Other income (expense), net” in the condensed consolidated statements of income.</w:t>
      </w:r>
    </w:p>
    <w:p>
      <w:pPr>
        <w:ind w:left="180" w:hanging="154"/>
        <w:spacing w:after="0" w:line="211"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“Selling, general and administrative expenses” in the condensed consolidated statements of income.</w:t>
      </w:r>
    </w:p>
    <w:p>
      <w:pPr>
        <w:ind w:left="180" w:hanging="154"/>
        <w:spacing w:after="0" w:line="211"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“Status of Current Corporate Strategic Initiatives” below and Note 4 for additional information.</w:t>
      </w:r>
    </w:p>
    <w:p>
      <w:pPr>
        <w:ind w:left="180" w:hanging="154"/>
        <w:spacing w:after="0"/>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more information, see "PE Films" section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color w:val="auto"/>
        </w:rPr>
        <w:t>Average debt outstanding and interest rates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30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color w:val="auto"/>
                <w:w w:val="97"/>
              </w:rPr>
              <w:t>Nine Months Ended September 30,</w:t>
            </w:r>
          </w:p>
        </w:tc>
      </w:tr>
      <w:tr>
        <w:trPr>
          <w:trHeight w:val="230"/>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percentages)</w:t>
            </w: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Floating-rate debt with interest charged on a rollover basis plus a credit spread:</w:t>
            </w:r>
          </w:p>
        </w:tc>
        <w:tc>
          <w:tcPr>
            <w:tcW w:w="1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6680" w:type="dxa"/>
            <w:vAlign w:val="bottom"/>
          </w:tcPr>
          <w:p>
            <w:pPr>
              <w:ind w:left="360"/>
              <w:spacing w:after="0"/>
              <w:rPr>
                <w:sz w:val="20"/>
                <w:szCs w:val="20"/>
                <w:color w:val="auto"/>
              </w:rPr>
            </w:pPr>
            <w:r>
              <w:rPr>
                <w:rFonts w:ascii="Arial" w:cs="Arial" w:eastAsia="Arial" w:hAnsi="Arial"/>
                <w:sz w:val="18"/>
                <w:szCs w:val="18"/>
                <w:color w:val="auto"/>
              </w:rPr>
              <w:t>Average outstanding debt balance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145.1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108.3</w:t>
            </w: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interest rate</w:t>
            </w:r>
          </w:p>
        </w:tc>
        <w:tc>
          <w:tcPr>
            <w:tcW w:w="1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bl>
    <w:p>
      <w:pPr>
        <w:spacing w:after="0" w:line="15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u w:val="single" w:color="auto"/>
          <w:color w:val="auto"/>
        </w:rPr>
        <w:t>Segment Operations Review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Aluminum Extrusions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Aluminum Extrusions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Favorable/</w:t>
            </w:r>
          </w:p>
        </w:tc>
        <w:tc>
          <w:tcPr>
            <w:tcW w:w="280" w:type="dxa"/>
            <w:vAlign w:val="bottom"/>
          </w:tcPr>
          <w:p>
            <w:pPr>
              <w:spacing w:after="0"/>
              <w:rPr>
                <w:sz w:val="20"/>
                <w:szCs w:val="20"/>
                <w:color w:val="auto"/>
              </w:rPr>
            </w:pPr>
          </w:p>
        </w:tc>
        <w:tc>
          <w:tcPr>
            <w:tcW w:w="2320" w:type="dxa"/>
            <w:vAlign w:val="bottom"/>
            <w:gridSpan w:val="3"/>
          </w:tcPr>
          <w:p>
            <w:pPr>
              <w:jc w:val="right"/>
              <w:ind w:right="470"/>
              <w:spacing w:after="0"/>
              <w:rPr>
                <w:sz w:val="20"/>
                <w:szCs w:val="20"/>
                <w:color w:val="auto"/>
              </w:rPr>
            </w:pPr>
            <w:r>
              <w:rPr>
                <w:rFonts w:ascii="Arial" w:cs="Arial" w:eastAsia="Arial" w:hAnsi="Arial"/>
                <w:sz w:val="18"/>
                <w:szCs w:val="18"/>
                <w:color w:val="auto"/>
              </w:rPr>
              <w:t>Nine Months Ended</w:t>
            </w:r>
          </w:p>
        </w:tc>
        <w:tc>
          <w:tcPr>
            <w:tcW w:w="1480" w:type="dxa"/>
            <w:vAlign w:val="bottom"/>
            <w:vMerge w:val="restart"/>
          </w:tcPr>
          <w:p>
            <w:pPr>
              <w:jc w:val="center"/>
              <w:ind w:left="30"/>
              <w:spacing w:after="0"/>
              <w:rPr>
                <w:sz w:val="20"/>
                <w:szCs w:val="20"/>
                <w:color w:val="auto"/>
              </w:rPr>
            </w:pPr>
            <w:r>
              <w:rPr>
                <w:rFonts w:ascii="Arial" w:cs="Arial" w:eastAsia="Arial" w:hAnsi="Arial"/>
                <w:sz w:val="18"/>
                <w:szCs w:val="18"/>
                <w:color w:val="auto"/>
                <w:w w:val="89"/>
              </w:rPr>
              <w:t>Favorable/</w:t>
            </w: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20" w:type="dxa"/>
            <w:vAlign w:val="bottom"/>
            <w:gridSpan w:val="3"/>
            <w:vMerge w:val="restart"/>
          </w:tcPr>
          <w:p>
            <w:pPr>
              <w:jc w:val="right"/>
              <w:ind w:right="690"/>
              <w:spacing w:after="0"/>
              <w:rPr>
                <w:sz w:val="20"/>
                <w:szCs w:val="20"/>
                <w:color w:val="auto"/>
              </w:rPr>
            </w:pPr>
            <w:r>
              <w:rPr>
                <w:rFonts w:ascii="Arial" w:cs="Arial" w:eastAsia="Arial" w:hAnsi="Arial"/>
                <w:sz w:val="18"/>
                <w:szCs w:val="18"/>
                <w:color w:val="auto"/>
              </w:rPr>
              <w:t>September 30,</w:t>
            </w:r>
          </w:p>
        </w:tc>
        <w:tc>
          <w:tcPr>
            <w:tcW w:w="1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320" w:type="dxa"/>
            <w:vAlign w:val="bottom"/>
            <w:gridSpan w:val="3"/>
            <w:vMerge w:val="restart"/>
          </w:tcPr>
          <w:p>
            <w:pPr>
              <w:jc w:val="right"/>
              <w:ind w:right="690"/>
              <w:spacing w:after="0"/>
              <w:rPr>
                <w:sz w:val="20"/>
                <w:szCs w:val="20"/>
                <w:color w:val="auto"/>
              </w:rPr>
            </w:pPr>
            <w:r>
              <w:rPr>
                <w:rFonts w:ascii="Arial" w:cs="Arial" w:eastAsia="Arial" w:hAnsi="Arial"/>
                <w:sz w:val="18"/>
                <w:szCs w:val="18"/>
                <w:color w:val="auto"/>
              </w:rPr>
              <w:t>September 30,</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3"/>
            <w:vMerge w:val="continue"/>
          </w:tcPr>
          <w:p>
            <w:pPr>
              <w:spacing w:after="0"/>
              <w:rPr>
                <w:sz w:val="11"/>
                <w:szCs w:val="11"/>
                <w:color w:val="auto"/>
              </w:rPr>
            </w:pPr>
          </w:p>
        </w:tc>
        <w:tc>
          <w:tcPr>
            <w:tcW w:w="158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3"/>
              </w:rPr>
              <w:t>(Unfavorable)</w:t>
            </w:r>
          </w:p>
        </w:tc>
        <w:tc>
          <w:tcPr>
            <w:tcW w:w="2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3"/>
            <w:vMerge w:val="continue"/>
          </w:tcPr>
          <w:p>
            <w:pPr>
              <w:spacing w:after="0"/>
              <w:rPr>
                <w:sz w:val="11"/>
                <w:szCs w:val="11"/>
                <w:color w:val="auto"/>
              </w:rPr>
            </w:pPr>
          </w:p>
        </w:tc>
        <w:tc>
          <w:tcPr>
            <w:tcW w:w="148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93"/>
              </w:rPr>
              <w:t>(Unfavorable)</w:t>
            </w:r>
          </w:p>
        </w:tc>
        <w:tc>
          <w:tcPr>
            <w:tcW w:w="0" w:type="dxa"/>
            <w:vAlign w:val="bottom"/>
          </w:tcPr>
          <w:p>
            <w:pPr>
              <w:spacing w:after="0"/>
              <w:rPr>
                <w:sz w:val="1"/>
                <w:szCs w:val="1"/>
                <w:color w:val="auto"/>
              </w:rPr>
            </w:pPr>
          </w:p>
        </w:tc>
      </w:tr>
      <w:tr>
        <w:trPr>
          <w:trHeight w:val="21"/>
        </w:trPr>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(In thousands, except percentages)</w:t>
            </w:r>
          </w:p>
        </w:tc>
        <w:tc>
          <w:tcPr>
            <w:tcW w:w="280" w:type="dxa"/>
            <w:vAlign w:val="bottom"/>
          </w:tcPr>
          <w:p>
            <w:pPr>
              <w:spacing w:after="0" w:line="20" w:lineRule="exact"/>
              <w:rPr>
                <w:sz w:val="1"/>
                <w:szCs w:val="1"/>
                <w:color w:val="auto"/>
              </w:rPr>
            </w:pPr>
          </w:p>
        </w:tc>
        <w:tc>
          <w:tcPr>
            <w:tcW w:w="1020" w:type="dxa"/>
            <w:vAlign w:val="bottom"/>
            <w:vMerge w:val="restart"/>
          </w:tcPr>
          <w:p>
            <w:pPr>
              <w:jc w:val="right"/>
              <w:ind w:right="41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line="20" w:lineRule="exact"/>
              <w:rPr>
                <w:sz w:val="1"/>
                <w:szCs w:val="1"/>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2022</w:t>
            </w:r>
          </w:p>
        </w:tc>
        <w:tc>
          <w:tcPr>
            <w:tcW w:w="1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line="20" w:lineRule="exact"/>
              <w:rPr>
                <w:sz w:val="1"/>
                <w:szCs w:val="1"/>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2022</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Change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 Change</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32,457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(28.6)%</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105,511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137,427</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(23.2)%</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109,410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161,649</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(32.3)%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364,607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510,066</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5"/>
              </w:rPr>
              <w:t>(28.5)%</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8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5,113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12,071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(57.6)%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29,968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57,885</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5"/>
              </w:rPr>
              <w:t>(48.2)%</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(12,846)</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(3.2)%</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(94.4)%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16,716</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45,039</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5"/>
              </w:rPr>
              <w:t>(62.9)%</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15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17,862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7"/>
          <w:szCs w:val="17"/>
          <w:color w:val="auto"/>
        </w:rPr>
        <w:t>*See the table in Note 10 for a reconciliation of this non-GAAP measure to the most comparable measure calculated in accordance with GAAP.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Third Quarter 2023 Results vs. Third Quarter 2022 Results</w:t>
      </w:r>
    </w:p>
    <w:p>
      <w:pPr>
        <w:spacing w:after="0" w:line="9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Net sales (sales less freight) in the third quarter of 2023 decreased 32.3% versus the third quarter of 2022 primarily due to lower sales volume and the pass-through of lower metal costs. Sales volume in the third quarter of 2023 declined 28.6% versus the third quarter of 2022. Nonresidential B&amp;C sales volume, which represented 53% of 2022 volume, declined 28.9% in the third quarter of 2023 versus the third quarter of 2022. Sales volume in the specialty market, which represented 29% of total volume in 2022, decreased 35.6% in the third quarter of 2023 versus the third quarter of 2022, primarily due to lower volume in the consumer durables sector. Sales volume in the automotive market, which represented 8% of total volume in 2022, increased 14.2% in the third quarter of 2023 versus the third quarter of 2022.</w:t>
      </w:r>
    </w:p>
    <w:p>
      <w:pPr>
        <w:spacing w:after="0" w:line="71" w:lineRule="exact"/>
        <w:rPr>
          <w:sz w:val="20"/>
          <w:szCs w:val="20"/>
          <w:color w:val="auto"/>
        </w:rPr>
      </w:pPr>
    </w:p>
    <w:p>
      <w:pPr>
        <w:ind w:right="300" w:firstLine="405"/>
        <w:spacing w:after="0" w:line="270" w:lineRule="auto"/>
        <w:rPr>
          <w:sz w:val="20"/>
          <w:szCs w:val="20"/>
          <w:color w:val="auto"/>
        </w:rPr>
      </w:pPr>
      <w:r>
        <w:rPr>
          <w:rFonts w:ascii="Arial" w:cs="Arial" w:eastAsia="Arial" w:hAnsi="Arial"/>
          <w:sz w:val="17"/>
          <w:szCs w:val="17"/>
          <w:color w:val="auto"/>
        </w:rPr>
        <w:t>Beginning in the third quarter of 2022, the Company observed order cancellations and slowing order input as customers continued to report high inventory levels, which carried into 2023. Currently, the Company is experiencing sluggish demand in most markets. Open orders at the end of the third quarter of 2023 were 17 million pounds (versus 20 million pounds at the end of the second quarter of 2023 and 59 million pounds at the end of the third quarter 2022). This level is below the quarterly range of 21 to 27 million pounds in 2019 before pandemic-related disruptions that resulted in long lead times, driving a peak in open orders of approximately 100 million pounds during the first quarter of 2022. In addition, data indicates that aluminum extrusion imports have increased significantly in recent years, and some of Bonnell Aluminum’s customers may have sourced, and continue to source, aluminum extrusions from producers outside of the United States. The Company is participating as part of a coalition of members of the Aluminum Extruders Council who have filed a trade case against 15 countries in response to alleged large and increasing volumes of unfairly priced imports of aluminum extrusions since 2019.</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EBITDA from ongoing operations in the third quarter of 2023 decreased $7.0 million or 57.6% versus the third quarter of 2022 primarily due to:</w:t>
      </w:r>
    </w:p>
    <w:p>
      <w:pPr>
        <w:spacing w:after="0" w:line="102" w:lineRule="exact"/>
        <w:rPr>
          <w:sz w:val="20"/>
          <w:szCs w:val="20"/>
          <w:color w:val="auto"/>
        </w:rPr>
      </w:pPr>
    </w:p>
    <w:p>
      <w:pPr>
        <w:ind w:left="660" w:right="18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volume ($9.9 million), higher labor and employee-related costs ($1.4 million), lower pricing ($1.0 million), higher supply expense associated with inflationary costs ($0.1 million), higher SG&amp;A expenses ($0.5 million) and higher freight rates ($0.4 million), partially offset by lower utility costs ($1.0 million); and</w:t>
      </w:r>
    </w:p>
    <w:p>
      <w:pPr>
        <w:spacing w:after="0" w:line="62" w:lineRule="exact"/>
        <w:rPr>
          <w:rFonts w:ascii="Arial" w:cs="Arial" w:eastAsia="Arial" w:hAnsi="Arial"/>
          <w:sz w:val="18"/>
          <w:szCs w:val="18"/>
          <w:color w:val="auto"/>
        </w:rPr>
      </w:pPr>
    </w:p>
    <w:p>
      <w:pPr>
        <w:ind w:left="660" w:right="24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the flow-through under the first-in first-out method of aluminum raw material costs passed through to customers, previously acquired at higher prices in a quickly changing commodity pricing environment, resulted in a charge of $1.2 million in the third quarter of 2023 versus a charge of $3.8 million in the third quarter of 2022. In addition, the Company recorded an unfavorable out-of-period adjustment of $2.5 million related to inventory and accrued labor costs in the third quarter of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First Nine Months of 2023 Results v. First Nine Months of 2022 Results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ind w:right="140" w:firstLine="405"/>
        <w:spacing w:after="0" w:line="263" w:lineRule="auto"/>
        <w:rPr>
          <w:sz w:val="20"/>
          <w:szCs w:val="20"/>
          <w:color w:val="auto"/>
        </w:rPr>
      </w:pPr>
      <w:r>
        <w:rPr>
          <w:rFonts w:ascii="Arial" w:cs="Arial" w:eastAsia="Arial" w:hAnsi="Arial"/>
          <w:sz w:val="18"/>
          <w:szCs w:val="18"/>
          <w:color w:val="auto"/>
        </w:rPr>
        <w:t>Net sales in the first nine months of 2023 decreased 28.5% versus the first nine months of 2022 primarily due to lower sales volume and the pass-through of lower metal costs, partially offset by an increase in prices to cover higher operating costs in the first half of 2023. Sales volume in the first nine months of 2023 decreased by 23.2% versus the first nine months of 2022.</w:t>
      </w:r>
    </w:p>
    <w:p>
      <w:pPr>
        <w:spacing w:after="0" w:line="4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EBITDA from ongoing operations in the first nine months of 2023 decreased $27.9 million or 48.2% in comparison to the first nine months of 2022 primarily due to:</w:t>
      </w:r>
    </w:p>
    <w:p>
      <w:pPr>
        <w:spacing w:after="0" w:line="49" w:lineRule="exact"/>
        <w:rPr>
          <w:sz w:val="20"/>
          <w:szCs w:val="20"/>
          <w:color w:val="auto"/>
        </w:rPr>
      </w:pPr>
    </w:p>
    <w:p>
      <w:pPr>
        <w:ind w:left="660" w:right="24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volume ($26.0 million), higher labor and employee-related costs ($3.5 million), lower labor productivity ($1.0 million), higher supply expense, including higher paint expense associated with a shift to more painted product in the first six months of 2023 and inflationary costs for other supplies ($3.1 million) and higher freight rates ($0.8 million), partially offset by higher pricing ($4.6 million), lower utility costs ($1.6 million) and lower SG&amp;A expenses ($0.3 million); and</w:t>
      </w:r>
    </w:p>
    <w:p>
      <w:pPr>
        <w:spacing w:after="0" w:line="65"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the flow-through under the first-in first-out method of aluminum raw material costs passed through to customers, previously acquired at higher prices in a quickly changing commodity pricing environment, resulted in a charge of $0.8 million in the first nine months of 2023 versus a benefit of $1.7 million in the first nine months of 2022. In addition, the Company recorded an unfavorable out-of-period adjustment of $2.5 million related to inventory and accrued labor costs in the third quarter of 2022.</w:t>
      </w:r>
    </w:p>
    <w:p>
      <w:pPr>
        <w:spacing w:after="0" w:line="52" w:lineRule="exact"/>
        <w:rPr>
          <w:sz w:val="20"/>
          <w:szCs w:val="20"/>
          <w:color w:val="auto"/>
        </w:rPr>
      </w:pPr>
    </w:p>
    <w:p>
      <w:pPr>
        <w:ind w:right="520" w:firstLine="405"/>
        <w:spacing w:after="0" w:line="360" w:lineRule="auto"/>
        <w:rPr>
          <w:sz w:val="20"/>
          <w:szCs w:val="20"/>
          <w:color w:val="auto"/>
        </w:rPr>
      </w:pPr>
      <w:r>
        <w:rPr>
          <w:rFonts w:ascii="Arial" w:cs="Arial" w:eastAsia="Arial" w:hAnsi="Arial"/>
          <w:sz w:val="18"/>
          <w:szCs w:val="18"/>
          <w:color w:val="auto"/>
        </w:rPr>
        <w:t xml:space="preserve">Refer to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this Form 10-Q for additional information on aluminum prices. </w:t>
      </w:r>
      <w:r>
        <w:rPr>
          <w:rFonts w:ascii="Arial" w:cs="Arial" w:eastAsia="Arial" w:hAnsi="Arial"/>
          <w:sz w:val="18"/>
          <w:szCs w:val="18"/>
          <w:i w:val="1"/>
          <w:iCs w:val="1"/>
          <w:u w:val="single" w:color="auto"/>
          <w:color w:val="auto"/>
        </w:rPr>
        <w:t>Projected Capital Expenditures and Depreciation &amp; Amortization</w:t>
      </w:r>
    </w:p>
    <w:p>
      <w:pPr>
        <w:ind w:right="40" w:firstLine="405"/>
        <w:spacing w:after="0" w:line="254" w:lineRule="auto"/>
        <w:rPr>
          <w:sz w:val="20"/>
          <w:szCs w:val="20"/>
          <w:color w:val="auto"/>
        </w:rPr>
      </w:pPr>
      <w:r>
        <w:rPr>
          <w:rFonts w:ascii="Arial" w:cs="Arial" w:eastAsia="Arial" w:hAnsi="Arial"/>
          <w:sz w:val="18"/>
          <w:szCs w:val="18"/>
          <w:color w:val="auto"/>
        </w:rPr>
        <w:t>Capital expenditures for Bonnell Aluminum are projected to be $19 million in 2023, consistent with the previously disclosed projection. The Company has implemented stringent spending measures to control its financial leverage (see “Net Debt, Financial Leverage, Debt Covenants and Debt Refinancing” section for more information). In this regard, Bonnell Aluminum reduced projected capital expenditures in the second half of 2023 to $5 million to mainly support continuity of current operations versus broader spending of $14 million during the first half of the year. The most significant reduction relates to the multi-year implementation of new enterprise resource planning and manufacturing execution systems ("ERP/MES"). This project has been reorganized with an extended implementation period. As a result, the earliest “go-live” date for the new ERP/MES is 2025. The ERP/MES project commenced in 2022, with spending to-date of approximately $21 million. Depreciation expense is projected to be $16 million in 2023. Amortization expense is projected to be $2 million in 2023.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 Films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Arial" w:cs="Arial" w:eastAsia="Arial" w:hAnsi="Arial"/>
                <w:sz w:val="18"/>
                <w:szCs w:val="18"/>
                <w:color w:val="auto"/>
              </w:rPr>
              <w:t>Three Months Ended</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9"/>
              </w:rPr>
              <w:t>Favorable/</w:t>
            </w:r>
          </w:p>
        </w:tc>
        <w:tc>
          <w:tcPr>
            <w:tcW w:w="240" w:type="dxa"/>
            <w:vAlign w:val="bottom"/>
          </w:tcPr>
          <w:p>
            <w:pPr>
              <w:spacing w:after="0"/>
              <w:rPr>
                <w:sz w:val="20"/>
                <w:szCs w:val="20"/>
                <w:color w:val="auto"/>
              </w:rPr>
            </w:pPr>
          </w:p>
        </w:tc>
        <w:tc>
          <w:tcPr>
            <w:tcW w:w="2200" w:type="dxa"/>
            <w:vAlign w:val="bottom"/>
            <w:gridSpan w:val="3"/>
          </w:tcPr>
          <w:p>
            <w:pPr>
              <w:jc w:val="right"/>
              <w:ind w:right="410"/>
              <w:spacing w:after="0"/>
              <w:rPr>
                <w:sz w:val="20"/>
                <w:szCs w:val="20"/>
                <w:color w:val="auto"/>
              </w:rPr>
            </w:pPr>
            <w:r>
              <w:rPr>
                <w:rFonts w:ascii="Arial" w:cs="Arial" w:eastAsia="Arial" w:hAnsi="Arial"/>
                <w:sz w:val="18"/>
                <w:szCs w:val="18"/>
                <w:color w:val="auto"/>
              </w:rPr>
              <w:t>Nine Months Ended</w:t>
            </w:r>
          </w:p>
        </w:tc>
        <w:tc>
          <w:tcPr>
            <w:tcW w:w="1480" w:type="dxa"/>
            <w:vAlign w:val="bottom"/>
            <w:vMerge w:val="restart"/>
          </w:tcPr>
          <w:p>
            <w:pPr>
              <w:jc w:val="center"/>
              <w:ind w:left="30"/>
              <w:spacing w:after="0"/>
              <w:rPr>
                <w:sz w:val="20"/>
                <w:szCs w:val="20"/>
                <w:color w:val="auto"/>
              </w:rPr>
            </w:pPr>
            <w:r>
              <w:rPr>
                <w:rFonts w:ascii="Arial" w:cs="Arial" w:eastAsia="Arial" w:hAnsi="Arial"/>
                <w:sz w:val="18"/>
                <w:szCs w:val="18"/>
                <w:color w:val="auto"/>
                <w:w w:val="89"/>
              </w:rPr>
              <w:t>Favorable/</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gridSpan w:val="3"/>
            <w:vMerge w:val="restart"/>
          </w:tcPr>
          <w:p>
            <w:pPr>
              <w:jc w:val="right"/>
              <w:ind w:right="630"/>
              <w:spacing w:after="0"/>
              <w:rPr>
                <w:sz w:val="20"/>
                <w:szCs w:val="20"/>
                <w:color w:val="auto"/>
              </w:rPr>
            </w:pPr>
            <w:r>
              <w:rPr>
                <w:rFonts w:ascii="Arial" w:cs="Arial" w:eastAsia="Arial" w:hAnsi="Arial"/>
                <w:sz w:val="18"/>
                <w:szCs w:val="18"/>
                <w:color w:val="auto"/>
              </w:rPr>
              <w:t>September 30,</w:t>
            </w:r>
          </w:p>
        </w:tc>
        <w:tc>
          <w:tcPr>
            <w:tcW w:w="16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0" w:type="dxa"/>
            <w:vAlign w:val="bottom"/>
            <w:gridSpan w:val="3"/>
            <w:vMerge w:val="restart"/>
          </w:tcPr>
          <w:p>
            <w:pPr>
              <w:jc w:val="right"/>
              <w:ind w:right="610"/>
              <w:spacing w:after="0"/>
              <w:rPr>
                <w:sz w:val="20"/>
                <w:szCs w:val="20"/>
                <w:color w:val="auto"/>
              </w:rPr>
            </w:pPr>
            <w:r>
              <w:rPr>
                <w:rFonts w:ascii="Arial" w:cs="Arial" w:eastAsia="Arial" w:hAnsi="Arial"/>
                <w:sz w:val="18"/>
                <w:szCs w:val="18"/>
                <w:color w:val="auto"/>
              </w:rPr>
              <w:t>September 30,</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vMerge w:val="continue"/>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Arial" w:cs="Arial" w:eastAsia="Arial" w:hAnsi="Arial"/>
                <w:sz w:val="18"/>
                <w:szCs w:val="18"/>
                <w:color w:val="auto"/>
                <w:w w:val="93"/>
              </w:rPr>
              <w:t>(Unfavorable)</w:t>
            </w: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vMerge w:val="continue"/>
          </w:tcPr>
          <w:p>
            <w:pPr>
              <w:spacing w:after="0"/>
              <w:rPr>
                <w:sz w:val="14"/>
                <w:szCs w:val="14"/>
                <w:color w:val="auto"/>
              </w:rPr>
            </w:pPr>
          </w:p>
        </w:tc>
        <w:tc>
          <w:tcPr>
            <w:tcW w:w="1480" w:type="dxa"/>
            <w:vAlign w:val="bottom"/>
          </w:tcPr>
          <w:p>
            <w:pPr>
              <w:jc w:val="center"/>
              <w:ind w:left="10"/>
              <w:spacing w:after="0" w:line="168" w:lineRule="exact"/>
              <w:rPr>
                <w:sz w:val="20"/>
                <w:szCs w:val="20"/>
                <w:color w:val="auto"/>
              </w:rPr>
            </w:pPr>
            <w:r>
              <w:rPr>
                <w:rFonts w:ascii="Arial" w:cs="Arial" w:eastAsia="Arial" w:hAnsi="Arial"/>
                <w:sz w:val="18"/>
                <w:szCs w:val="18"/>
                <w:color w:val="auto"/>
                <w:w w:val="93"/>
              </w:rPr>
              <w:t>(Unfavorable)</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Change</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 Change</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7,224</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20,837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27,273</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(23.6)%</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19,938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20,059</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(0.6)%</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56,036</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82,613</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5"/>
              </w:rPr>
              <w:t>(32.2)%</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4,037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431</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836.7%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14,543</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5"/>
              </w:rPr>
              <w:t>(53.9)%</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(33.7)%</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5"/>
              </w:rPr>
              <w:t>(12.1)%</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1,926</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(267.8)%</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5"/>
              </w:rPr>
              <w:t>(85.8)%</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6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820" w:firstLine="18"/>
        <w:spacing w:after="0" w:line="353" w:lineRule="auto"/>
        <w:rPr>
          <w:sz w:val="20"/>
          <w:szCs w:val="20"/>
          <w:color w:val="auto"/>
        </w:rPr>
      </w:pPr>
      <w:r>
        <w:rPr>
          <w:rFonts w:ascii="Arial" w:cs="Arial" w:eastAsia="Arial" w:hAnsi="Arial"/>
          <w:sz w:val="18"/>
          <w:szCs w:val="18"/>
          <w:color w:val="auto"/>
        </w:rPr>
        <w:t xml:space="preserve">* See the table in Note 10 for a reconciliation of this non-GAAP measure to the most comparable measure calculated in accordance with GAAP. </w:t>
      </w:r>
      <w:r>
        <w:rPr>
          <w:rFonts w:ascii="Arial" w:cs="Arial" w:eastAsia="Arial" w:hAnsi="Arial"/>
          <w:sz w:val="18"/>
          <w:szCs w:val="18"/>
          <w:i w:val="1"/>
          <w:iCs w:val="1"/>
          <w:u w:val="single" w:color="auto"/>
          <w:color w:val="auto"/>
        </w:rPr>
        <w:t>Third Quarter 2023 Results vs. Third Quarter 2022 Results</w:t>
      </w:r>
    </w:p>
    <w:p>
      <w:pPr>
        <w:ind w:right="100" w:firstLine="405"/>
        <w:spacing w:after="0" w:line="283" w:lineRule="auto"/>
        <w:rPr>
          <w:sz w:val="20"/>
          <w:szCs w:val="20"/>
          <w:color w:val="auto"/>
        </w:rPr>
      </w:pPr>
      <w:r>
        <w:rPr>
          <w:rFonts w:ascii="Arial" w:cs="Arial" w:eastAsia="Arial" w:hAnsi="Arial"/>
          <w:sz w:val="16"/>
          <w:szCs w:val="16"/>
          <w:color w:val="auto"/>
        </w:rPr>
        <w:t>Net sales in the third quarter of 2023 were relatively flat compared to the third quarter of 2022, with volume increases in both Surface Protection and overwrap films. Surface Protection sales volume in the third quarter of 2023 increased 1% versus the third quarter of 2022 and 39% versus the second quarter of 2023. The Company is projecting lower Surface Protection sales volume in the fourth quarter of 2023, in line with typical seasonality.</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EBITDA from ongoing operations in the third quarter of 2023 increased $3.6 million versus the third quarter of 2022, primarily due to:</w:t>
      </w:r>
    </w:p>
    <w:p>
      <w:pPr>
        <w:spacing w:after="0" w:line="90"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$1.7 million increase from Surface Protection:</w:t>
      </w:r>
    </w:p>
    <w:p>
      <w:pPr>
        <w:spacing w:after="0" w:line="103" w:lineRule="exact"/>
        <w:rPr>
          <w:rFonts w:ascii="Arial" w:cs="Arial" w:eastAsia="Arial" w:hAnsi="Arial"/>
          <w:sz w:val="18"/>
          <w:szCs w:val="18"/>
          <w:color w:val="auto"/>
        </w:rPr>
      </w:pPr>
    </w:p>
    <w:p>
      <w:pPr>
        <w:ind w:left="1300" w:right="340" w:hanging="239"/>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Higher contribution margin associated with favorable pricing ($0.5 million), lower SG&amp;A ($0.5 million), operating efficiencies ($0.5 million), and lower fixed costs ($0.8 million);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ind w:left="1300" w:hanging="239"/>
        <w:spacing w:after="0"/>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No foreign currency transaction gain or loss in the third quarter of 2023 versus a gain of $0.5 million in the third quarter of 2022.</w:t>
      </w:r>
    </w:p>
    <w:p>
      <w:pPr>
        <w:spacing w:after="0" w:line="101" w:lineRule="exact"/>
        <w:rPr>
          <w:rFonts w:ascii="Arial" w:cs="Arial" w:eastAsia="Arial" w:hAnsi="Arial"/>
          <w:sz w:val="17"/>
          <w:szCs w:val="17"/>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$1.9 million increase from overwrap films primarily due to cost improvements.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First Nine Months of 2023 Results v. First Nine Months of 2022 Results</w:t>
      </w:r>
    </w:p>
    <w:p>
      <w:pPr>
        <w:spacing w:after="0" w:line="104"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Net sales in the first nine months of 2023 decreased 32.2% compared to the first nine months of 2022 primarily due to a decrease in sales volume in Surface Protection, resulting from weak demand in the consumer electronics market and customer inventory corrections in the first six months of 2023. Sales volume declined 34.2% in Surface Protection in the first nine months of 2023.</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EBITDA from ongoing operations in the first nine months of 2023 decreased $7.8 million versus the first nine months of 2022, primarily due to:</w:t>
      </w:r>
    </w:p>
    <w:p>
      <w:pPr>
        <w:spacing w:after="0" w:line="11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$10.9 million decrease from Surface Protection:</w:t>
      </w:r>
    </w:p>
    <w:p>
      <w:pPr>
        <w:spacing w:after="0" w:line="103" w:lineRule="exact"/>
        <w:rPr>
          <w:rFonts w:ascii="Arial" w:cs="Arial" w:eastAsia="Arial" w:hAnsi="Arial"/>
          <w:sz w:val="18"/>
          <w:szCs w:val="18"/>
          <w:color w:val="auto"/>
        </w:rPr>
      </w:pPr>
    </w:p>
    <w:p>
      <w:pPr>
        <w:ind w:left="1300" w:right="80" w:hanging="239"/>
        <w:spacing w:after="0" w:line="311" w:lineRule="auto"/>
        <w:tabs>
          <w:tab w:leader="none" w:pos="1296" w:val="left"/>
        </w:tabs>
        <w:numPr>
          <w:ilvl w:val="1"/>
          <w:numId w:val="17"/>
        </w:numPr>
        <w:rPr>
          <w:rFonts w:ascii="Arial" w:cs="Arial" w:eastAsia="Arial" w:hAnsi="Arial"/>
          <w:sz w:val="16"/>
          <w:szCs w:val="16"/>
          <w:color w:val="auto"/>
        </w:rPr>
      </w:pPr>
      <w:r>
        <w:rPr>
          <w:rFonts w:ascii="Arial" w:cs="Arial" w:eastAsia="Arial" w:hAnsi="Arial"/>
          <w:sz w:val="16"/>
          <w:szCs w:val="16"/>
          <w:color w:val="auto"/>
        </w:rPr>
        <w:t>Lower contribution margin for non-transitioning products associated with a market slowdown and customer inventory corrections ($12.8 million) and for previously disclosed customer product transitions ($0.7 million), partially offset by favorable pricing ($0.3 million), lower SG&amp;A and other employee-related expenses and operating efficiencies ($2.1 million) and lower fixed costs ($1.3 million);</w:t>
      </w:r>
    </w:p>
    <w:p>
      <w:pPr>
        <w:spacing w:after="0" w:line="13" w:lineRule="exact"/>
        <w:rPr>
          <w:rFonts w:ascii="Arial" w:cs="Arial" w:eastAsia="Arial" w:hAnsi="Arial"/>
          <w:sz w:val="16"/>
          <w:szCs w:val="16"/>
          <w:color w:val="auto"/>
        </w:rPr>
      </w:pPr>
    </w:p>
    <w:p>
      <w:pPr>
        <w:ind w:left="1300" w:right="180" w:hanging="239"/>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pass-through lag associated with resin costs ($0.1 million charge in the first nine months of 2023 versus a benefit of $0.3 million in the first nine months of 2022); and</w:t>
      </w:r>
    </w:p>
    <w:p>
      <w:pPr>
        <w:spacing w:after="0" w:line="48" w:lineRule="exact"/>
        <w:rPr>
          <w:rFonts w:ascii="Arial" w:cs="Arial" w:eastAsia="Arial" w:hAnsi="Arial"/>
          <w:sz w:val="18"/>
          <w:szCs w:val="18"/>
          <w:color w:val="auto"/>
        </w:rPr>
      </w:pPr>
    </w:p>
    <w:p>
      <w:pPr>
        <w:ind w:left="1300" w:right="140" w:hanging="239"/>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foreign currency transaction gain of $0.3 million in the first nine months of 2023 versus a gain of $1.0 million in the first nine months of 2022.</w:t>
      </w:r>
    </w:p>
    <w:p>
      <w:pPr>
        <w:spacing w:after="0" w:line="49"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$3.1 million increase from overwrap films primarily due to cost improvements and mix.</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Refer to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this Form 10-Q for additional information on resin prices.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Closure of PE Films Technical Center</w:t>
      </w:r>
    </w:p>
    <w:p>
      <w:pPr>
        <w:spacing w:after="0" w:line="10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August 3, 2023, the Company adopted a plan to close the PE Films technical center in Richmond, VA and reduce its efforts to develop and sell films supporting the semiconductor market. Future research &amp; development activities for PE Films will be performed at the facility in Pottsville, PA. PE Films continues to have new business opportunities primarily relating to surface protection films that protect components of flat panel and flexible displays. The Company anticipates all activities to cease at the PE Films technical center in Richmond, VA, by the end of 2023. Including costs incurred through the first nine months ended September 30, 2023, the Company expects to recognize cash costs associated with exit activities of $1.7 million for: (i) severance and related costs ($0.8 million), (ii) vacating the facility lease (($0.6 million) payable through June 2025), and (iii) building closure costs ($0.3 million). In addition, the Company expects non-cash asset write-downs and accelerated depreciation of up to $3.7 million. Net annual cash savings of $3.4 million are anticipated, beginning in the fourth quarter of 2023.</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Impairment in Surface Protection</w:t>
      </w:r>
    </w:p>
    <w:p>
      <w:pPr>
        <w:spacing w:after="0" w:line="104"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Manufacturers in the supply chain for consumer electronics continue to experience reduced capacity utilization and inventory corrections. In light of the continued uncertainty about the timing of a recovery for this market and the expected adverse future impact to the Surface Protection business, the Company performed a goodwill impairment analysis of the Surface Protection component of PE Films using projections that contemplate the expected market recovery and business conditions, including for its three significant customers. The analysis concluded that the fair value of Surface Protection was less than its carrying value, thus a non-cash partial goodwill impairment of $19.5 million ($15.1 million after deferred income tax benefits) was recognized during the third quarter of 2023 and $34.9 million ($27.0 million after deferred income tax benefits) during the first nine months of 2023. The Surface Protection reporting unit had goodwill of $22.4 million and $57.3 million as of September 30, 2023 and December 31, 2022,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90"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Capital expenditures for PE Films are projected to be $2 million in 2023, including $1 million for productivity projects and $1 million for capital expenditures required to support continuity of current operations. Depreciation expense is projected to be $7 million in 2023. There is no amortization expense for PE Films.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Flexible Packaging Films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Arial" w:cs="Arial" w:eastAsia="Arial" w:hAnsi="Arial"/>
                <w:sz w:val="18"/>
                <w:szCs w:val="18"/>
                <w:color w:val="auto"/>
                <w:w w:val="93"/>
              </w:rPr>
              <w:t>Three Months Ended</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Favorable/</w:t>
            </w:r>
          </w:p>
        </w:tc>
        <w:tc>
          <w:tcPr>
            <w:tcW w:w="200" w:type="dxa"/>
            <w:vAlign w:val="bottom"/>
          </w:tcPr>
          <w:p>
            <w:pPr>
              <w:spacing w:after="0"/>
              <w:rPr>
                <w:sz w:val="20"/>
                <w:szCs w:val="20"/>
                <w:color w:val="auto"/>
              </w:rPr>
            </w:pPr>
          </w:p>
        </w:tc>
        <w:tc>
          <w:tcPr>
            <w:tcW w:w="1840" w:type="dxa"/>
            <w:vAlign w:val="bottom"/>
            <w:gridSpan w:val="3"/>
          </w:tcPr>
          <w:p>
            <w:pPr>
              <w:jc w:val="right"/>
              <w:ind w:right="210"/>
              <w:spacing w:after="0"/>
              <w:rPr>
                <w:sz w:val="20"/>
                <w:szCs w:val="20"/>
                <w:color w:val="auto"/>
              </w:rPr>
            </w:pPr>
            <w:r>
              <w:rPr>
                <w:rFonts w:ascii="Arial" w:cs="Arial" w:eastAsia="Arial" w:hAnsi="Arial"/>
                <w:sz w:val="18"/>
                <w:szCs w:val="18"/>
                <w:color w:val="auto"/>
                <w:w w:val="96"/>
              </w:rPr>
              <w:t>Nine Months Ended</w:t>
            </w:r>
          </w:p>
        </w:tc>
        <w:tc>
          <w:tcPr>
            <w:tcW w:w="1480" w:type="dxa"/>
            <w:vAlign w:val="bottom"/>
            <w:vMerge w:val="restart"/>
          </w:tcPr>
          <w:p>
            <w:pPr>
              <w:jc w:val="center"/>
              <w:ind w:left="30"/>
              <w:spacing w:after="0"/>
              <w:rPr>
                <w:sz w:val="20"/>
                <w:szCs w:val="20"/>
                <w:color w:val="auto"/>
              </w:rPr>
            </w:pPr>
            <w:r>
              <w:rPr>
                <w:rFonts w:ascii="Arial" w:cs="Arial" w:eastAsia="Arial" w:hAnsi="Arial"/>
                <w:sz w:val="18"/>
                <w:szCs w:val="18"/>
                <w:color w:val="auto"/>
                <w:w w:val="89"/>
              </w:rPr>
              <w:t>Favorable/</w:t>
            </w:r>
          </w:p>
        </w:tc>
        <w:tc>
          <w:tcPr>
            <w:tcW w:w="0" w:type="dxa"/>
            <w:vAlign w:val="bottom"/>
          </w:tcPr>
          <w:p>
            <w:pPr>
              <w:spacing w:after="0"/>
              <w:rPr>
                <w:sz w:val="1"/>
                <w:szCs w:val="1"/>
                <w:color w:val="auto"/>
              </w:rPr>
            </w:pPr>
          </w:p>
        </w:tc>
      </w:tr>
      <w:tr>
        <w:trPr>
          <w:trHeight w:val="134"/>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gridSpan w:val="3"/>
            <w:vMerge w:val="restart"/>
          </w:tcPr>
          <w:p>
            <w:pPr>
              <w:jc w:val="right"/>
              <w:ind w:right="410"/>
              <w:spacing w:after="0"/>
              <w:rPr>
                <w:sz w:val="20"/>
                <w:szCs w:val="20"/>
                <w:color w:val="auto"/>
              </w:rPr>
            </w:pPr>
            <w:r>
              <w:rPr>
                <w:rFonts w:ascii="Arial" w:cs="Arial" w:eastAsia="Arial" w:hAnsi="Arial"/>
                <w:sz w:val="18"/>
                <w:szCs w:val="18"/>
                <w:color w:val="auto"/>
              </w:rPr>
              <w:t>September 30,</w:t>
            </w:r>
          </w:p>
        </w:tc>
        <w:tc>
          <w:tcPr>
            <w:tcW w:w="1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3"/>
            <w:vMerge w:val="restart"/>
          </w:tcPr>
          <w:p>
            <w:pPr>
              <w:jc w:val="right"/>
              <w:ind w:right="410"/>
              <w:spacing w:after="0"/>
              <w:rPr>
                <w:sz w:val="20"/>
                <w:szCs w:val="20"/>
                <w:color w:val="auto"/>
              </w:rPr>
            </w:pPr>
            <w:r>
              <w:rPr>
                <w:rFonts w:ascii="Arial" w:cs="Arial" w:eastAsia="Arial" w:hAnsi="Arial"/>
                <w:sz w:val="18"/>
                <w:szCs w:val="18"/>
                <w:color w:val="auto"/>
              </w:rPr>
              <w:t>September 30,</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vMerge w:val="continue"/>
          </w:tcPr>
          <w:p>
            <w:pPr>
              <w:spacing w:after="0"/>
              <w:rPr>
                <w:sz w:val="11"/>
                <w:szCs w:val="11"/>
                <w:color w:val="auto"/>
              </w:rPr>
            </w:pPr>
          </w:p>
        </w:tc>
        <w:tc>
          <w:tcPr>
            <w:tcW w:w="158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3"/>
              </w:rPr>
              <w:t>(Unfavorable)</w:t>
            </w:r>
          </w:p>
        </w:tc>
        <w:tc>
          <w:tcPr>
            <w:tcW w:w="2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vMerge w:val="continue"/>
          </w:tcPr>
          <w:p>
            <w:pPr>
              <w:spacing w:after="0"/>
              <w:rPr>
                <w:sz w:val="11"/>
                <w:szCs w:val="11"/>
                <w:color w:val="auto"/>
              </w:rPr>
            </w:pPr>
          </w:p>
        </w:tc>
        <w:tc>
          <w:tcPr>
            <w:tcW w:w="148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93"/>
              </w:rPr>
              <w:t>(Unfavorable)</w:t>
            </w:r>
          </w:p>
        </w:tc>
        <w:tc>
          <w:tcPr>
            <w:tcW w:w="0" w:type="dxa"/>
            <w:vAlign w:val="bottom"/>
          </w:tcPr>
          <w:p>
            <w:pPr>
              <w:spacing w:after="0"/>
              <w:rPr>
                <w:sz w:val="1"/>
                <w:szCs w:val="1"/>
                <w:color w:val="auto"/>
              </w:rPr>
            </w:pPr>
          </w:p>
        </w:tc>
      </w:tr>
      <w:tr>
        <w:trPr>
          <w:trHeight w:val="21"/>
        </w:trPr>
        <w:tc>
          <w:tcPr>
            <w:tcW w:w="4100" w:type="dxa"/>
            <w:vAlign w:val="bottom"/>
            <w:vMerge w:val="restart"/>
          </w:tcPr>
          <w:p>
            <w:pPr>
              <w:ind w:left="20"/>
              <w:spacing w:after="0"/>
              <w:rPr>
                <w:sz w:val="20"/>
                <w:szCs w:val="20"/>
                <w:color w:val="auto"/>
              </w:rPr>
            </w:pPr>
            <w:r>
              <w:rPr>
                <w:rFonts w:ascii="Arial" w:cs="Arial" w:eastAsia="Arial" w:hAnsi="Arial"/>
                <w:sz w:val="18"/>
                <w:szCs w:val="18"/>
                <w:color w:val="auto"/>
              </w:rPr>
              <w:t>(In thousands, except percentages)</w:t>
            </w: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line="20" w:lineRule="exact"/>
              <w:rPr>
                <w:sz w:val="1"/>
                <w:szCs w:val="1"/>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color w:val="auto"/>
              </w:rPr>
              <w:t>2022</w:t>
            </w:r>
          </w:p>
        </w:tc>
        <w:tc>
          <w:tcPr>
            <w:tcW w:w="15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7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line="20" w:lineRule="exact"/>
              <w:rPr>
                <w:sz w:val="1"/>
                <w:szCs w:val="1"/>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color w:val="auto"/>
              </w:rPr>
              <w:t>2022</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Change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 Change</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22,163</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65,732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82,210</w:t>
            </w:r>
          </w:p>
        </w:tc>
        <w:tc>
          <w:tcPr>
            <w:tcW w:w="14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(20.0)%</w:t>
            </w:r>
          </w:p>
        </w:tc>
        <w:tc>
          <w:tcPr>
            <w:tcW w:w="0" w:type="dxa"/>
            <w:vAlign w:val="bottom"/>
          </w:tcPr>
          <w:p>
            <w:pPr>
              <w:spacing w:after="0"/>
              <w:rPr>
                <w:sz w:val="1"/>
                <w:szCs w:val="1"/>
                <w:color w:val="auto"/>
              </w:rPr>
            </w:pPr>
          </w:p>
        </w:tc>
      </w:tr>
      <w:tr>
        <w:trPr>
          <w:trHeight w:val="23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30,111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(36.3)%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94,861</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128,117</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5"/>
              </w:rPr>
              <w:t>(26.0)%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 operations: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7,830</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(93.9)%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2,076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20,495</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5"/>
              </w:rPr>
              <w:t>(89.9)%</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(19.3)%</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5"/>
              </w:rPr>
              <w:t>(22.8)%</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(103.1)%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18,772</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(100.2)%</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5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2,891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7"/>
          <w:szCs w:val="17"/>
          <w:color w:val="auto"/>
        </w:rPr>
        <w:t>* See the table in Note 10 for a reconciliation of this non-GAAP measure to the most comparable measure calculated in accordance with GAAP.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Third Quarter 2023 Results vs. Third Quarter 2022 Results</w:t>
      </w:r>
    </w:p>
    <w:p>
      <w:pPr>
        <w:spacing w:after="0" w:line="9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Net sales in the third quarter of 2023 decreased 36.3% compared to the third quarter of 2022 primarily due to lower sales volume, lower selling prices that the Company believes are driven by excess global capacity and competition in Brazil from Asian imports, and the pass-through of lower resin costs.</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EBITDA from ongoing operations in the third quarter of 2023 decreased $7.4 million versus the third quarter of 2022, primarily due to:</w:t>
      </w:r>
    </w:p>
    <w:p>
      <w:pPr>
        <w:spacing w:after="0" w:line="104" w:lineRule="exact"/>
        <w:rPr>
          <w:sz w:val="20"/>
          <w:szCs w:val="20"/>
          <w:color w:val="auto"/>
        </w:rPr>
      </w:pPr>
    </w:p>
    <w:p>
      <w:pPr>
        <w:ind w:left="660" w:right="600" w:hanging="328"/>
        <w:spacing w:after="0" w:line="334"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Lower selling prices from the pass-through of lower resin costs and margin pressures ($6.9 million) and lower sales volume ($3.7 million), partially offset by lower raw material costs ($2.3 million), lower fixed costs ($0.8 million) and lower SG&amp;A expenses ($0.7 million);</w:t>
      </w:r>
    </w:p>
    <w:p>
      <w:pPr>
        <w:ind w:left="660" w:right="1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transaction gains ($0.2 million) in the third quarter of 2023 compared to foreign currency transaction gains ($0.1 million) in the third quarter of 2022;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unfavorable foreign currency translation of Real-denominated operating costs ($0.6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First Nine Months of 2023 Results v. First Nine Months of 2022 Results</w:t>
      </w:r>
    </w:p>
    <w:p>
      <w:pPr>
        <w:spacing w:after="0" w:line="9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Net sales in the first nine months of 2023 decreased 26.0% compared to the first nine months of 2022 primarily due to lower sales volume, lower selling prices that the Company believes are driven by excess global capacity and competition in Brazil from Asian imports, and the pass-through of lower resin costs, partially offset by favorable product mix.</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EBITDA from ongoing operations in the first nine months of 2023 decreased $18.4 million versus the first nine months of 2022 primarily due to:</w:t>
      </w:r>
    </w:p>
    <w:p>
      <w:pPr>
        <w:spacing w:after="0" w:line="115" w:lineRule="exact"/>
        <w:rPr>
          <w:sz w:val="20"/>
          <w:szCs w:val="20"/>
          <w:color w:val="auto"/>
        </w:rPr>
      </w:pPr>
    </w:p>
    <w:p>
      <w:pPr>
        <w:ind w:left="660" w:right="2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sales volume ($8.3 million), lower selling prices from the pass-through of lower resin costs and margin pressures ($11.1 million), higher fixed costs ($1.1 million, primarily due to under absorption from lower production volumes) and higher variable costs ($2.0 million, including higher costs resulting from quality issues), partially offset by lower raw material costs ($3.9 million), favorable product mix ($0.4 million) and lower SG&amp;A expenses ($0.9 million);</w:t>
      </w:r>
    </w:p>
    <w:p>
      <w:pPr>
        <w:spacing w:after="0" w:line="5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transaction losses ($0.1 million) in the first nine months of 2023 compared to foreign currency transaction losses ($0.3 million) in the first nine months of 2022;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unfavorable foreign currency translation of Real-denominated operating costs ($1.1 million).</w:t>
      </w:r>
    </w:p>
    <w:p>
      <w:pPr>
        <w:spacing w:after="0" w:line="10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 xml:space="preserve">Refer to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this Form 10-Q for additional information on polyester fiber and component price trends.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104"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Capital expenditures for Flexible Packaging Films are projected to be $4 million in 2023, including $1 million for new capacity for value-added products and productivity projects and $3 million for capital expenditures required to support continuity of current operations. Depreciation expense is projected to be $3 million in 2023. Amortization expense is projected to be $0.1 million in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u w:val="single" w:color="auto"/>
          <w:color w:val="auto"/>
        </w:rPr>
        <w:t>Corporate Expenses, Interest &amp; Other</w:t>
      </w:r>
    </w:p>
    <w:p>
      <w:pPr>
        <w:spacing w:after="0" w:line="1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Corporate expenses, net in the first nine months of 2023 remained flat compared to the first nine months of 2022 primarily due to higher professional fees associated with business development activities ($3.3 million), offset by lower accruals for employee-related compensation ($2.5 million) and lower external and internal audit fees ($0.6 million).</w:t>
      </w:r>
    </w:p>
    <w:p>
      <w:pPr>
        <w:spacing w:after="0" w:line="4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Interest expense of $7.8 million in the first nine months of 2023 increased $4.6 million compared to the first nine months of 2022 due to higher average debt levels and interest rates.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Current Corporate Strategic Initiatives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status of current corporate strategic initiatives is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 to Sell Terphane</w:t>
      </w:r>
    </w:p>
    <w:p>
      <w:pPr>
        <w:spacing w:after="0" w:line="104"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On September 1, 2023, the Company announced that it had entered into a definitive agreement to sell Terphane to Oben Group (the “Contingent Terphane Sale”). Completion of the sale is contingent upon the satisfaction of customary closing conditions, including the receipt of certain competition filing approvals by authorities in Brazil and Columbia. On October 27, 2023, the Company filed the requisite competition forms with the Administrative Council for Economic Defense (“CADE”) in Brazil. CADE published related materials for public comment on November 6, 2023. CADE’s deadline for completing its review is no later than September 23, 2024.</w:t>
      </w:r>
    </w:p>
    <w:p>
      <w:pPr>
        <w:spacing w:after="0" w:line="6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As of September 30, 2023, the Company has reported results for Terphane as a continuing operation, given the early stage of the approval process by authorities. If the sale transaction is completed, the Company expects to realize after-tax cash proceeds of $85 million after deducting projected Brazil withholding taxes, escrow funds, U.S. capital gains taxes and transaction costs. Actual after-tax proceeds may differ from estimates due to possible changes in deductions and the Company's tax situation during the potentially lengthy interim period to the closing date.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Plan Termination</w:t>
      </w:r>
    </w:p>
    <w:p>
      <w:pPr>
        <w:spacing w:after="0" w:line="1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September 27, 2023, the Company borrowed $30 million under the Credit Agreement in anticipation of the final funding expected for terminating its defined benefit pension plan obligation. On October 31, 2023, the Company used this cash to contribute $27.7 million to fully fund the pension plan with the amount necessary to allow for the subsequent transfer of the final annuity premium to Massachusetts Mutual Life Insurance Company, the selected insurer for the plan. On November 3, 2023, the pension plan termination and settlement process for the Company was completed, and the relevant pension plan obligation was transferred to Massachusetts Mutual Life Insurance Company. This completed the pension plan termination process that began in February 2022. As of September 30, 2023, the remaining unrecognized pre-tax actuarial losses reported in the accumulated other comprehensive income (loss) was $69.0 million.</w:t>
      </w:r>
    </w:p>
    <w:p>
      <w:pPr>
        <w:spacing w:after="0" w:line="7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Pension expense (all non-cash) under GAAP was $10.0 million in the first nine months of 2023 consistent with the first nine months of 2022, and is reflected in “Corporate expenses, net” in the accompanying net sales and EBITDA from ongoing operations by segment tables. Beginning in 2022, and consistent with no expected required minimum cash contributions, no pension expense has been included in calculating earnings before interest, taxes, depreciation and amortization as defined in the Credit Agreement (“Credit EBITDA”).</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Net capitalization and other credit measures are provided in </w:t>
      </w: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xml:space="preserve"> below.</w:t>
      </w:r>
    </w:p>
    <w:p>
      <w:pPr>
        <w:spacing w:after="0" w:line="100"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08"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2022 to September 30, 2023 are summarized below.</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6" w:name="page37"/>
    <w:bookmarkEnd w:id="36"/>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and other receivables decreased $14.2 million (16.8%).</w:t>
      </w:r>
    </w:p>
    <w:p>
      <w:pPr>
        <w:spacing w:after="0" w:line="90" w:lineRule="exact"/>
        <w:rPr>
          <w:rFonts w:ascii="Arial" w:cs="Arial" w:eastAsia="Arial" w:hAnsi="Arial"/>
          <w:sz w:val="18"/>
          <w:szCs w:val="18"/>
          <w:color w:val="auto"/>
        </w:rPr>
      </w:pPr>
    </w:p>
    <w:p>
      <w:pPr>
        <w:ind w:left="820" w:right="60" w:hanging="407"/>
        <w:spacing w:after="0" w:line="259" w:lineRule="auto"/>
        <w:tabs>
          <w:tab w:leader="none" w:pos="816" w:val="left"/>
        </w:tabs>
        <w:numPr>
          <w:ilvl w:val="1"/>
          <w:numId w:val="20"/>
        </w:numPr>
        <w:rPr>
          <w:rFonts w:ascii="Arial" w:cs="Arial" w:eastAsia="Arial" w:hAnsi="Arial"/>
          <w:sz w:val="18"/>
          <w:szCs w:val="18"/>
          <w:color w:val="auto"/>
          <w:strike w:val="1"/>
        </w:rPr>
      </w:pPr>
      <w:r>
        <w:rPr>
          <w:rFonts w:ascii="Arial" w:cs="Arial" w:eastAsia="Arial" w:hAnsi="Arial"/>
          <w:sz w:val="18"/>
          <w:szCs w:val="18"/>
          <w:color w:val="auto"/>
        </w:rPr>
        <w:t>Accounts and other receivables in Aluminum Extrusions decreased $13.7 million primarily due to lower sales volume and the pass-through of lower metal costs, partially offset by an increase in prices to cover higher operating costs. DSO (represents trailing 12 months net sales divided by a rolling 12-month average of accounts and other receivables balances) was approximately 47.5 days for the 12 months ended September 30, 2023 and 48.7 days for the 12 months ended December 31, 2022.</w:t>
      </w:r>
    </w:p>
    <w:p>
      <w:pPr>
        <w:spacing w:after="0" w:line="65" w:lineRule="exact"/>
        <w:rPr>
          <w:rFonts w:ascii="Arial" w:cs="Arial" w:eastAsia="Arial" w:hAnsi="Arial"/>
          <w:sz w:val="18"/>
          <w:szCs w:val="18"/>
          <w:color w:val="auto"/>
          <w:strike w:val="1"/>
        </w:rPr>
      </w:pPr>
    </w:p>
    <w:p>
      <w:pPr>
        <w:ind w:left="820" w:right="80" w:hanging="407"/>
        <w:spacing w:after="0" w:line="263" w:lineRule="auto"/>
        <w:tabs>
          <w:tab w:leader="none" w:pos="8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Accounts and other receivables in PE Films remained relatively flat. DSO was approximately 28.1 days for the 12 months ended September 30, 2023, which was lower compared to 30.3 days for the 12 months ended December 31, 2022 due to the mix of sales to customers with shorter customer repayment terms during the first nine months of 2023.</w:t>
      </w:r>
    </w:p>
    <w:p>
      <w:pPr>
        <w:spacing w:after="0" w:line="62" w:lineRule="exact"/>
        <w:rPr>
          <w:rFonts w:ascii="Arial" w:cs="Arial" w:eastAsia="Arial" w:hAnsi="Arial"/>
          <w:sz w:val="18"/>
          <w:szCs w:val="18"/>
          <w:color w:val="auto"/>
        </w:rPr>
      </w:pPr>
    </w:p>
    <w:p>
      <w:pPr>
        <w:ind w:left="820" w:right="200" w:hanging="407"/>
        <w:spacing w:after="0" w:line="263" w:lineRule="auto"/>
        <w:tabs>
          <w:tab w:leader="none" w:pos="8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Accounts and other receivables in Flexible Packaging Films decreased $1.4 million primarily due to lower volume and improved collection efforts during the nine months ended 2023. DSO was approximately 38.9 days for the 12 months ended September 30, 2023 and 41.1 days for the 12 months ended December 31, 2022.</w:t>
      </w:r>
    </w:p>
    <w:p>
      <w:pPr>
        <w:spacing w:after="0" w:line="48"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Inventories decreased $48.5 million (37.9%).</w:t>
      </w:r>
    </w:p>
    <w:p>
      <w:pPr>
        <w:spacing w:after="0" w:line="103" w:lineRule="exact"/>
        <w:rPr>
          <w:rFonts w:ascii="Arial" w:cs="Arial" w:eastAsia="Arial" w:hAnsi="Arial"/>
          <w:sz w:val="18"/>
          <w:szCs w:val="18"/>
          <w:color w:val="auto"/>
        </w:rPr>
      </w:pPr>
    </w:p>
    <w:p>
      <w:pPr>
        <w:ind w:left="820" w:right="80" w:hanging="407"/>
        <w:spacing w:after="0" w:line="259" w:lineRule="auto"/>
        <w:tabs>
          <w:tab w:leader="none" w:pos="8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Inventories in Aluminum Extrusions decreased $27.7 million due to decreased raw material levels to align with demand and working capital targets. DIO (represents trailing 12 months costs of goods sold calculated on a first-in first-out basis divided by a rolling 12-month average of inventory balances calculated on the first-in first-out basis) was approximately 57.0 days for the 12 months ended September 30, 2023 and 53.6 days for the 12 months ended December 31, 2022.</w:t>
      </w:r>
    </w:p>
    <w:p>
      <w:pPr>
        <w:spacing w:after="0" w:line="65" w:lineRule="exact"/>
        <w:rPr>
          <w:rFonts w:ascii="Arial" w:cs="Arial" w:eastAsia="Arial" w:hAnsi="Arial"/>
          <w:sz w:val="18"/>
          <w:szCs w:val="18"/>
          <w:color w:val="auto"/>
        </w:rPr>
      </w:pPr>
    </w:p>
    <w:p>
      <w:pPr>
        <w:ind w:left="820" w:right="240" w:hanging="407"/>
        <w:spacing w:after="0" w:line="308" w:lineRule="auto"/>
        <w:tabs>
          <w:tab w:leader="none" w:pos="816"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Inventories in PE Films decreased $1.5 million due to lower raw materials associated with overwrap films. DIO was approximately 63.3 days for the 12 months ended September 30, 2023 and 66.8 days for the 12 months ended December 31, 2022.</w:t>
      </w:r>
    </w:p>
    <w:p>
      <w:pPr>
        <w:spacing w:after="0" w:line="11" w:lineRule="exact"/>
        <w:rPr>
          <w:rFonts w:ascii="Arial" w:cs="Arial" w:eastAsia="Arial" w:hAnsi="Arial"/>
          <w:sz w:val="17"/>
          <w:szCs w:val="17"/>
          <w:color w:val="auto"/>
        </w:rPr>
      </w:pPr>
    </w:p>
    <w:p>
      <w:pPr>
        <w:ind w:left="820" w:right="20" w:hanging="407"/>
        <w:spacing w:after="0" w:line="259" w:lineRule="auto"/>
        <w:tabs>
          <w:tab w:leader="none" w:pos="8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Inventories in Flexible Packaging Films decreased $19.2 million primarily due to lower raw material purchases and lower finished goods levels as a result of lower sales volume. DIO of approximately 126.8 days for the 12 months ended September 30, 2023 was higher compared 108.0 days for the 12 months ended December 31, 2022 due to the lower Flexible Packaging Films 12-month average of costs of goods sold as a result of lower sales volume.</w:t>
      </w:r>
    </w:p>
    <w:p>
      <w:pPr>
        <w:spacing w:after="0" w:line="65" w:lineRule="exact"/>
        <w:rPr>
          <w:rFonts w:ascii="Arial" w:cs="Arial" w:eastAsia="Arial" w:hAnsi="Arial"/>
          <w:sz w:val="18"/>
          <w:szCs w:val="18"/>
          <w:color w:val="auto"/>
        </w:rPr>
      </w:pPr>
    </w:p>
    <w:p>
      <w:pPr>
        <w:ind w:left="420" w:right="400" w:hanging="412"/>
        <w:spacing w:after="0" w:line="263"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property, plant and equipment decreased $0.6 million primarily due to depreciation expense of $19.5 million, the write-down of Richmond Technical Center assets of $3.4 million and a $0.7 million favorable change in the value of the U.S. dollar relative to foreign currencies, partially offset by capital expenditures of $22.2 million.</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Identifiable intangible assets, net decreased $1.4 million (12.0%) due to amortization expense.</w:t>
      </w:r>
    </w:p>
    <w:p>
      <w:pPr>
        <w:spacing w:after="0" w:line="90" w:lineRule="exact"/>
        <w:rPr>
          <w:rFonts w:ascii="Arial" w:cs="Arial" w:eastAsia="Arial" w:hAnsi="Arial"/>
          <w:sz w:val="18"/>
          <w:szCs w:val="18"/>
          <w:color w:val="auto"/>
        </w:rPr>
      </w:pPr>
    </w:p>
    <w:p>
      <w:pPr>
        <w:ind w:left="420" w:right="460" w:hanging="412"/>
        <w:spacing w:after="0" w:line="277"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Deferred income tax assets increased $7.9 million primarily due to changes in other comprehensive income, a pre-tax loss, and a decrease in the deferred tax liability related to the goodwill impairment. See Note 9 for additional information.</w:t>
      </w:r>
    </w:p>
    <w:p>
      <w:pPr>
        <w:spacing w:after="0" w:line="48"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payable decreased $20.2 million (17.6%).</w:t>
      </w:r>
    </w:p>
    <w:p>
      <w:pPr>
        <w:spacing w:after="0" w:line="103" w:lineRule="exact"/>
        <w:rPr>
          <w:rFonts w:ascii="Arial" w:cs="Arial" w:eastAsia="Arial" w:hAnsi="Arial"/>
          <w:sz w:val="18"/>
          <w:szCs w:val="18"/>
          <w:color w:val="auto"/>
        </w:rPr>
      </w:pPr>
    </w:p>
    <w:p>
      <w:pPr>
        <w:ind w:left="820" w:right="80" w:hanging="407"/>
        <w:spacing w:after="0" w:line="259" w:lineRule="auto"/>
        <w:tabs>
          <w:tab w:leader="none" w:pos="8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Accounts payable in Aluminum Extrusions decreased $12.4 million primarily due to lower raw material purchases and favorable vendor terms. DPO (represents trailing 12 months costs of goods sold calculated on a first-in first-out basis divided by a rolling 12-month average of accounts payable balances) was approximately 53.6 days for the 12 months ended September 30, 2023 and 64.2 days for the 12 months ended December 31, 2022.</w:t>
      </w:r>
    </w:p>
    <w:p>
      <w:pPr>
        <w:spacing w:after="0" w:line="51" w:lineRule="exact"/>
        <w:rPr>
          <w:rFonts w:ascii="Arial" w:cs="Arial" w:eastAsia="Arial" w:hAnsi="Arial"/>
          <w:sz w:val="18"/>
          <w:szCs w:val="18"/>
          <w:color w:val="auto"/>
        </w:rPr>
      </w:pPr>
    </w:p>
    <w:p>
      <w:pPr>
        <w:ind w:left="820" w:right="340" w:hanging="407"/>
        <w:spacing w:after="0" w:line="277" w:lineRule="auto"/>
        <w:tabs>
          <w:tab w:leader="none" w:pos="8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Accounts payable in PE Films remained relatively flat. DPO was approximately 41.8 days for the 12 months ended September 30, 2023 and 51.0 days for the 12 months ended December 31, 2022.</w:t>
      </w:r>
    </w:p>
    <w:p>
      <w:pPr>
        <w:spacing w:after="0" w:line="48" w:lineRule="exact"/>
        <w:rPr>
          <w:rFonts w:ascii="Arial" w:cs="Arial" w:eastAsia="Arial" w:hAnsi="Arial"/>
          <w:sz w:val="18"/>
          <w:szCs w:val="18"/>
          <w:color w:val="auto"/>
        </w:rPr>
      </w:pPr>
    </w:p>
    <w:p>
      <w:pPr>
        <w:ind w:left="820" w:right="180" w:hanging="407"/>
        <w:spacing w:after="0" w:line="308" w:lineRule="auto"/>
        <w:tabs>
          <w:tab w:leader="none" w:pos="816" w:val="left"/>
        </w:tabs>
        <w:numPr>
          <w:ilvl w:val="1"/>
          <w:numId w:val="20"/>
        </w:numPr>
        <w:rPr>
          <w:rFonts w:ascii="Arial" w:cs="Arial" w:eastAsia="Arial" w:hAnsi="Arial"/>
          <w:sz w:val="17"/>
          <w:szCs w:val="17"/>
          <w:color w:val="auto"/>
        </w:rPr>
      </w:pPr>
      <w:r>
        <w:rPr>
          <w:rFonts w:ascii="Arial" w:cs="Arial" w:eastAsia="Arial" w:hAnsi="Arial"/>
          <w:sz w:val="17"/>
          <w:szCs w:val="17"/>
          <w:color w:val="auto"/>
        </w:rPr>
        <w:t>Accounts payable in Flexible Packaging Films decreased $7.4 million primarily due to lower raw material purchases. DPO was approximately 63.0 days for the 12 months ended September 30, 2023 and 72.4 days for the 12 months ended December 31, 2022.</w:t>
      </w:r>
    </w:p>
    <w:p>
      <w:pPr>
        <w:spacing w:after="0" w:line="2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Net cash provided by operating activities was $44.2 million in the first nine months of 2023 compared to net cash used in operating activities of $23.2 million in the first nine months of 2022. The change in operating activities is primarily due to the contribution to the pension plan ($50 million) in 2022 and improved working capital due to factors discussed earlier in this section relating to accounts and other receivables, inventories and accounts payable.</w:t>
      </w:r>
    </w:p>
    <w:p>
      <w:pPr>
        <w:spacing w:after="0" w:line="1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Net cash used in investing activities was $22.0 million in the first nine months of 2023 compared to net cash used in investing activities of $24.1 million the first nine months of 2022. The decrease was due to lower capital expenditures ($3.3 million), partially offset by cash consideration of $0.3 million received in January 2023 compared to $1.4 million received in the May 2022 related to the customary post-closing adjustments on the sale of the investment in kaléo, which was sold in December 2021.</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ind w:right="120" w:firstLine="405"/>
        <w:spacing w:after="0" w:line="259" w:lineRule="auto"/>
        <w:rPr>
          <w:sz w:val="20"/>
          <w:szCs w:val="20"/>
          <w:color w:val="auto"/>
        </w:rPr>
      </w:pPr>
      <w:r>
        <w:rPr>
          <w:rFonts w:ascii="Arial" w:cs="Arial" w:eastAsia="Arial" w:hAnsi="Arial"/>
          <w:sz w:val="18"/>
          <w:szCs w:val="18"/>
          <w:color w:val="auto"/>
        </w:rPr>
        <w:t>Net cash provided by financing activities was $7.7 million in the first nine months of 2023, compared to net cash provided by financing activities of $36.8 million in the first nine months of 2022. The change in financing activities was primarily due to lower net borrowings ($33.0 million) under the Credit Agreement during the first nine months of 2023 as compared to the first nine months of 2022 and lower dividends paid during the first nine months of 2023.</w:t>
      </w:r>
    </w:p>
    <w:p>
      <w:pPr>
        <w:spacing w:after="0" w:line="52" w:lineRule="exact"/>
        <w:rPr>
          <w:sz w:val="20"/>
          <w:szCs w:val="20"/>
          <w:color w:val="auto"/>
        </w:rPr>
      </w:pPr>
    </w:p>
    <w:p>
      <w:pPr>
        <w:ind w:right="380" w:firstLine="405"/>
        <w:spacing w:after="0" w:line="279" w:lineRule="auto"/>
        <w:rPr>
          <w:sz w:val="20"/>
          <w:szCs w:val="20"/>
          <w:color w:val="auto"/>
        </w:rPr>
      </w:pPr>
      <w:r>
        <w:rPr>
          <w:rFonts w:ascii="Arial" w:cs="Arial" w:eastAsia="Arial" w:hAnsi="Arial"/>
          <w:sz w:val="17"/>
          <w:szCs w:val="17"/>
          <w:color w:val="auto"/>
        </w:rPr>
        <w:t>The Company believes that existing borrowing availability, current cash balances and cash flow from operations will be sufficient to satisfy short term material cash requirements related to working capital, capital expenditures, pension plan contributions, and debt repayments for at least the next twelve months. In the longer term, liquidity will depend on many factors, including results of operations, the timing and extent of capital expenditures, changes in operating plans or other events that would cause the Company to seek additional financing in future periods.</w:t>
      </w:r>
    </w:p>
    <w:p>
      <w:pPr>
        <w:spacing w:after="0" w:line="5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At September 30, 2023, the Company had cash and cash equivalents of $48.6 million, including cash and cash equivalents held in locations outside the U.S. of $12.5 million.</w:t>
      </w:r>
    </w:p>
    <w:p>
      <w:pPr>
        <w:spacing w:after="0" w:line="4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On June 29, 2022, Tredegar entered into a Second Amended and Restated Credit Agreement, which is a five-year, revolving, secured credit facility that matures on June 29, 2027. On August 3, 2023, the Company entered into Amendment No. 2 to the Second Amended and Restated Credit Agreement (collectively "the Credit Agreement"), which amended the primary restrictive covenants and decreased aggregate borrowings from $375 million to $200 million.</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capitalization and indebtedness as defined under the Credit Agreement as of September 30, 2023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60" w:type="dxa"/>
            <w:vAlign w:val="bottom"/>
            <w:tcBorders>
              <w:top w:val="single" w:sz="8" w:color="auto"/>
            </w:tcBorders>
          </w:tcPr>
          <w:p>
            <w:pPr>
              <w:spacing w:after="0"/>
              <w:rPr>
                <w:sz w:val="22"/>
                <w:szCs w:val="22"/>
                <w:color w:val="auto"/>
              </w:rPr>
            </w:pPr>
          </w:p>
        </w:tc>
        <w:tc>
          <w:tcPr>
            <w:tcW w:w="6900" w:type="dxa"/>
            <w:vAlign w:val="bottom"/>
            <w:tcBorders>
              <w:top w:val="single" w:sz="8" w:color="auto"/>
            </w:tcBorders>
          </w:tcPr>
          <w:p>
            <w:pPr>
              <w:jc w:val="right"/>
              <w:ind w:right="2310"/>
              <w:spacing w:after="0"/>
              <w:rPr>
                <w:sz w:val="20"/>
                <w:szCs w:val="20"/>
                <w:color w:val="auto"/>
              </w:rPr>
            </w:pPr>
            <w:r>
              <w:rPr>
                <w:rFonts w:ascii="Arial" w:cs="Arial" w:eastAsia="Arial" w:hAnsi="Arial"/>
                <w:sz w:val="18"/>
                <w:szCs w:val="18"/>
                <w:color w:val="auto"/>
                <w:w w:val="89"/>
              </w:rPr>
              <w:t>Net Capitalization and Indebtedness as of September 30, 2023</w:t>
            </w:r>
          </w:p>
        </w:tc>
        <w:tc>
          <w:tcPr>
            <w:tcW w:w="980" w:type="dxa"/>
            <w:vAlign w:val="bottom"/>
            <w:tcBorders>
              <w:top w:val="single" w:sz="8" w:color="auto"/>
            </w:tcBorders>
          </w:tcPr>
          <w:p>
            <w:pPr>
              <w:spacing w:after="0"/>
              <w:rPr>
                <w:sz w:val="22"/>
                <w:szCs w:val="22"/>
                <w:color w:val="auto"/>
              </w:rPr>
            </w:pPr>
          </w:p>
        </w:tc>
      </w:tr>
      <w:tr>
        <w:trPr>
          <w:trHeight w:val="230"/>
        </w:trPr>
        <w:tc>
          <w:tcPr>
            <w:tcW w:w="33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jc w:val="right"/>
              <w:ind w:right="4030"/>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spacing w:after="0"/>
              <w:rPr>
                <w:sz w:val="20"/>
                <w:szCs w:val="20"/>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3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6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48,604</w:t>
            </w:r>
          </w:p>
        </w:tc>
      </w:tr>
      <w:tr>
        <w:trPr>
          <w:trHeight w:val="230"/>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3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Credit Agreement</w:t>
            </w:r>
          </w:p>
        </w:tc>
        <w:tc>
          <w:tcPr>
            <w:tcW w:w="6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w:t>
            </w:r>
          </w:p>
        </w:tc>
      </w:tr>
      <w:tr>
        <w:trPr>
          <w:trHeight w:val="223"/>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Debt, net of cash and cash equivalents</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106,396</w:t>
            </w:r>
          </w:p>
        </w:tc>
      </w:tr>
      <w:tr>
        <w:trPr>
          <w:trHeight w:val="229"/>
        </w:trPr>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Shareholders’ equity</w:t>
            </w:r>
          </w:p>
        </w:tc>
        <w:tc>
          <w:tcPr>
            <w:tcW w:w="6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154,191</w:t>
            </w:r>
          </w:p>
        </w:tc>
      </w:tr>
      <w:tr>
        <w:trPr>
          <w:trHeight w:val="230"/>
        </w:trPr>
        <w:tc>
          <w:tcPr>
            <w:tcW w:w="3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capitalization</w:t>
            </w:r>
          </w:p>
        </w:tc>
        <w:tc>
          <w:tcPr>
            <w:tcW w:w="6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260,587</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w w:val="90"/>
              </w:rPr>
              <w:t>Indebtedness as defined in Credit Agreement:</w:t>
            </w:r>
          </w:p>
        </w:tc>
        <w:tc>
          <w:tcPr>
            <w:tcW w:w="69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6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r>
      <w:tr>
        <w:trPr>
          <w:trHeight w:val="230"/>
        </w:trPr>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Indebtedness</w:t>
            </w:r>
          </w:p>
        </w:tc>
        <w:tc>
          <w:tcPr>
            <w:tcW w:w="6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w:t>
            </w:r>
          </w:p>
        </w:tc>
      </w:tr>
    </w:tbl>
    <w:p>
      <w:pPr>
        <w:spacing w:after="0" w:line="175"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Borrowings under the Credit Agreement bear an interest rate equal to SOFR plus a credit spread adjustment of 10 basis points ("Adjusted Term SOFR Rate"), plus a credit spread depending on the type of borrowings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Under the Credit Agreement (Basis Points)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Borders>
              <w:top w:val="single" w:sz="8" w:color="auto"/>
            </w:tcBorders>
          </w:tcPr>
          <w:p>
            <w:pPr>
              <w:spacing w:after="0"/>
              <w:rPr>
                <w:sz w:val="14"/>
                <w:szCs w:val="14"/>
                <w:color w:val="auto"/>
              </w:rPr>
            </w:pPr>
          </w:p>
        </w:tc>
        <w:tc>
          <w:tcPr>
            <w:tcW w:w="47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rPr>
              <w:t>Term Benchmark</w:t>
            </w:r>
          </w:p>
        </w:tc>
        <w:tc>
          <w:tcPr>
            <w:tcW w:w="134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Commitment</w:t>
            </w:r>
          </w:p>
        </w:tc>
      </w:tr>
      <w:tr>
        <w:trPr>
          <w:trHeight w:val="24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Leverage Ratio</w:t>
            </w:r>
          </w:p>
        </w:tc>
        <w:tc>
          <w:tcPr>
            <w:tcW w:w="47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Spread</w:t>
            </w: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Fee</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&gt;1.0x but &lt;=2.0x</w:t>
            </w:r>
          </w:p>
        </w:tc>
        <w:tc>
          <w:tcPr>
            <w:tcW w:w="4740" w:type="dxa"/>
            <w:vAlign w:val="bottom"/>
          </w:tcPr>
          <w:p>
            <w:pPr>
              <w:jc w:val="right"/>
              <w:ind w:right="70"/>
              <w:spacing w:after="0"/>
              <w:rPr>
                <w:sz w:val="20"/>
                <w:szCs w:val="20"/>
                <w:color w:val="auto"/>
              </w:rPr>
            </w:pPr>
            <w:r>
              <w:rPr>
                <w:rFonts w:ascii="Arial" w:cs="Arial" w:eastAsia="Arial" w:hAnsi="Arial"/>
                <w:sz w:val="18"/>
                <w:szCs w:val="18"/>
                <w:color w:val="auto"/>
              </w:rPr>
              <w:t>187.5</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&gt;3.0x but &lt;=3.5x</w:t>
            </w:r>
          </w:p>
        </w:tc>
        <w:tc>
          <w:tcPr>
            <w:tcW w:w="4740" w:type="dxa"/>
            <w:vAlign w:val="bottom"/>
          </w:tcPr>
          <w:p>
            <w:pPr>
              <w:jc w:val="right"/>
              <w:ind w:right="70"/>
              <w:spacing w:after="0"/>
              <w:rPr>
                <w:sz w:val="20"/>
                <w:szCs w:val="20"/>
                <w:color w:val="auto"/>
              </w:rPr>
            </w:pPr>
            <w:r>
              <w:rPr>
                <w:rFonts w:ascii="Arial" w:cs="Arial" w:eastAsia="Arial" w:hAnsi="Arial"/>
                <w:sz w:val="18"/>
                <w:szCs w:val="18"/>
                <w:color w:val="auto"/>
              </w:rPr>
              <w:t>212.5</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6"/>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225.0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17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At September 30, 2023, $155.0 million of the outstanding debt was principally priced at an interest rate equal to the Adjusted Term SOFR Rate plus the applicable credit spread of 200.0 basis points.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primary restrictive covenants in the Credit Agreement include:</w:t>
      </w:r>
    </w:p>
    <w:p>
      <w:pPr>
        <w:spacing w:after="0" w:line="104" w:lineRule="exact"/>
        <w:rPr>
          <w:sz w:val="20"/>
          <w:szCs w:val="20"/>
          <w:color w:val="auto"/>
        </w:rPr>
      </w:pPr>
    </w:p>
    <w:p>
      <w:pPr>
        <w:ind w:left="820" w:right="300" w:hanging="407"/>
        <w:spacing w:after="0" w:line="263"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Net Leverage Ratio covenant of: (i) 5.0x for the quarters ending September 30, 2023 through March 31, 2024, (ii) 4.75x for the quarter ending June 30, 2024, (iii) 4.25 for the quarter ending September 30, 2024, and (iv) 4.0x for the quarter ending December 31, 2024 and thereafter;</w:t>
      </w:r>
    </w:p>
    <w:p>
      <w:pPr>
        <w:spacing w:after="0" w:line="62" w:lineRule="exact"/>
        <w:rPr>
          <w:rFonts w:ascii="Arial" w:cs="Arial" w:eastAsia="Arial" w:hAnsi="Arial"/>
          <w:sz w:val="18"/>
          <w:szCs w:val="18"/>
          <w:color w:val="auto"/>
        </w:rPr>
      </w:pPr>
    </w:p>
    <w:p>
      <w:pPr>
        <w:ind w:left="820" w:right="460" w:hanging="407"/>
        <w:spacing w:after="0" w:line="27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Coverage Ratio covenant of: (i) 2.50x for the quarters ending September 30, 2023 through June 30, 2024, (ii) 2.75x for the quarter ending September 30, 2024, and (iii) 3.0x for the quarter ending December 31, 2024 and thereafter;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ind w:left="420" w:right="800" w:hanging="7"/>
        <w:spacing w:after="0" w:line="35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Prohibiting dividend payments and share repurchases during fiscal quarters ending September 30, 2023 through December 31, 2024. Under the Credit Agreement:</w:t>
      </w:r>
    </w:p>
    <w:p>
      <w:pPr>
        <w:ind w:left="820" w:right="360" w:hanging="407"/>
        <w:spacing w:after="0" w:line="27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Net Leverage Ratio is defined as the ratio of (a)(i) total indebtedness minus (ii) liquidity (the lesser of $50,000,000 and the aggregate amount of cash and cash equivalents) to (b) Credit EBITDA; and</w:t>
      </w:r>
    </w:p>
    <w:p>
      <w:pPr>
        <w:spacing w:after="0" w:line="48"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Coverage Ratio is defined as the ratio of Credit EBITDA to interest expense.</w:t>
      </w:r>
    </w:p>
    <w:p>
      <w:pPr>
        <w:spacing w:after="0" w:line="90" w:lineRule="exact"/>
        <w:rPr>
          <w:sz w:val="20"/>
          <w:szCs w:val="20"/>
          <w:color w:val="auto"/>
        </w:rPr>
      </w:pPr>
    </w:p>
    <w:p>
      <w:pPr>
        <w:ind w:firstLine="405"/>
        <w:spacing w:after="0" w:line="249" w:lineRule="auto"/>
        <w:rPr>
          <w:sz w:val="20"/>
          <w:szCs w:val="20"/>
          <w:color w:val="auto"/>
        </w:rPr>
      </w:pPr>
      <w:r>
        <w:rPr>
          <w:rFonts w:ascii="Arial" w:cs="Arial" w:eastAsia="Arial" w:hAnsi="Arial"/>
          <w:sz w:val="18"/>
          <w:szCs w:val="18"/>
          <w:color w:val="auto"/>
        </w:rPr>
        <w:t>The Credit Agreement is secured by substantially all of the Company’s and its domestic subsidiaries’ assets, including equity in certain material first-tier foreign subsidiaries. At September 30, 2023, based upon the restrictive covenants within the Credit Agreement, available credit under the Credit Agreement was approximately $4.7 million. Total debt outstanding was $155.0 million and $137.0 million as of September 30, 2023 and December 31, 2022, respectively.</w:t>
      </w:r>
    </w:p>
    <w:p>
      <w:pPr>
        <w:spacing w:after="0" w:line="59"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Credit EBITDA is not intended to represent net income (loss) or cash flow from operations as defined by GAAP and should not be considered as an alternative to either net income (loss) or to cash flow. The computations of Credit EBITDA, the Total Net Leverage Ratio and Interest Coverage Ratio as defined in the Credit Agreement are presented below.</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Computations of Credit EBITDA, Total Net Leverage Ratio and Interest Coverage Ratio (in each case, as Defined in the Credit Agreement) Along with Related Primary Restrictive Covenants as of and for the Twelve Months Ended September 30, 2023</w:t>
      </w:r>
    </w:p>
    <w:tbl>
      <w:tblPr>
        <w:tblLayout w:type="fixed"/>
        <w:tblInd w:w="0" w:type="dxa"/>
        <w:tblCellMar>
          <w:top w:w="0" w:type="dxa"/>
          <w:left w:w="0" w:type="dxa"/>
          <w:bottom w:w="0" w:type="dxa"/>
          <w:right w:w="0" w:type="dxa"/>
        </w:tblCellMar>
      </w:tblPr>
      <w:tr>
        <w:trPr>
          <w:trHeight w:val="229"/>
        </w:trPr>
        <w:tc>
          <w:tcPr>
            <w:tcW w:w="100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Computation of Credit EBITDA for the twelve months ended September 30, 2023 (In Thousands):</w:t>
            </w: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29"/>
        </w:trPr>
        <w:tc>
          <w:tcPr>
            <w:tcW w:w="10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(74,182)</w:t>
            </w:r>
          </w:p>
        </w:tc>
      </w:tr>
      <w:tr>
        <w:trPr>
          <w:trHeight w:val="230"/>
        </w:trPr>
        <w:tc>
          <w:tcPr>
            <w:tcW w:w="10080" w:type="dxa"/>
            <w:vAlign w:val="bottom"/>
          </w:tcPr>
          <w:p>
            <w:pPr>
              <w:ind w:left="360"/>
              <w:spacing w:after="0"/>
              <w:rPr>
                <w:sz w:val="20"/>
                <w:szCs w:val="20"/>
                <w:color w:val="auto"/>
              </w:rPr>
            </w:pPr>
            <w:r>
              <w:rPr>
                <w:rFonts w:ascii="Arial" w:cs="Arial" w:eastAsia="Arial" w:hAnsi="Arial"/>
                <w:sz w:val="18"/>
                <w:szCs w:val="18"/>
                <w:color w:val="auto"/>
              </w:rPr>
              <w:t>Plus:</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10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After-tax losses related to discontinued operations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80" w:type="dxa"/>
            <w:vAlign w:val="bottom"/>
          </w:tcPr>
          <w:p>
            <w:pPr>
              <w:ind w:left="680"/>
              <w:spacing w:after="0"/>
              <w:rPr>
                <w:sz w:val="20"/>
                <w:szCs w:val="20"/>
                <w:color w:val="auto"/>
              </w:rPr>
            </w:pPr>
            <w:r>
              <w:rPr>
                <w:rFonts w:ascii="Arial" w:cs="Arial" w:eastAsia="Arial" w:hAnsi="Arial"/>
                <w:sz w:val="18"/>
                <w:szCs w:val="18"/>
                <w:color w:val="auto"/>
              </w:rPr>
              <w:t>Total income tax expense for continuing operations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w:t>
            </w:r>
          </w:p>
        </w:tc>
      </w:tr>
      <w:tr>
        <w:trPr>
          <w:trHeight w:val="229"/>
        </w:trPr>
        <w:tc>
          <w:tcPr>
            <w:tcW w:w="10080" w:type="dxa"/>
            <w:vAlign w:val="bottom"/>
          </w:tcPr>
          <w:p>
            <w:pPr>
              <w:ind w:left="680"/>
              <w:spacing w:after="0"/>
              <w:rPr>
                <w:sz w:val="20"/>
                <w:szCs w:val="20"/>
                <w:color w:val="auto"/>
              </w:rPr>
            </w:pPr>
            <w:r>
              <w:rPr>
                <w:rFonts w:ascii="Arial" w:cs="Arial" w:eastAsia="Arial" w:hAnsi="Arial"/>
                <w:sz w:val="18"/>
                <w:szCs w:val="18"/>
                <w:color w:val="auto"/>
              </w:rPr>
              <w:t>Depreciation and amortization expense for continuing operations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27,830</w:t>
            </w:r>
          </w:p>
        </w:tc>
      </w:tr>
      <w:tr>
        <w:trPr>
          <w:trHeight w:val="176"/>
        </w:trPr>
        <w:tc>
          <w:tcPr>
            <w:tcW w:w="100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4"/>
              </w:rPr>
              <w:t>All non-cash losses and expenses, plus cash losses and expenses not to exceed $10,000, for continuing operations that are</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5"/>
        </w:trPr>
        <w:tc>
          <w:tcPr>
            <w:tcW w:w="100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0"/>
              </w:rPr>
              <w:t>classified as unusual, extraordinary or which are related to plant shutdowns, asset impairments and/or restructurings (cash-related</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10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of $10,000)</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74,080</w:t>
            </w:r>
          </w:p>
        </w:tc>
      </w:tr>
      <w:tr>
        <w:trPr>
          <w:trHeight w:val="229"/>
        </w:trPr>
        <w:tc>
          <w:tcPr>
            <w:tcW w:w="10080" w:type="dxa"/>
            <w:vAlign w:val="bottom"/>
          </w:tcPr>
          <w:p>
            <w:pPr>
              <w:ind w:left="680"/>
              <w:spacing w:after="0"/>
              <w:rPr>
                <w:sz w:val="20"/>
                <w:szCs w:val="20"/>
                <w:color w:val="auto"/>
              </w:rPr>
            </w:pPr>
            <w:r>
              <w:rPr>
                <w:rFonts w:ascii="Arial" w:cs="Arial" w:eastAsia="Arial" w:hAnsi="Arial"/>
                <w:sz w:val="18"/>
                <w:szCs w:val="18"/>
                <w:color w:val="auto"/>
              </w:rPr>
              <w:t>Charges related to stock option grants and awards accounted for under the fair value-based method</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10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Losses related to the application of the equity method of accounting</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80" w:type="dxa"/>
            <w:vAlign w:val="bottom"/>
          </w:tcPr>
          <w:p>
            <w:pPr>
              <w:ind w:left="680"/>
              <w:spacing w:after="0"/>
              <w:rPr>
                <w:sz w:val="20"/>
                <w:szCs w:val="20"/>
                <w:color w:val="auto"/>
              </w:rPr>
            </w:pPr>
            <w:r>
              <w:rPr>
                <w:rFonts w:ascii="Arial" w:cs="Arial" w:eastAsia="Arial" w:hAnsi="Arial"/>
                <w:sz w:val="18"/>
                <w:szCs w:val="18"/>
                <w:color w:val="auto"/>
                <w:w w:val="96"/>
              </w:rPr>
              <w:t>Losses related to adjustments in the estimated fair value of assets accounted for under the fair value method of accounting</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Minus: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10080" w:type="dxa"/>
            <w:vAlign w:val="bottom"/>
          </w:tcPr>
          <w:p>
            <w:pPr>
              <w:ind w:left="680"/>
              <w:spacing w:after="0"/>
              <w:rPr>
                <w:sz w:val="20"/>
                <w:szCs w:val="20"/>
                <w:color w:val="auto"/>
              </w:rPr>
            </w:pPr>
            <w:r>
              <w:rPr>
                <w:rFonts w:ascii="Arial" w:cs="Arial" w:eastAsia="Arial" w:hAnsi="Arial"/>
                <w:sz w:val="18"/>
                <w:szCs w:val="18"/>
                <w:color w:val="auto"/>
              </w:rPr>
              <w:t>After-tax income related to discontinued operations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10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income tax benefits for continuing operations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w:t>
            </w:r>
          </w:p>
        </w:tc>
      </w:tr>
      <w:tr>
        <w:trPr>
          <w:trHeight w:val="230"/>
        </w:trPr>
        <w:tc>
          <w:tcPr>
            <w:tcW w:w="10080" w:type="dxa"/>
            <w:vAlign w:val="bottom"/>
          </w:tcPr>
          <w:p>
            <w:pPr>
              <w:ind w:left="6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95"/>
              </w:rPr>
              <w:t>(151)</w:t>
            </w:r>
          </w:p>
        </w:tc>
      </w:tr>
      <w:tr>
        <w:trPr>
          <w:trHeight w:val="175"/>
        </w:trPr>
        <w:tc>
          <w:tcPr>
            <w:tcW w:w="100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1"/>
              </w:rPr>
              <w:t>All non-cash gains and income, plus cash gains and income in excess of $10,000, for continuing operations that are classified as</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10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unusual, extraordinary or which are related to plant shutdowns, asset impairments and/or restructurings</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80" w:type="dxa"/>
            <w:vAlign w:val="bottom"/>
          </w:tcPr>
          <w:p>
            <w:pPr>
              <w:ind w:left="680"/>
              <w:spacing w:after="0"/>
              <w:rPr>
                <w:sz w:val="20"/>
                <w:szCs w:val="20"/>
                <w:color w:val="auto"/>
              </w:rPr>
            </w:pPr>
            <w:r>
              <w:rPr>
                <w:rFonts w:ascii="Arial" w:cs="Arial" w:eastAsia="Arial" w:hAnsi="Arial"/>
                <w:sz w:val="18"/>
                <w:szCs w:val="18"/>
                <w:color w:val="auto"/>
                <w:w w:val="95"/>
              </w:rPr>
              <w:t>Income related to changes in estimates for stock option grants and awards accounted for under the fair value-based method</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related to the application of the equity method of accounting</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80" w:type="dxa"/>
            <w:vAlign w:val="bottom"/>
          </w:tcPr>
          <w:p>
            <w:pPr>
              <w:ind w:left="680"/>
              <w:spacing w:after="0"/>
              <w:rPr>
                <w:sz w:val="20"/>
                <w:szCs w:val="20"/>
                <w:color w:val="auto"/>
              </w:rPr>
            </w:pPr>
            <w:r>
              <w:rPr>
                <w:rFonts w:ascii="Arial" w:cs="Arial" w:eastAsia="Arial" w:hAnsi="Arial"/>
                <w:sz w:val="18"/>
                <w:szCs w:val="18"/>
                <w:color w:val="auto"/>
                <w:w w:val="95"/>
              </w:rPr>
              <w:t>Income related to adjustments in the estimated fair value of assets accounted for under the fair value method of accounting</w:t>
            </w:r>
          </w:p>
        </w:tc>
        <w:tc>
          <w:tcPr>
            <w:tcW w:w="34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95"/>
              </w:rPr>
              <w:t>(262)</w:t>
            </w:r>
          </w:p>
        </w:tc>
      </w:tr>
      <w:tr>
        <w:trPr>
          <w:trHeight w:val="229"/>
        </w:trPr>
        <w:tc>
          <w:tcPr>
            <w:tcW w:w="10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Plus cash dividends declared on investments in an amount not to exceed $10,000 for such period</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80" w:type="dxa"/>
            <w:vAlign w:val="bottom"/>
          </w:tcPr>
          <w:p>
            <w:pPr>
              <w:ind w:left="360"/>
              <w:spacing w:after="0"/>
              <w:rPr>
                <w:sz w:val="20"/>
                <w:szCs w:val="20"/>
                <w:color w:val="auto"/>
              </w:rPr>
            </w:pPr>
            <w:r>
              <w:rPr>
                <w:rFonts w:ascii="Arial" w:cs="Arial" w:eastAsia="Arial" w:hAnsi="Arial"/>
                <w:sz w:val="18"/>
                <w:szCs w:val="18"/>
                <w:color w:val="auto"/>
              </w:rPr>
              <w:t>Plus or minus, as applicable, pro forma EBITDA adjustments associated with acquisitions and asset dispositions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100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Plus or minus, as applicable, pro forma EBITDA adjustments to pension expense associated with the early payment of pension</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10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13,881</w:t>
            </w:r>
          </w:p>
        </w:tc>
      </w:tr>
      <w:tr>
        <w:trPr>
          <w:trHeight w:val="230"/>
        </w:trPr>
        <w:tc>
          <w:tcPr>
            <w:tcW w:w="100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Credit EBITDA</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31,937</w:t>
            </w:r>
          </w:p>
        </w:tc>
      </w:tr>
      <w:tr>
        <w:trPr>
          <w:trHeight w:val="229"/>
        </w:trPr>
        <w:tc>
          <w:tcPr>
            <w:tcW w:w="10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Computations of Total Net Leverage Ratio and Interest Coverage Ratio at September 30, 2023: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10080" w:type="dxa"/>
            <w:vAlign w:val="bottom"/>
          </w:tcPr>
          <w:p>
            <w:pPr>
              <w:ind w:left="360"/>
              <w:spacing w:after="0"/>
              <w:rPr>
                <w:sz w:val="20"/>
                <w:szCs w:val="20"/>
                <w:color w:val="auto"/>
              </w:rPr>
            </w:pPr>
            <w:r>
              <w:rPr>
                <w:rFonts w:ascii="Arial" w:cs="Arial" w:eastAsia="Arial" w:hAnsi="Arial"/>
                <w:sz w:val="18"/>
                <w:szCs w:val="18"/>
                <w:color w:val="auto"/>
              </w:rPr>
              <w:t>Total Net Leverage Ratio</w:t>
            </w:r>
          </w:p>
        </w:tc>
        <w:tc>
          <w:tcPr>
            <w:tcW w:w="34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90"/>
              </w:rPr>
              <w:t>3.33x</w:t>
            </w:r>
          </w:p>
        </w:tc>
      </w:tr>
      <w:tr>
        <w:trPr>
          <w:trHeight w:val="230"/>
        </w:trPr>
        <w:tc>
          <w:tcPr>
            <w:tcW w:w="10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Coverage Ratio</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0"/>
              </w:rPr>
              <w:t>3.32x</w:t>
            </w:r>
          </w:p>
        </w:tc>
      </w:tr>
      <w:tr>
        <w:trPr>
          <w:trHeight w:val="230"/>
        </w:trPr>
        <w:tc>
          <w:tcPr>
            <w:tcW w:w="10080" w:type="dxa"/>
            <w:vAlign w:val="bottom"/>
          </w:tcPr>
          <w:p>
            <w:pPr>
              <w:ind w:left="20"/>
              <w:spacing w:after="0"/>
              <w:rPr>
                <w:sz w:val="20"/>
                <w:szCs w:val="20"/>
                <w:color w:val="auto"/>
              </w:rPr>
            </w:pPr>
            <w:r>
              <w:rPr>
                <w:rFonts w:ascii="Arial" w:cs="Arial" w:eastAsia="Arial" w:hAnsi="Arial"/>
                <w:sz w:val="18"/>
                <w:szCs w:val="18"/>
                <w:color w:val="auto"/>
              </w:rPr>
              <w:t>Primary restrictive covenants:</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38"/>
        </w:trPr>
        <w:tc>
          <w:tcPr>
            <w:tcW w:w="10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Prohibiting dividend payments and share repurchases during fiscal quarters ending September 30, 2023 through December 31, 2024.</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29"/>
        </w:trPr>
        <w:tc>
          <w:tcPr>
            <w:tcW w:w="10080" w:type="dxa"/>
            <w:vAlign w:val="bottom"/>
          </w:tcPr>
          <w:p>
            <w:pPr>
              <w:ind w:left="360"/>
              <w:spacing w:after="0"/>
              <w:rPr>
                <w:sz w:val="20"/>
                <w:szCs w:val="20"/>
                <w:color w:val="auto"/>
              </w:rPr>
            </w:pPr>
            <w:r>
              <w:rPr>
                <w:rFonts w:ascii="Arial" w:cs="Arial" w:eastAsia="Arial" w:hAnsi="Arial"/>
                <w:sz w:val="18"/>
                <w:szCs w:val="18"/>
                <w:color w:val="auto"/>
              </w:rPr>
              <w:t>Maximum Total Net Leverage Ratio permitted as of September 30, 2023</w:t>
            </w:r>
          </w:p>
        </w:tc>
        <w:tc>
          <w:tcPr>
            <w:tcW w:w="34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90"/>
              </w:rPr>
              <w:t>5.00x</w:t>
            </w:r>
          </w:p>
        </w:tc>
      </w:tr>
      <w:tr>
        <w:trPr>
          <w:trHeight w:val="237"/>
        </w:trPr>
        <w:tc>
          <w:tcPr>
            <w:tcW w:w="10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Minimum Interest Coverage Ratio permitted as of September 30, 2023</w:t>
            </w: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0"/>
              </w:rPr>
              <w:t>2.50x</w:t>
            </w:r>
          </w:p>
        </w:tc>
      </w:tr>
    </w:tbl>
    <w:p>
      <w:pPr>
        <w:spacing w:after="0" w:line="16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Company had Credit EBITDA and a Total Net Leverage Ratio of $31.9 million and 3.33x (and 4.21x pro forma for final funding to terminate the pension plan), respectively, at September 30, 2023, versus the Credit EBITDA and Total Net Leverage Ratio at December 31, 2022 of $84.4 million and 1.39x, respectively.</w:t>
      </w:r>
    </w:p>
    <w:p>
      <w:pPr>
        <w:spacing w:after="0" w:line="6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previously disclosed its intent to reduce the risk of a debt covenant violation during a severe cyclical downturn impacting all of its businesses at the same time (like the Company is currently experiencing) by investigating a transition from the existing “cash flow” based revolving credit facility (which uses Credit EBITDA) to an asset based revolving credit facility (“ABL”).</w:t>
      </w:r>
    </w:p>
    <w:p>
      <w:pPr>
        <w:spacing w:after="0" w:line="4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took its first step in the planned migration to ABL financing on October 26, 2023, when Terphane Limitada, the Company’s wholly owned subsidiary in Brazil, borrowed $20 million secured by certain of its assets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40" w:name="page41"/>
    <w:bookmarkEnd w:id="40"/>
    <w:p>
      <w:pPr>
        <w:ind w:right="260"/>
        <w:spacing w:after="0" w:line="273" w:lineRule="auto"/>
        <w:rPr>
          <w:sz w:val="20"/>
          <w:szCs w:val="20"/>
          <w:color w:val="auto"/>
        </w:rPr>
      </w:pPr>
      <w:r>
        <w:rPr>
          <w:rFonts w:ascii="Arial" w:cs="Arial" w:eastAsia="Arial" w:hAnsi="Arial"/>
          <w:sz w:val="17"/>
          <w:szCs w:val="17"/>
          <w:color w:val="auto"/>
        </w:rPr>
        <w:t>“Terphane Brazil Loan”). This U.S. Dollar borrowing has a maturity date in five years, on October 30, 2028, with interest payable quarterly at an annual floating interest rate of the SOFR plus 5.99%. The SOFR rate was 5.31% as of October 26, 2023. Quarterly principal payments of $1.7 million begin starting in year 3 of the loan. There are no prepayment penalties. The Company expects that the Terphane Brazil Loan will be repaid (and collateral released) upon a closing of the Contingent Terphane Sale. On October 26, 2023, the Company borrowed $20 million from Terphane Brazil (the “Intercompany Loan”) at the same interest rate as the Terphane Brazil Loan, thereby transferring the funds to the U.S. The Company will repay the Intercompany Loan in conjunction with the closing of the Contingent Terphane Sale.</w:t>
      </w:r>
    </w:p>
    <w:p>
      <w:pPr>
        <w:spacing w:after="0" w:line="43"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Between the dates of November 4, 2023 and November 8, 2023, the Company oversaw the execution of consent advice letters by a majority of the lending group to the Credit Agreement (collectively, the “Advice Letters”). Pursuant to the Advice Letters, subject only to satisfactory documentation, these lending group members confirmed their agreement to consent to an amendment to the Credit Agreement (the “Credit Agreement Amendment”) that amends the Credit Agreement to implement a senior secured asset-based revolving credit facility (the “ABL Credit Facility”), which would expire on June 30, 2026. The permitted borrowings under the ABL Credit Facility will be based on a portion of eligible receivables, inventories, property, plant and equipment and cash and cash equivalents, as reduced by certain reserves. The Company is targeting the execution of the Credit Agreement Amendment by the end of 2023. The agreement to consent to the Credit Agreement Amendment by the majority of the lender group members expires on December 31, 2023. See Note 13 for additional information.</w:t>
      </w:r>
    </w:p>
    <w:p>
      <w:pPr>
        <w:spacing w:after="0" w:line="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8"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xml:space="preserve"> above regarding interest rate exposures related to borrowings under the Credit Agreement.</w:t>
      </w:r>
    </w:p>
    <w:p>
      <w:pPr>
        <w:spacing w:after="0" w:line="4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66" w:lineRule="exact"/>
        <w:rPr>
          <w:sz w:val="20"/>
          <w:szCs w:val="20"/>
          <w:color w:val="auto"/>
        </w:rPr>
      </w:pPr>
    </w:p>
    <w:p>
      <w:pPr>
        <w:ind w:right="340" w:firstLine="405"/>
        <w:spacing w:after="0" w:line="301" w:lineRule="auto"/>
        <w:rPr>
          <w:sz w:val="20"/>
          <w:szCs w:val="20"/>
          <w:color w:val="auto"/>
        </w:rPr>
      </w:pPr>
      <w:r>
        <w:rPr>
          <w:rFonts w:ascii="Arial" w:cs="Arial" w:eastAsia="Arial" w:hAnsi="Arial"/>
          <w:sz w:val="16"/>
          <w:szCs w:val="16"/>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8 for additional information.</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66040</wp:posOffset>
            </wp:positionV>
            <wp:extent cx="5768975" cy="254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Source: Quarterly averages computed by the Company using daily Midwest average prices provided by Platts.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ind w:left="420"/>
        <w:spacing w:after="0"/>
        <w:rPr>
          <w:sz w:val="20"/>
          <w:szCs w:val="20"/>
          <w:color w:val="auto"/>
        </w:rPr>
      </w:pPr>
      <w:r>
        <w:rPr>
          <w:rFonts w:ascii="Arial" w:cs="Arial" w:eastAsia="Arial" w:hAnsi="Arial"/>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66040</wp:posOffset>
            </wp:positionV>
            <wp:extent cx="5768975" cy="254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Source: Quarterly averages computed by Tredegar using monthly NYMEX settlement prices.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81915</wp:posOffset>
            </wp:positionV>
            <wp:extent cx="5768975" cy="254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right="240"/>
        <w:spacing w:after="0" w:line="269" w:lineRule="auto"/>
        <w:rPr>
          <w:sz w:val="20"/>
          <w:szCs w:val="20"/>
          <w:color w:val="auto"/>
        </w:rPr>
      </w:pPr>
      <w:r>
        <w:rPr>
          <w:rFonts w:ascii="Arial" w:cs="Arial" w:eastAsia="Arial" w:hAnsi="Arial"/>
          <w:sz w:val="10"/>
          <w:szCs w:val="10"/>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 In January 2023, IHS reflected a 41 cents per pound non-market adjustment based on their estimate of the growth of discounts in the prior periods. The 4th quarter 2022 average rate of $0.60 per pound is shown on a pro forma basis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as if the non-market adjustment was made in the fourth quarter of 2022.</w:t>
      </w:r>
    </w:p>
    <w:p>
      <w:pPr>
        <w:spacing w:after="0" w:line="17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42" w:name="page43"/>
    <w:bookmarkEnd w:id="42"/>
    <w:p>
      <w:pPr>
        <w:spacing w:after="0" w:line="200" w:lineRule="exact"/>
        <w:rPr>
          <w:sz w:val="20"/>
          <w:szCs w:val="20"/>
          <w:color w:val="auto"/>
        </w:rPr>
      </w:pPr>
    </w:p>
    <w:p>
      <w:pPr>
        <w:spacing w:after="0" w:line="34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41910</wp:posOffset>
            </wp:positionV>
            <wp:extent cx="5768975" cy="254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89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Source: Quarterly averages computed by Tredegar using monthly data from CMAI Global Index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ind w:right="300" w:firstLine="405"/>
        <w:spacing w:after="0" w:line="277" w:lineRule="auto"/>
        <w:rPr>
          <w:sz w:val="20"/>
          <w:szCs w:val="20"/>
          <w:color w:val="auto"/>
        </w:rPr>
      </w:pPr>
      <w:r>
        <w:rPr>
          <w:rFonts w:ascii="Arial" w:cs="Arial" w:eastAsia="Arial" w:hAnsi="Arial"/>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31750</wp:posOffset>
            </wp:positionV>
            <wp:extent cx="5768975" cy="26574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689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Source: Quarterly averages computed by Tredegar using monthly data from CMAI Global Index data.</w:t>
      </w:r>
    </w:p>
    <w:p>
      <w:pPr>
        <w:spacing w:after="0" w:line="188"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foreign operations relates to the Chinese Yuan and the Brazilian Real.</w:t>
      </w:r>
    </w:p>
    <w:p>
      <w:pPr>
        <w:spacing w:after="0" w:line="50"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estimates annual net costs of R$177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8 for more information on outstanding hedging contracts and this hedging program.</w:t>
      </w:r>
    </w:p>
    <w:p>
      <w:pPr>
        <w:spacing w:after="0" w:line="52"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Tredegar estimates that the change in the value of foreign currencies relative to the U.S. Dollar for PE Films had an unfavorable impact of $0.5 million impact on EBITDA from ongoing operations for the third quarter of 2023 and an unfavorable impact on EBITDA from ongoing operations of $0.7 million in the first nine months of 2023 compared with the same periods of 2022.</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66040</wp:posOffset>
            </wp:positionV>
            <wp:extent cx="5768975" cy="254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Source: Quarterly averages computed by Tredegar using daily closing data provided by Bloomberg.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On November 1, 2018, the Company filed a Current Report on Form 8-K (the “November 2018 Form 8-K”) to disclose certain material weaknesses in internal control over financial reporting. For further information, see the November 2018 Form 8-K and Item 4. “Controls and Procedures” of the Company’s Quarterly Report on Form 10-Q for the quarterly period ended September 30, 2018.</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2022, the results of management’s testing of the design, implementation and operating effectiveness of controls identified that the Company continued to have material weaknesses in its internal control over financial reporting; however, the material weaknesses existing as of December 31, 2022 were limited to certain discrete items within the previously identified material weaknesses. As a result, management revised its original six step remediation plan that was designed with the assistance of management’s outside consultant, an internationally recognized accounting firm. As of September 30, 2023, the Company continues to execute its revised remediation plan, including the implementation of the new and revised internal controls over financial reporting.</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Evaluation of Disclosure Controls and Procedures</w:t>
      </w:r>
    </w:p>
    <w:p>
      <w:pPr>
        <w:spacing w:after="0" w:line="104"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September 30, 2023.</w:t>
      </w:r>
    </w:p>
    <w:p>
      <w:pPr>
        <w:spacing w:after="0" w:line="3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September 30, 2023, to ensure: (i) that information required to be disclosed by the Company in 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Management’s Report on Internal Control Over Financial Reporting</w:t>
      </w:r>
    </w:p>
    <w:p>
      <w:pPr>
        <w:spacing w:after="0" w:line="10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 reporting and the preparation of financial statements for external purposes in accordance with GAAP and includes policies and procedures that: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5" w:name="page46"/>
    <w:bookmarkEnd w:id="45"/>
    <w:p>
      <w:pPr>
        <w:ind w:left="660" w:right="340" w:hanging="328"/>
        <w:spacing w:after="0" w:line="277" w:lineRule="auto"/>
        <w:tabs>
          <w:tab w:leader="none" w:pos="6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35" w:lineRule="exact"/>
        <w:rPr>
          <w:rFonts w:ascii="Arial" w:cs="Arial" w:eastAsia="Arial" w:hAnsi="Arial"/>
          <w:sz w:val="18"/>
          <w:szCs w:val="18"/>
          <w:color w:val="auto"/>
        </w:rPr>
      </w:pPr>
    </w:p>
    <w:p>
      <w:pPr>
        <w:jc w:val="both"/>
        <w:ind w:left="660" w:right="12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2" w:lineRule="exact"/>
        <w:rPr>
          <w:rFonts w:ascii="Arial" w:cs="Arial" w:eastAsia="Arial" w:hAnsi="Arial"/>
          <w:sz w:val="16"/>
          <w:szCs w:val="16"/>
          <w:color w:val="auto"/>
        </w:rPr>
      </w:pPr>
    </w:p>
    <w:p>
      <w:pPr>
        <w:ind w:left="660" w:right="40" w:hanging="328"/>
        <w:spacing w:after="0" w:line="277" w:lineRule="auto"/>
        <w:tabs>
          <w:tab w:leader="none" w:pos="6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Management conducted an evaluation of the effectiveness of the Company’s internal control over financial reporting using the criteria in Internal Control - Integrated Framework 2013 issued by the Committee of Sponsoring Organizations of the Treadway Commission (the “2013 COSO Framework”). Based on management’s assessment, the Company’s Chief Executive Officer and Chief Financial Officer concluded that the Company did not maintain effective internal control over financial reporting as of December 31, 2022. The Company did not sufficiently attract, develop, and retain competent resources to fulfill internal control responsibilities and did not have an effective information and communication process that identified and assessed the source of and controls necessary to ensure the reliability of information used in financial reporting. As a consequence of these material weaknesses, the Company did not effectively design, implement and operate process-level controls across its financial reporting processes.</w:t>
      </w:r>
    </w:p>
    <w:p>
      <w:pPr>
        <w:spacing w:after="0" w:line="4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While these material weaknesses did not result in material misstatements of the Company’s consolidated financial statements as of and for the year ended December 31, 2022,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2022.</w:t>
      </w:r>
    </w:p>
    <w:p>
      <w:pPr>
        <w:spacing w:after="0" w:line="5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Company’s independent registered public accounting firm, KPMG LLP, which audited the 2022 consolidated financial statements included in the 2022 Form 10-K, expressed an adverse opinion on the operating effectiveness of the Company's internal control over financial reporting.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Remediation Plan and Efforts to Address the Identified Material Weaknesses</w:t>
      </w:r>
    </w:p>
    <w:p>
      <w:pPr>
        <w:spacing w:after="0" w:line="104" w:lineRule="exact"/>
        <w:rPr>
          <w:sz w:val="20"/>
          <w:szCs w:val="20"/>
          <w:color w:val="auto"/>
        </w:rPr>
      </w:pPr>
    </w:p>
    <w:p>
      <w:pPr>
        <w:ind w:right="520" w:firstLine="405"/>
        <w:spacing w:after="0" w:line="334" w:lineRule="auto"/>
        <w:rPr>
          <w:sz w:val="20"/>
          <w:szCs w:val="20"/>
          <w:color w:val="auto"/>
        </w:rPr>
      </w:pPr>
      <w:r>
        <w:rPr>
          <w:rFonts w:ascii="Arial" w:cs="Arial" w:eastAsia="Arial" w:hAnsi="Arial"/>
          <w:sz w:val="16"/>
          <w:szCs w:val="16"/>
          <w:color w:val="auto"/>
        </w:rPr>
        <w:t>To remediate the material weaknesses described above, the Company, with the oversight of the Audit Committee of the Board of Directors (the “Audit Committee”), has been pursuing the revised remediation plan to implement new and revised internal controls over financial reporting.</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Through the third quarter of 2023, the Company has completed certain steps in its revised remediation plan, including:</w:t>
      </w:r>
    </w:p>
    <w:p>
      <w:pPr>
        <w:spacing w:after="0" w:line="104" w:lineRule="exact"/>
        <w:rPr>
          <w:sz w:val="20"/>
          <w:szCs w:val="20"/>
          <w:color w:val="auto"/>
        </w:rPr>
      </w:pPr>
    </w:p>
    <w:p>
      <w:pPr>
        <w:ind w:left="660" w:right="300" w:hanging="328"/>
        <w:spacing w:after="0" w:line="277"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Conducted interviews with relevant parties and confirmed management’s understanding of the internal control activities, including information used in the recording of transactions within the Company's financial reporting processes;</w:t>
      </w:r>
    </w:p>
    <w:p>
      <w:pPr>
        <w:spacing w:after="0" w:line="48"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Completed a comprehensive review and update to the documentation of relevant processes with respect to the Company’s internal control over financial reporting;</w:t>
      </w:r>
    </w:p>
    <w:p>
      <w:pPr>
        <w:spacing w:after="0" w:line="35" w:lineRule="exact"/>
        <w:rPr>
          <w:rFonts w:ascii="Arial" w:cs="Arial" w:eastAsia="Arial" w:hAnsi="Arial"/>
          <w:sz w:val="18"/>
          <w:szCs w:val="18"/>
          <w:color w:val="auto"/>
        </w:rPr>
      </w:pPr>
    </w:p>
    <w:p>
      <w:pPr>
        <w:ind w:left="660" w:right="340" w:hanging="328"/>
        <w:spacing w:after="0" w:line="308" w:lineRule="auto"/>
        <w:tabs>
          <w:tab w:leader="none" w:pos="6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Developed internal control remediation plans to enhance controls for deficiencies associated with the material weaknesses above, including an assessment of personnel skills and experience related to the design and operation of internal control activities;</w:t>
      </w:r>
    </w:p>
    <w:p>
      <w:pPr>
        <w:spacing w:after="0" w:line="24" w:lineRule="exact"/>
        <w:rPr>
          <w:rFonts w:ascii="Arial" w:cs="Arial" w:eastAsia="Arial" w:hAnsi="Arial"/>
          <w:sz w:val="17"/>
          <w:szCs w:val="17"/>
          <w:color w:val="auto"/>
        </w:rPr>
      </w:pPr>
    </w:p>
    <w:p>
      <w:pPr>
        <w:ind w:left="660" w:right="4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Substantially implemented all new and revised internal controls to address the previously identified deficiencies associated with the material weaknesses above;</w:t>
      </w:r>
    </w:p>
    <w:p>
      <w:pPr>
        <w:spacing w:after="0" w:line="48" w:lineRule="exact"/>
        <w:rPr>
          <w:rFonts w:ascii="Arial" w:cs="Arial" w:eastAsia="Arial" w:hAnsi="Arial"/>
          <w:sz w:val="18"/>
          <w:szCs w:val="18"/>
          <w:color w:val="auto"/>
        </w:rPr>
      </w:pPr>
    </w:p>
    <w:p>
      <w:pPr>
        <w:ind w:left="660" w:right="60" w:hanging="328"/>
        <w:spacing w:after="0" w:line="277"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Expanded the internal control compliance department with personnel that have appropriate internal control experience and identified resources for positions relevant to internal controls that had previously experienced turnover; and</w:t>
      </w:r>
    </w:p>
    <w:p>
      <w:pPr>
        <w:spacing w:after="0" w:line="35" w:lineRule="exact"/>
        <w:rPr>
          <w:rFonts w:ascii="Arial" w:cs="Arial" w:eastAsia="Arial" w:hAnsi="Arial"/>
          <w:sz w:val="18"/>
          <w:szCs w:val="18"/>
          <w:color w:val="auto"/>
        </w:rPr>
      </w:pPr>
    </w:p>
    <w:p>
      <w:pPr>
        <w:ind w:left="660" w:right="140" w:hanging="328"/>
        <w:spacing w:after="0" w:line="277" w:lineRule="auto"/>
        <w:tabs>
          <w:tab w:leader="none" w:pos="6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Executed a targeted training program to educate control owners on the requirements of internal control activities, including maintaining adequate documentary evidence for internal control activities.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ind w:right="100" w:firstLine="405"/>
        <w:spacing w:after="0" w:line="254" w:lineRule="auto"/>
        <w:rPr>
          <w:sz w:val="20"/>
          <w:szCs w:val="20"/>
          <w:color w:val="auto"/>
        </w:rPr>
      </w:pPr>
      <w:r>
        <w:rPr>
          <w:rFonts w:ascii="Arial" w:cs="Arial" w:eastAsia="Arial" w:hAnsi="Arial"/>
          <w:sz w:val="18"/>
          <w:szCs w:val="18"/>
          <w:color w:val="auto"/>
        </w:rPr>
        <w:t>The remaining design and implementation of certain new and revised internal controls pertains to the expenditure process for the Aluminum Extrusion business, which is scheduled for completion in the fourth quarter of 2023. The Company previously expected to complete the design and implementation of all internal controls by the third quarter of 2023; however, the remediation of controls in the expenditure processes for the Aluminum Extrusion business has been delayed due to various factors, including resource constraints as a result of employee turnover in the third quarter of 2023 and the Company's focus on completing the design and implementation of internal controls associated with the revenue process for the Aluminum Extrusion business. In the processes where the Company has designed and implemented new and revised controls, management has commenced testing over the operating effectiveness of such controls.</w:t>
      </w:r>
    </w:p>
    <w:p>
      <w:pPr>
        <w:spacing w:after="0" w:line="6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material weaknesses cannot be considered remediated until the applicable controls have operated for a sufficient period of time and management has concluded, through testing, that these controls are operating effectively. The Company is committed to the improvement of its internal control over financial reporting and management continues to work with its outside consultant to assist in those efforts, as necessary. The Company continues to monitor the impact of employee turnover and other external factors on its remediation plan and its assessment of internal control over financial reporting. The Company cannot assure you when it will remediate the identified material weaknesses, nor can it be certain whether additional actions will be required. Moreover, the Company cannot assure you that additional material weaknesses will not arise in the future.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Changes in Internal Control Over Financial Reporting</w:t>
      </w:r>
    </w:p>
    <w:p>
      <w:pPr>
        <w:spacing w:after="0" w:line="10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is in the process of implementing certain changes in its internal controls to remediate the material weaknesses described above. Except as noted above, there has been no change in the Company’s internal control over financial reporting during the quarter ended September 30, 2023, that has materially affected, or is reasonably likely to materially affect, its internal control over financial reporting (as defined in Rules 13a-15(f) and 15d-15(f) under the Exchange Act).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As disclosed in “Item 1A. Risk Factors” in the 2022 Form 10-K, there are a number of risks and uncertainties that can have a material effect on the operating results of our businesses and our financial condition. Except as set forth below, there are no material updates or changes to our risk factors previously disclosed in the 2022 Form 10-K and the Second Quarter 2023 Form 10-Q.</w:t>
      </w:r>
    </w:p>
    <w:p>
      <w:pPr>
        <w:spacing w:after="0" w:line="49"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b w:val="1"/>
          <w:bCs w:val="1"/>
          <w:i w:val="1"/>
          <w:iCs w:val="1"/>
          <w:color w:val="auto"/>
        </w:rPr>
        <w:t xml:space="preserve">The planned divestiture of the flexible packaging business (“Terphane”) to Oben Group is subject to a number of conditions beyond our control. </w:t>
      </w:r>
      <w:r>
        <w:rPr>
          <w:rFonts w:ascii="Arial" w:cs="Arial" w:eastAsia="Arial" w:hAnsi="Arial"/>
          <w:sz w:val="18"/>
          <w:szCs w:val="18"/>
          <w:color w:val="auto"/>
        </w:rPr>
        <w:t>On September 1, 2023, the Company announced that it had entered into a definitive agreement to sell Terphane to Oben Group. Completion of the sale is contingent upon the satisfaction of customary closing conditions, including the receipt of certain competition filing approvals by authorities in Brazil and Columbia. On October 27, 2023, the Company filed the requisite competition forms with the Administrative Council for Economic Defense (“CADE”) in Brazil, which the Company views as the primary competition authority regarding this matter. This filing followed a pre-filing phase for CADE’s initial review. CADE published related materials for public comment on November 6, 2023. CADE’s deadline for completing its review is no later than September 23, 2024.</w:t>
      </w:r>
    </w:p>
    <w:p>
      <w:pPr>
        <w:spacing w:after="0" w:line="7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It cannot be predicted with certainty whether all of the required closing conditions will be satisfied, waived or if other uncertainties may arise. Regulators could impose additional requirements or obligations as conditions for their approval, which may be burdensome. If such closing conditions are not met or additional obligations are imposed, the proposed sale may not be consummated, encounter delays, or experience other issues that are not currently anticipated.</w:t>
      </w:r>
    </w:p>
    <w:p>
      <w:pPr>
        <w:spacing w:after="0" w:line="6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Because the anticipated amendment to the Credit Agreement to implement the Company’s transition to a senior secured asset-based revolving credit facility has not been finalized and remains subject to satisfactory documentation, it may not be completed by the end of 2023. </w:t>
      </w:r>
      <w:r>
        <w:rPr>
          <w:rFonts w:ascii="Arial" w:cs="Arial" w:eastAsia="Arial" w:hAnsi="Arial"/>
          <w:sz w:val="17"/>
          <w:szCs w:val="17"/>
          <w:color w:val="auto"/>
        </w:rPr>
        <w:t>Between the 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November 4, 2023 and November 8, 2023, the Company oversaw the execution of consent advice letters by a majority of the lending group to the Credit Agreement (the “Advice Letters”). Pursuant to the Advice Letters, these lending group members confirmed their agreement to consent to an amendment to the Credit Agreement (the “Credit Agreement Amendment”) to implement the Company’s transition to a senior secured asset-based revolving credit facility (the “ABL Credit Facility”), subject to satisfactory documentation.</w:t>
      </w:r>
    </w:p>
    <w:p>
      <w:pPr>
        <w:spacing w:after="0" w:line="3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Use of Proceeds, and Issuer Purchase of Equity Securities.</w:t>
      </w:r>
    </w:p>
    <w:p>
      <w:pPr>
        <w:spacing w:after="0" w:line="10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Company’s Credit Agreement contains financial and other restrictive covenants, including a restriction on the Company’s ability to pay dividends to shareholders. For more information on the Credit Agreement, see “Item 2. Management’s Discussion and Analysis of Financial Condition and Results of Operations - Liquidity and Capital Resources.”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7" w:name="page48"/>
    <w:bookmarkEnd w:id="47"/>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Director and Officer Trading Arrangements</w:t>
      </w:r>
    </w:p>
    <w:p>
      <w:pPr>
        <w:spacing w:after="0" w:line="104" w:lineRule="exact"/>
        <w:rPr>
          <w:sz w:val="20"/>
          <w:szCs w:val="20"/>
          <w:color w:val="auto"/>
        </w:rPr>
      </w:pPr>
    </w:p>
    <w:p>
      <w:pPr>
        <w:ind w:right="960" w:firstLine="405"/>
        <w:spacing w:after="0" w:line="308" w:lineRule="auto"/>
        <w:rPr>
          <w:sz w:val="20"/>
          <w:szCs w:val="20"/>
          <w:color w:val="auto"/>
        </w:rPr>
      </w:pPr>
      <w:r>
        <w:rPr>
          <w:rFonts w:ascii="Arial" w:cs="Arial" w:eastAsia="Arial" w:hAnsi="Arial"/>
          <w:sz w:val="17"/>
          <w:szCs w:val="17"/>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24"/>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6"/>
                <w:szCs w:val="16"/>
                <w:color w:val="auto"/>
              </w:rPr>
            </w:pPr>
          </w:p>
        </w:tc>
        <w:tc>
          <w:tcPr>
            <w:tcW w:w="10020" w:type="dxa"/>
            <w:vAlign w:val="bottom"/>
            <w:gridSpan w:val="23"/>
            <w:shd w:val="clear" w:color="auto" w:fill="CCEEFF"/>
          </w:tcPr>
          <w:p>
            <w:pPr>
              <w:spacing w:after="0" w:line="189" w:lineRule="exact"/>
              <w:rPr>
                <w:rFonts w:ascii="Arial" w:cs="Arial" w:eastAsia="Arial" w:hAnsi="Arial"/>
                <w:sz w:val="18"/>
                <w:szCs w:val="18"/>
                <w:color w:val="0000FF"/>
              </w:rPr>
            </w:pPr>
            <w:hyperlink r:id="rId85">
              <w:r>
                <w:rPr>
                  <w:rFonts w:ascii="Arial" w:cs="Arial" w:eastAsia="Arial" w:hAnsi="Arial"/>
                  <w:sz w:val="18"/>
                  <w:szCs w:val="18"/>
                  <w:color w:val="0000FF"/>
                </w:rPr>
                <w:t>Purchase and Sale Agreement, dated as of September 1, 2023, by and among Packfilm US LLC, Film Trading Importacao e</w:t>
              </w:r>
            </w:hyperlink>
          </w:p>
        </w:tc>
        <w:tc>
          <w:tcPr>
            <w:tcW w:w="0" w:type="dxa"/>
            <w:vAlign w:val="bottom"/>
          </w:tcPr>
          <w:p>
            <w:pPr>
              <w:spacing w:after="0"/>
              <w:rPr>
                <w:sz w:val="1"/>
                <w:szCs w:val="1"/>
                <w:color w:val="auto"/>
              </w:rPr>
            </w:pPr>
          </w:p>
        </w:tc>
      </w:tr>
      <w:tr>
        <w:trPr>
          <w:trHeight w:val="155"/>
        </w:trPr>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892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Representacao Ltda., Terphane LLC, Terphane Limitada, Tredegar Film Products (Latin America), Inc., Terphane Acquisition</w:t>
              </w:r>
            </w:hyperlink>
          </w:p>
        </w:tc>
        <w:tc>
          <w:tcPr>
            <w:tcW w:w="140" w:type="dxa"/>
            <w:vAlign w:val="bottom"/>
            <w:tcBorders>
              <w:top w:val="single" w:sz="8" w:color="CCEEFF"/>
              <w:bottom w:val="single" w:sz="8" w:color="0000FF"/>
            </w:tcBorders>
            <w:shd w:val="clear" w:color="auto" w:fill="CCEEFF"/>
          </w:tcPr>
          <w:p>
            <w:pPr>
              <w:spacing w:after="0"/>
              <w:rPr>
                <w:sz w:val="13"/>
                <w:szCs w:val="13"/>
                <w:color w:val="auto"/>
              </w:rPr>
            </w:pPr>
          </w:p>
        </w:tc>
        <w:tc>
          <w:tcPr>
            <w:tcW w:w="960" w:type="dxa"/>
            <w:vAlign w:val="bottom"/>
            <w:tcBorders>
              <w:top w:val="single" w:sz="8" w:color="CCEEFF"/>
              <w:bottom w:val="single" w:sz="8" w:color="CCEEFF"/>
            </w:tcBorders>
            <w:gridSpan w:val="14"/>
            <w:vMerge w:val="restart"/>
            <w:shd w:val="clear" w:color="auto" w:fill="CCEEFF"/>
          </w:tcPr>
          <w:p>
            <w:pPr>
              <w:ind w:left="120"/>
              <w:spacing w:after="0"/>
              <w:rPr>
                <w:rFonts w:ascii="Arial" w:cs="Arial" w:eastAsia="Arial" w:hAnsi="Arial"/>
                <w:sz w:val="18"/>
                <w:szCs w:val="18"/>
                <w:color w:val="0000FF"/>
              </w:rPr>
            </w:pPr>
            <w:hyperlink r:id="rId85">
              <w:r>
                <w:rPr>
                  <w:rFonts w:ascii="Arial" w:cs="Arial" w:eastAsia="Arial" w:hAnsi="Arial"/>
                  <w:sz w:val="18"/>
                  <w:szCs w:val="18"/>
                  <w:color w:val="0000FF"/>
                </w:rPr>
                <w:t>as Exhibit</w:t>
              </w:r>
            </w:hyperlink>
          </w:p>
        </w:tc>
        <w:tc>
          <w:tcPr>
            <w:tcW w:w="0" w:type="dxa"/>
            <w:vAlign w:val="bottom"/>
          </w:tcPr>
          <w:p>
            <w:pPr>
              <w:spacing w:after="0"/>
              <w:rPr>
                <w:sz w:val="1"/>
                <w:szCs w:val="1"/>
                <w:color w:val="auto"/>
              </w:rPr>
            </w:pPr>
          </w:p>
        </w:tc>
      </w:tr>
      <w:tr>
        <w:trPr>
          <w:trHeight w:val="156"/>
        </w:trPr>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60" w:type="dxa"/>
            <w:vAlign w:val="bottom"/>
            <w:gridSpan w:val="9"/>
            <w:shd w:val="clear" w:color="auto" w:fill="CCEEFF"/>
          </w:tcPr>
          <w:p>
            <w:pPr>
              <w:spacing w:after="0" w:line="15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Corporation II, TAC Holdings, LLC, Tredegar Investments LLC, Tredegar Corporation and Oben Holding Group S.A.C. (filed</w:t>
              </w:r>
            </w:hyperlink>
          </w:p>
        </w:tc>
        <w:tc>
          <w:tcPr>
            <w:tcW w:w="960" w:type="dxa"/>
            <w:vAlign w:val="bottom"/>
            <w:gridSpan w:val="14"/>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9640" w:type="dxa"/>
            <w:vAlign w:val="bottom"/>
            <w:tcBorders>
              <w:top w:val="single" w:sz="8" w:color="0000FF"/>
              <w:bottom w:val="single" w:sz="8" w:color="0000FF"/>
            </w:tcBorders>
            <w:gridSpan w:val="12"/>
            <w:shd w:val="clear" w:color="auto" w:fill="CCEEFF"/>
          </w:tcPr>
          <w:p>
            <w:pPr>
              <w:spacing w:after="0" w:line="169"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2.</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of Tredegar’s Current Report on Form 8-K (File No. 1-10258), filed on September 5, 2023, and incorporated herein by reference).</w:t>
              </w:r>
            </w:hyperlink>
          </w:p>
        </w:tc>
        <w:tc>
          <w:tcPr>
            <w:tcW w:w="28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560" w:type="dxa"/>
            <w:vAlign w:val="bottom"/>
          </w:tcPr>
          <w:p>
            <w:pPr>
              <w:spacing w:after="0"/>
              <w:rPr>
                <w:sz w:val="16"/>
                <w:szCs w:val="16"/>
                <w:color w:val="auto"/>
              </w:rPr>
            </w:pPr>
          </w:p>
        </w:tc>
        <w:tc>
          <w:tcPr>
            <w:tcW w:w="10020" w:type="dxa"/>
            <w:vAlign w:val="bottom"/>
            <w:gridSpan w:val="23"/>
          </w:tcPr>
          <w:p>
            <w:pPr>
              <w:spacing w:after="0" w:line="189"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Amended and Restated Bylaws of Tredegar Corporation, as of August 4, 2023 (filed as Exhibit 3.1 of Tredegar's Current Report on Form</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8-K (File No. 1-10258), filed on August 7, 2023,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6"/>
                <w:szCs w:val="16"/>
                <w:color w:val="auto"/>
              </w:rPr>
            </w:pPr>
          </w:p>
        </w:tc>
        <w:tc>
          <w:tcPr>
            <w:tcW w:w="10020" w:type="dxa"/>
            <w:vAlign w:val="bottom"/>
            <w:gridSpan w:val="23"/>
            <w:shd w:val="clear" w:color="auto" w:fill="CCEEFF"/>
          </w:tcPr>
          <w:p>
            <w:pPr>
              <w:spacing w:after="0" w:line="189"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Amendment No. 2 to Second Amended and Restated Credit Agreement, dated as of August 3, 2023, among Tredegar Corporation, as</w:t>
              </w:r>
            </w:hyperlink>
          </w:p>
        </w:tc>
        <w:tc>
          <w:tcPr>
            <w:tcW w:w="0" w:type="dxa"/>
            <w:vAlign w:val="bottom"/>
          </w:tcPr>
          <w:p>
            <w:pPr>
              <w:spacing w:after="0"/>
              <w:rPr>
                <w:sz w:val="1"/>
                <w:szCs w:val="1"/>
                <w:color w:val="auto"/>
              </w:rPr>
            </w:pPr>
          </w:p>
        </w:tc>
      </w:tr>
      <w:tr>
        <w:trPr>
          <w:trHeight w:val="20"/>
        </w:trPr>
        <w:tc>
          <w:tcPr>
            <w:tcW w:w="6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20" w:type="dxa"/>
            <w:vAlign w:val="bottom"/>
            <w:gridSpan w:val="23"/>
            <w:shd w:val="clear" w:color="auto" w:fill="CCEEFF"/>
          </w:tcPr>
          <w:p>
            <w:pPr>
              <w:spacing w:after="0" w:line="15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borrower, the lenders named therein, JPMorgan Chase Bank, N.A., as administrative agent, Citizens Bank, N.A. and PNC Bank, National</w:t>
              </w:r>
            </w:hyperlink>
          </w:p>
        </w:tc>
        <w:tc>
          <w:tcPr>
            <w:tcW w:w="0" w:type="dxa"/>
            <w:vAlign w:val="bottom"/>
          </w:tcPr>
          <w:p>
            <w:pPr>
              <w:spacing w:after="0"/>
              <w:rPr>
                <w:sz w:val="1"/>
                <w:szCs w:val="1"/>
                <w:color w:val="auto"/>
              </w:rPr>
            </w:pPr>
          </w:p>
        </w:tc>
      </w:tr>
      <w:tr>
        <w:trPr>
          <w:trHeight w:val="156"/>
        </w:trPr>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9620" w:type="dxa"/>
            <w:vAlign w:val="bottom"/>
            <w:tcBorders>
              <w:top w:val="single" w:sz="8" w:color="0000FF"/>
              <w:bottom w:val="single" w:sz="8" w:color="0000FF"/>
              <w:right w:val="single" w:sz="8" w:color="CCEEFF"/>
            </w:tcBorders>
            <w:gridSpan w:val="11"/>
            <w:shd w:val="clear" w:color="auto" w:fill="CCEEFF"/>
          </w:tcPr>
          <w:p>
            <w:pPr>
              <w:spacing w:after="0" w:line="15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Association, as co-syndication agents, and Bank of America, N.A., U.S. Bank National Association and Wells Fargo Bank, National</w:t>
              </w:r>
            </w:hyperlink>
          </w:p>
        </w:tc>
        <w:tc>
          <w:tcPr>
            <w:tcW w:w="320" w:type="dxa"/>
            <w:vAlign w:val="bottom"/>
            <w:tcBorders>
              <w:top w:val="single" w:sz="8" w:color="0000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20" w:type="dxa"/>
            <w:vAlign w:val="bottom"/>
            <w:gridSpan w:val="23"/>
            <w:shd w:val="clear" w:color="auto" w:fill="CCEEFF"/>
          </w:tcPr>
          <w:p>
            <w:pPr>
              <w:spacing w:after="0" w:line="169"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Association, as co-documentation agents, and the other lenders party thereto (filed as Exhibit 10.2 of Tredegar's Second Quarter 2023</w:t>
              </w:r>
            </w:hyperlink>
          </w:p>
        </w:tc>
        <w:tc>
          <w:tcPr>
            <w:tcW w:w="0" w:type="dxa"/>
            <w:vAlign w:val="bottom"/>
          </w:tcPr>
          <w:p>
            <w:pPr>
              <w:spacing w:after="0"/>
              <w:rPr>
                <w:sz w:val="1"/>
                <w:szCs w:val="1"/>
                <w:color w:val="auto"/>
              </w:rPr>
            </w:pPr>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right w:val="single" w:sz="8" w:color="CCEEFF"/>
            </w:tcBorders>
            <w:gridSpan w:val="11"/>
            <w:shd w:val="clear" w:color="auto" w:fill="CCEEFF"/>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Form 10-Q (File No. 1-10258), filed on August 9, 2023, and incorporated herein by reference).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560" w:type="dxa"/>
            <w:vAlign w:val="bottom"/>
          </w:tcPr>
          <w:p>
            <w:pPr>
              <w:spacing w:after="0"/>
              <w:rPr>
                <w:sz w:val="16"/>
                <w:szCs w:val="16"/>
                <w:color w:val="auto"/>
              </w:rPr>
            </w:pPr>
          </w:p>
        </w:tc>
        <w:tc>
          <w:tcPr>
            <w:tcW w:w="10020" w:type="dxa"/>
            <w:vAlign w:val="bottom"/>
            <w:gridSpan w:val="23"/>
          </w:tcPr>
          <w:p>
            <w:pPr>
              <w:spacing w:after="0" w:line="189"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Form of Executive Change-in-Control Severance Agreement (filed as Exhibit 10.1 of Tredegar’s Current Report on Form 8-K (File No. 1-</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10258)</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on October 4, 2023,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560" w:type="dxa"/>
            <w:vAlign w:val="bottom"/>
            <w:shd w:val="clear" w:color="auto" w:fill="CCEEFF"/>
          </w:tcPr>
          <w:p>
            <w:pPr>
              <w:spacing w:after="0"/>
              <w:rPr>
                <w:sz w:val="16"/>
                <w:szCs w:val="16"/>
                <w:color w:val="auto"/>
              </w:rPr>
            </w:pPr>
          </w:p>
        </w:tc>
        <w:tc>
          <w:tcPr>
            <w:tcW w:w="10020" w:type="dxa"/>
            <w:vAlign w:val="bottom"/>
            <w:gridSpan w:val="23"/>
            <w:shd w:val="clear" w:color="auto" w:fill="CCEEFF"/>
          </w:tcPr>
          <w:p>
            <w:pPr>
              <w:spacing w:after="0" w:line="189"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Standard Buyout Commitment Agreement, dated October 31, 2023, by and between Tredegar Corporation and Massachusetts Mutual Life</w:t>
              </w:r>
            </w:hyperlink>
          </w:p>
        </w:tc>
        <w:tc>
          <w:tcPr>
            <w:tcW w:w="0" w:type="dxa"/>
            <w:vAlign w:val="bottom"/>
          </w:tcPr>
          <w:p>
            <w:pPr>
              <w:spacing w:after="0"/>
              <w:rPr>
                <w:sz w:val="1"/>
                <w:szCs w:val="1"/>
                <w:color w:val="auto"/>
              </w:rPr>
            </w:pPr>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Insurance Company (filed as Exhibit 10.1 of Tredegar's Current Report on Form 8-K (File No. 1-10258), filed on November 6, 2023, and</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incorporated herein by reference)</w:t>
              </w:r>
              <w:r>
                <w:rPr>
                  <w:rFonts w:ascii="Arial" w:cs="Arial" w:eastAsia="Arial" w:hAnsi="Arial"/>
                  <w:sz w:val="18"/>
                  <w:szCs w:val="18"/>
                  <w:u w:val="single" w:color="auto"/>
                  <w:color w:val="0000FF"/>
                </w:rPr>
                <w:t>.</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560" w:type="dxa"/>
            <w:vAlign w:val="bottom"/>
          </w:tcPr>
          <w:p>
            <w:pPr>
              <w:spacing w:after="0"/>
              <w:rPr>
                <w:sz w:val="16"/>
                <w:szCs w:val="16"/>
                <w:color w:val="auto"/>
              </w:rPr>
            </w:pPr>
          </w:p>
        </w:tc>
        <w:tc>
          <w:tcPr>
            <w:tcW w:w="10020" w:type="dxa"/>
            <w:vAlign w:val="bottom"/>
            <w:gridSpan w:val="23"/>
          </w:tcPr>
          <w:p>
            <w:pPr>
              <w:spacing w:after="0" w:line="189" w:lineRule="exact"/>
              <w:rPr>
                <w:sz w:val="20"/>
                <w:szCs w:val="20"/>
                <w:color w:val="auto"/>
              </w:rPr>
            </w:pPr>
            <w:r>
              <w:rPr>
                <w:rFonts w:ascii="Arial" w:cs="Arial" w:eastAsia="Arial" w:hAnsi="Arial"/>
                <w:sz w:val="18"/>
                <w:szCs w:val="18"/>
                <w:color w:val="0000FF"/>
                <w:w w:val="93"/>
              </w:rPr>
              <w:t>Certification of President and Chief Executive Officer of Tredegar Corporation, pursuant to Rules 13a-14(a) and 15d-14(a) promulgated</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under the Securities Exchange Act of 1934, as adopted pursuant to Section 302 of the Sarbanes-Oxley Act of 2002.</w:t>
            </w:r>
          </w:p>
        </w:tc>
        <w:tc>
          <w:tcPr>
            <w:tcW w:w="4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560" w:type="dxa"/>
            <w:vAlign w:val="bottom"/>
            <w:shd w:val="clear" w:color="auto" w:fill="CCEEFF"/>
          </w:tcPr>
          <w:p>
            <w:pPr>
              <w:spacing w:after="0"/>
              <w:rPr>
                <w:sz w:val="16"/>
                <w:szCs w:val="16"/>
                <w:color w:val="auto"/>
              </w:rPr>
            </w:pPr>
          </w:p>
        </w:tc>
        <w:tc>
          <w:tcPr>
            <w:tcW w:w="1002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w w:val="92"/>
              </w:rPr>
              <w:t>Certification of Executive Vice President and Chief Financial Officer of Tredegar Corporation, pursuant to Rules 13a-14(a) and 15d-14(a)</w:t>
            </w:r>
          </w:p>
        </w:tc>
        <w:tc>
          <w:tcPr>
            <w:tcW w:w="0" w:type="dxa"/>
            <w:vAlign w:val="bottom"/>
          </w:tcPr>
          <w:p>
            <w:pPr>
              <w:spacing w:after="0"/>
              <w:rPr>
                <w:sz w:val="1"/>
                <w:szCs w:val="1"/>
                <w:color w:val="auto"/>
              </w:rPr>
            </w:pPr>
          </w:p>
        </w:tc>
      </w:tr>
      <w:tr>
        <w:trPr>
          <w:trHeight w:val="156"/>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20"/>
            <w:shd w:val="clear" w:color="auto" w:fill="CCEEFF"/>
          </w:tcPr>
          <w:p>
            <w:pPr>
              <w:spacing w:after="0" w:line="156" w:lineRule="exact"/>
              <w:rPr>
                <w:sz w:val="20"/>
                <w:szCs w:val="20"/>
                <w:color w:val="auto"/>
              </w:rPr>
            </w:pPr>
            <w:r>
              <w:rPr>
                <w:rFonts w:ascii="Arial" w:cs="Arial" w:eastAsia="Arial" w:hAnsi="Arial"/>
                <w:sz w:val="18"/>
                <w:szCs w:val="18"/>
                <w:color w:val="0000FF"/>
                <w:w w:val="96"/>
              </w:rPr>
              <w:t>promulgated under the Securities Exchange Act of 1934, as adopted pursuant to Section 302 of the Sarbanes-Oxley Act of 2002.</w:t>
            </w:r>
          </w:p>
        </w:tc>
        <w:tc>
          <w:tcPr>
            <w:tcW w:w="6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0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560" w:type="dxa"/>
            <w:vAlign w:val="bottom"/>
          </w:tcPr>
          <w:p>
            <w:pPr>
              <w:spacing w:after="0"/>
              <w:rPr>
                <w:sz w:val="16"/>
                <w:szCs w:val="16"/>
                <w:color w:val="auto"/>
              </w:rPr>
            </w:pPr>
          </w:p>
        </w:tc>
        <w:tc>
          <w:tcPr>
            <w:tcW w:w="10020" w:type="dxa"/>
            <w:vAlign w:val="bottom"/>
            <w:gridSpan w:val="23"/>
          </w:tcPr>
          <w:p>
            <w:pPr>
              <w:spacing w:after="0" w:line="189" w:lineRule="exact"/>
              <w:rPr>
                <w:sz w:val="20"/>
                <w:szCs w:val="20"/>
                <w:color w:val="auto"/>
              </w:rPr>
            </w:pPr>
            <w:r>
              <w:rPr>
                <w:rFonts w:ascii="Arial" w:cs="Arial" w:eastAsia="Arial" w:hAnsi="Arial"/>
                <w:sz w:val="18"/>
                <w:szCs w:val="18"/>
                <w:color w:val="0000FF"/>
                <w:w w:val="92"/>
              </w:rPr>
              <w:t>Certification of President and Chief Executive Officer of Tredegar Corporation, pursuant to 18 U.S.C. Section 1350, as adopted pursuant</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to Section 906 of the Sarbanes-Oxley Act of 2002.</w:t>
            </w: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32.2</w:t>
            </w:r>
          </w:p>
        </w:tc>
        <w:tc>
          <w:tcPr>
            <w:tcW w:w="560" w:type="dxa"/>
            <w:vAlign w:val="bottom"/>
            <w:shd w:val="clear" w:color="auto" w:fill="CCEEFF"/>
          </w:tcPr>
          <w:p>
            <w:pPr>
              <w:spacing w:after="0"/>
              <w:rPr>
                <w:sz w:val="16"/>
                <w:szCs w:val="16"/>
                <w:color w:val="auto"/>
              </w:rPr>
            </w:pPr>
          </w:p>
        </w:tc>
        <w:tc>
          <w:tcPr>
            <w:tcW w:w="1002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w w:val="94"/>
              </w:rPr>
              <w:t>Certification of Executive Vice President and Chief Financial Officer of Tredegar Corporation, pursuant to 18 U.S.C. Section 1350, as</w:t>
            </w:r>
          </w:p>
        </w:tc>
        <w:tc>
          <w:tcPr>
            <w:tcW w:w="0" w:type="dxa"/>
            <w:vAlign w:val="bottom"/>
          </w:tcPr>
          <w:p>
            <w:pPr>
              <w:spacing w:after="0"/>
              <w:rPr>
                <w:sz w:val="1"/>
                <w:szCs w:val="1"/>
                <w:color w:val="auto"/>
              </w:rPr>
            </w:pPr>
          </w:p>
        </w:tc>
      </w:tr>
      <w:tr>
        <w:trPr>
          <w:trHeight w:val="190"/>
        </w:trPr>
        <w:tc>
          <w:tcPr>
            <w:tcW w:w="6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9660" w:type="dxa"/>
            <w:vAlign w:val="bottom"/>
            <w:tcBorders>
              <w:top w:val="single" w:sz="8" w:color="0000FF"/>
            </w:tcBorders>
            <w:gridSpan w:val="13"/>
            <w:shd w:val="clear" w:color="auto" w:fill="CCEEFF"/>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60" w:type="dxa"/>
            <w:vAlign w:val="bottom"/>
            <w:tcBorders>
              <w:top w:val="single" w:sz="8" w:color="CCEEFF"/>
            </w:tcBorders>
            <w:gridSpan w:val="10"/>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101</w:t>
            </w:r>
          </w:p>
        </w:tc>
        <w:tc>
          <w:tcPr>
            <w:tcW w:w="560" w:type="dxa"/>
            <w:vAlign w:val="bottom"/>
            <w:tcBorders>
              <w:top w:val="single" w:sz="8" w:color="CCEEFF"/>
            </w:tcBorders>
          </w:tcPr>
          <w:p>
            <w:pPr>
              <w:spacing w:after="0"/>
              <w:rPr>
                <w:sz w:val="20"/>
                <w:szCs w:val="20"/>
                <w:color w:val="auto"/>
              </w:rPr>
            </w:pPr>
          </w:p>
        </w:tc>
        <w:tc>
          <w:tcPr>
            <w:tcW w:w="49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 and Related Items.</w:t>
            </w:r>
          </w:p>
        </w:tc>
        <w:tc>
          <w:tcPr>
            <w:tcW w:w="5100" w:type="dxa"/>
            <w:vAlign w:val="bottom"/>
            <w:tcBorders>
              <w:top w:val="single" w:sz="8" w:color="CCEEFF"/>
            </w:tcBorders>
            <w:gridSpan w:val="20"/>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1200" w:hanging="1174"/>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460" w:firstLine="445"/>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Tredegar Corporation</w:t>
            </w:r>
          </w:p>
        </w:tc>
      </w:tr>
      <w:tr>
        <w:trPr>
          <w:trHeight w:val="230"/>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(Registrant)</w:t>
            </w: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November 9, 2023</w:t>
            </w:r>
          </w:p>
        </w:tc>
        <w:tc>
          <w:tcPr>
            <w:tcW w:w="5040" w:type="dxa"/>
            <w:vAlign w:val="bottom"/>
          </w:tcPr>
          <w:p>
            <w:pPr>
              <w:spacing w:after="0"/>
              <w:rPr>
                <w:sz w:val="20"/>
                <w:szCs w:val="20"/>
                <w:color w:val="auto"/>
              </w:rPr>
            </w:pPr>
            <w:r>
              <w:rPr>
                <w:rFonts w:ascii="Arial" w:cs="Arial" w:eastAsia="Arial" w:hAnsi="Arial"/>
                <w:sz w:val="18"/>
                <w:szCs w:val="18"/>
                <w:color w:val="auto"/>
              </w:rPr>
              <w:t>/s/ John M. Steitz</w:t>
            </w:r>
          </w:p>
        </w:tc>
      </w:tr>
      <w:tr>
        <w:trPr>
          <w:trHeight w:val="222"/>
        </w:trPr>
        <w:tc>
          <w:tcPr>
            <w:tcW w:w="800" w:type="dxa"/>
            <w:vAlign w:val="bottom"/>
          </w:tcPr>
          <w:p>
            <w:pPr>
              <w:spacing w:after="0"/>
              <w:rPr>
                <w:sz w:val="19"/>
                <w:szCs w:val="19"/>
                <w:color w:val="auto"/>
              </w:rPr>
            </w:pPr>
          </w:p>
        </w:tc>
        <w:tc>
          <w:tcPr>
            <w:tcW w:w="5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M. Steitz</w:t>
            </w:r>
          </w:p>
        </w:tc>
      </w:t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November 9, 2023</w:t>
            </w:r>
          </w:p>
        </w:tc>
        <w:tc>
          <w:tcPr>
            <w:tcW w:w="5040" w:type="dxa"/>
            <w:vAlign w:val="bottom"/>
          </w:tcPr>
          <w:p>
            <w:pPr>
              <w:spacing w:after="0"/>
              <w:rPr>
                <w:sz w:val="20"/>
                <w:szCs w:val="20"/>
                <w:color w:val="auto"/>
              </w:rPr>
            </w:pPr>
            <w:r>
              <w:rPr>
                <w:rFonts w:ascii="Arial" w:cs="Arial" w:eastAsia="Arial" w:hAnsi="Arial"/>
                <w:sz w:val="18"/>
                <w:szCs w:val="18"/>
                <w:color w:val="auto"/>
              </w:rPr>
              <w:t>/s/ D. Andrew Edwards</w:t>
            </w:r>
          </w:p>
        </w:tc>
      </w:tr>
      <w:tr>
        <w:trPr>
          <w:trHeight w:val="222"/>
        </w:trPr>
        <w:tc>
          <w:tcPr>
            <w:tcW w:w="800" w:type="dxa"/>
            <w:vAlign w:val="bottom"/>
          </w:tcPr>
          <w:p>
            <w:pPr>
              <w:spacing w:after="0"/>
              <w:rPr>
                <w:sz w:val="19"/>
                <w:szCs w:val="19"/>
                <w:color w:val="auto"/>
              </w:rPr>
            </w:pPr>
          </w:p>
        </w:tc>
        <w:tc>
          <w:tcPr>
            <w:tcW w:w="5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 Andrew Edwards</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9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November 9, 2023</w:t>
            </w:r>
          </w:p>
        </w:tc>
        <w:tc>
          <w:tcPr>
            <w:tcW w:w="5040" w:type="dxa"/>
            <w:vAlign w:val="bottom"/>
          </w:tcPr>
          <w:p>
            <w:pPr>
              <w:spacing w:after="0"/>
              <w:rPr>
                <w:sz w:val="20"/>
                <w:szCs w:val="20"/>
                <w:color w:val="auto"/>
              </w:rPr>
            </w:pPr>
            <w:r>
              <w:rPr>
                <w:rFonts w:ascii="Arial" w:cs="Arial" w:eastAsia="Arial" w:hAnsi="Arial"/>
                <w:sz w:val="18"/>
                <w:szCs w:val="18"/>
                <w:color w:val="auto"/>
              </w:rPr>
              <w:t>/s/ Frasier W. Brickhouse, II</w:t>
            </w:r>
          </w:p>
        </w:tc>
      </w:tr>
      <w:tr>
        <w:trPr>
          <w:trHeight w:val="222"/>
        </w:trPr>
        <w:tc>
          <w:tcPr>
            <w:tcW w:w="800" w:type="dxa"/>
            <w:vAlign w:val="bottom"/>
          </w:tcPr>
          <w:p>
            <w:pPr>
              <w:spacing w:after="0"/>
              <w:rPr>
                <w:sz w:val="19"/>
                <w:szCs w:val="19"/>
                <w:color w:val="auto"/>
              </w:rPr>
            </w:pPr>
          </w:p>
        </w:tc>
        <w:tc>
          <w:tcPr>
            <w:tcW w:w="5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Frasier W. Brickhouse, II</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Corporate Treasurer and Controller</w:t>
            </w:r>
          </w:p>
        </w:tc>
      </w:tr>
      <w:tr>
        <w:trPr>
          <w:trHeight w:val="230"/>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8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Tredegar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25546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John M. Steitz</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Tredegar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25546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D. Andrew Edwards</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connection with the Quarterly Report on Form 10-Q of Tredegar Corporation (the “Company”) for the quarter ended September 30, 2023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44" w:lineRule="exact"/>
        <w:rPr>
          <w:sz w:val="20"/>
          <w:szCs w:val="20"/>
          <w:color w:val="auto"/>
        </w:rPr>
      </w:pPr>
    </w:p>
    <w:p>
      <w:pPr>
        <w:ind w:left="920" w:hanging="264"/>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920" w:hanging="264"/>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5" w:lineRule="exact"/>
        <w:rPr>
          <w:rFonts w:ascii="Arial" w:cs="Arial" w:eastAsia="Arial" w:hAnsi="Arial"/>
          <w:sz w:val="17"/>
          <w:szCs w:val="17"/>
          <w:color w:val="auto"/>
        </w:rPr>
      </w:pPr>
    </w:p>
    <w:p>
      <w:pPr>
        <w:ind w:left="20" w:right="9960"/>
        <w:spacing w:after="0" w:line="308" w:lineRule="auto"/>
        <w:rPr>
          <w:rFonts w:ascii="Arial" w:cs="Arial" w:eastAsia="Arial" w:hAnsi="Arial"/>
          <w:sz w:val="17"/>
          <w:szCs w:val="17"/>
          <w:color w:val="auto"/>
        </w:rPr>
      </w:pPr>
      <w:r>
        <w:rPr>
          <w:rFonts w:ascii="Arial" w:cs="Arial" w:eastAsia="Arial" w:hAnsi="Arial"/>
          <w:sz w:val="16"/>
          <w:szCs w:val="16"/>
          <w:color w:val="auto"/>
        </w:rPr>
        <w:t>/s/ John M. Steitz John M. Steitz</w:t>
      </w:r>
    </w:p>
    <w:p>
      <w:pPr>
        <w:spacing w:after="0" w:line="1" w:lineRule="exact"/>
        <w:rPr>
          <w:rFonts w:ascii="Arial" w:cs="Arial" w:eastAsia="Arial" w:hAnsi="Arial"/>
          <w:sz w:val="17"/>
          <w:szCs w:val="17"/>
          <w:color w:val="auto"/>
        </w:rPr>
      </w:pPr>
    </w:p>
    <w:p>
      <w:pPr>
        <w:ind w:left="20" w:right="8460"/>
        <w:spacing w:after="0" w:line="279" w:lineRule="auto"/>
        <w:rPr>
          <w:rFonts w:ascii="Arial" w:cs="Arial" w:eastAsia="Arial" w:hAnsi="Arial"/>
          <w:sz w:val="17"/>
          <w:szCs w:val="17"/>
          <w:color w:val="auto"/>
        </w:rPr>
      </w:pPr>
      <w:r>
        <w:rPr>
          <w:rFonts w:ascii="Arial" w:cs="Arial" w:eastAsia="Arial" w:hAnsi="Arial"/>
          <w:sz w:val="18"/>
          <w:szCs w:val="18"/>
          <w:color w:val="auto"/>
        </w:rPr>
        <w:t>President and Chief Executive Officer (Principal Executive Officer)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27514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on Form 10-Q of Tredegar Corporation (the “Company”) for the quarter ended September 30, 2023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44" w:lineRule="exact"/>
        <w:rPr>
          <w:sz w:val="20"/>
          <w:szCs w:val="20"/>
          <w:color w:val="auto"/>
        </w:rPr>
      </w:pPr>
    </w:p>
    <w:p>
      <w:pPr>
        <w:ind w:left="920" w:hanging="264"/>
        <w:spacing w:after="0"/>
        <w:tabs>
          <w:tab w:leader="none" w:pos="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920" w:hanging="264"/>
        <w:spacing w:after="0"/>
        <w:tabs>
          <w:tab w:leader="none" w:pos="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5" w:lineRule="exact"/>
        <w:rPr>
          <w:rFonts w:ascii="Arial" w:cs="Arial" w:eastAsia="Arial" w:hAnsi="Arial"/>
          <w:sz w:val="17"/>
          <w:szCs w:val="17"/>
          <w:color w:val="auto"/>
        </w:rPr>
      </w:pPr>
    </w:p>
    <w:p>
      <w:pPr>
        <w:ind w:left="20" w:right="9520"/>
        <w:spacing w:after="0" w:line="308" w:lineRule="auto"/>
        <w:rPr>
          <w:rFonts w:ascii="Arial" w:cs="Arial" w:eastAsia="Arial" w:hAnsi="Arial"/>
          <w:sz w:val="17"/>
          <w:szCs w:val="17"/>
          <w:color w:val="auto"/>
        </w:rPr>
      </w:pPr>
      <w:r>
        <w:rPr>
          <w:rFonts w:ascii="Arial" w:cs="Arial" w:eastAsia="Arial" w:hAnsi="Arial"/>
          <w:sz w:val="16"/>
          <w:szCs w:val="16"/>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7514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9,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lvl w:ilvl="1">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lvl w:ilvl="1">
      <w:lvlJc w:val="left"/>
      <w:lvlText w:val="◦"/>
      <w:numFmt w:val="bullet"/>
      <w:start w:val="1"/>
    </w:lvl>
  </w:abstractNum>
  <w:abstractNum w:abstractNumId="15">
    <w:nsid w:val="2443A858"/>
    <w:multiLevelType w:val="hybridMultilevel"/>
    <w:lvl w:ilvl="0">
      <w:lvlJc w:val="left"/>
      <w:lvlText w:val="•"/>
      <w:numFmt w:val="bullet"/>
      <w:start w:val="1"/>
    </w:lvl>
    <w:lvl w:ilvl="1">
      <w:lvlJc w:val="left"/>
      <w:lvlText w:val="◦"/>
      <w:numFmt w:val="bullet"/>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lvl w:ilvl="1">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85" Type="http://schemas.openxmlformats.org/officeDocument/2006/relationships/hyperlink" Target="https://www.sec.gov/Archives/edgar/data/850429/000119312523228143/d539320dex21.htm" TargetMode="External"/><Relationship Id="rId86" Type="http://schemas.openxmlformats.org/officeDocument/2006/relationships/hyperlink" Target="https://www.sec.gov/Archives/edgar/data/850429/000085042923000020/ex31-20230804bylaws.htm" TargetMode="External"/><Relationship Id="rId87" Type="http://schemas.openxmlformats.org/officeDocument/2006/relationships/hyperlink" Target="https://www.sec.gov/Archives/edgar/data/850429/000085042923000023/tg-ex102_20230630x10q.htm" TargetMode="External"/><Relationship Id="rId88" Type="http://schemas.openxmlformats.org/officeDocument/2006/relationships/hyperlink" Target="https://www.sec.gov/Archives/edgar/data/850429/000119312523250760/d509382dex101.htm" TargetMode="External"/><Relationship Id="rId89" Type="http://schemas.openxmlformats.org/officeDocument/2006/relationships/hyperlink" Target="https://www.sec.gov/Archives/edgar/data/850429/000119312523271467/d5786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2023-11-09T16:28:03Z</dcterms:created>
  <dcterms:modified xsi:type="dcterms:W3CDTF">2023-11-09T16:28:03Z</dcterms:modified>
</cp:coreProperties>
</file>