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120015</wp:posOffset>
            </wp:positionV>
            <wp:extent cx="2005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41" w:lineRule="exact"/>
        <w:rPr>
          <w:sz w:val="24"/>
          <w:szCs w:val="24"/>
          <w:color w:val="auto"/>
        </w:rPr>
      </w:pPr>
    </w:p>
    <w:p>
      <w:pPr>
        <w:ind w:left="620" w:right="2660" w:hanging="594"/>
        <w:spacing w:after="0" w:line="318" w:lineRule="auto"/>
        <w:tabs>
          <w:tab w:leader="none" w:pos="6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Pr>
          <w:p>
            <w:pPr>
              <w:spacing w:after="0"/>
              <w:rPr>
                <w:sz w:val="16"/>
                <w:szCs w:val="16"/>
                <w:color w:val="auto"/>
              </w:rPr>
            </w:pPr>
          </w:p>
        </w:tc>
        <w:tc>
          <w:tcPr>
            <w:tcW w:w="3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18"/>
        </w:trPr>
        <w:tc>
          <w:tcPr>
            <w:tcW w:w="21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r>
    </w:tbl>
    <w:p>
      <w:pPr>
        <w:spacing w:after="0" w:line="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TREDEGAR CORPORATION</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2040" w:type="dxa"/>
        <w:tblCellMar>
          <w:top w:w="0" w:type="dxa"/>
          <w:left w:w="0" w:type="dxa"/>
          <w:bottom w:w="0" w:type="dxa"/>
          <w:right w:w="0" w:type="dxa"/>
        </w:tblCellMar>
      </w:tblPr>
      <w:tr>
        <w:trPr>
          <w:trHeight w:val="232"/>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6"/>
                <w:szCs w:val="16"/>
                <w:b w:val="1"/>
                <w:bCs w:val="1"/>
                <w:color w:val="auto"/>
                <w:w w:val="98"/>
              </w:rPr>
              <w:t>Virginia</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54-1497771</w:t>
            </w:r>
          </w:p>
        </w:tc>
      </w:tr>
      <w:tr>
        <w:trPr>
          <w:trHeight w:val="128"/>
        </w:trPr>
        <w:tc>
          <w:tcPr>
            <w:tcW w:w="3880" w:type="dxa"/>
            <w:vAlign w:val="bottom"/>
          </w:tcPr>
          <w:p>
            <w:pPr>
              <w:jc w:val="center"/>
              <w:ind w:right="1727"/>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780" w:type="dxa"/>
            <w:vAlign w:val="bottom"/>
          </w:tcPr>
          <w:p>
            <w:pPr>
              <w:jc w:val="center"/>
              <w:ind w:left="1728"/>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880" w:type="dxa"/>
            <w:vAlign w:val="bottom"/>
          </w:tcPr>
          <w:p>
            <w:pPr>
              <w:jc w:val="center"/>
              <w:ind w:right="174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78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47"/>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8"/>
                <w:szCs w:val="18"/>
                <w:b w:val="1"/>
                <w:bCs w:val="1"/>
                <w:color w:val="auto"/>
                <w:w w:val="98"/>
              </w:rPr>
              <w:t>1100 Boulders Parkway,</w:t>
            </w:r>
          </w:p>
        </w:tc>
        <w:tc>
          <w:tcPr>
            <w:tcW w:w="2780" w:type="dxa"/>
            <w:vAlign w:val="bottom"/>
          </w:tcPr>
          <w:p>
            <w:pPr>
              <w:spacing w:after="0"/>
              <w:rPr>
                <w:sz w:val="24"/>
                <w:szCs w:val="24"/>
                <w:color w:val="auto"/>
              </w:rPr>
            </w:pPr>
          </w:p>
        </w:tc>
      </w:tr>
      <w:tr>
        <w:trPr>
          <w:trHeight w:val="371"/>
        </w:trPr>
        <w:tc>
          <w:tcPr>
            <w:tcW w:w="38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Richmond, Virginia</w:t>
            </w:r>
          </w:p>
        </w:tc>
        <w:tc>
          <w:tcPr>
            <w:tcW w:w="27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23225</w:t>
            </w:r>
          </w:p>
        </w:tc>
      </w:tr>
      <w:tr>
        <w:trPr>
          <w:trHeight w:val="166"/>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804-330-1000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298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9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TG</w:t>
            </w:r>
          </w:p>
        </w:tc>
        <w:tc>
          <w:tcPr>
            <w:tcW w:w="110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22860</wp:posOffset>
            </wp:positionV>
            <wp:extent cx="2005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(Title of class)</w:t>
      </w:r>
    </w:p>
    <w:p>
      <w:pPr>
        <w:sectPr>
          <w:pgSz w:w="11900" w:h="16838" w:orient="portrait"/>
          <w:cols w:equalWidth="0" w:num="1">
            <w:col w:w="11200"/>
          </w:cols>
          <w:pgMar w:left="320" w:top="473" w:right="379" w:bottom="1440" w:gutter="0" w:footer="0" w:header="0"/>
        </w:sect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36" w:lineRule="exact"/>
        <w:rPr>
          <w:sz w:val="24"/>
          <w:szCs w:val="24"/>
          <w:color w:val="auto"/>
        </w:rPr>
      </w:pPr>
    </w:p>
    <w:p>
      <w:pPr>
        <w:sectPr>
          <w:pgSz w:w="11900" w:h="16838" w:orient="portrait"/>
          <w:cols w:equalWidth="0" w:num="5">
            <w:col w:w="6760" w:space="140"/>
            <w:col w:w="200" w:space="80"/>
            <w:col w:w="140" w:space="140"/>
            <w:col w:w="180" w:space="60"/>
            <w:col w:w="3500"/>
          </w:cols>
          <w:pgMar w:left="320" w:top="473" w:right="37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59" w:lineRule="exact"/>
        <w:rPr>
          <w:sz w:val="24"/>
          <w:szCs w:val="24"/>
          <w:color w:val="auto"/>
        </w:rPr>
      </w:pPr>
    </w:p>
    <w:p>
      <w:pPr>
        <w:sectPr>
          <w:pgSz w:w="11900" w:h="16838" w:orient="portrait"/>
          <w:cols w:equalWidth="0" w:num="5">
            <w:col w:w="6900" w:space="120"/>
            <w:col w:w="220" w:space="80"/>
            <w:col w:w="120" w:space="140"/>
            <w:col w:w="180" w:space="80"/>
            <w:col w:w="3360"/>
          </w:cols>
          <w:pgMar w:left="320" w:top="473" w:right="379" w:bottom="1440" w:gutter="0" w:footer="0" w:header="0"/>
          <w:type w:val="continuous"/>
        </w:sectPr>
      </w:pPr>
    </w:p>
    <w:p>
      <w:pPr>
        <w:ind w:right="18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473" w:right="379" w:bottom="1440" w:gutter="0" w:footer="0" w:header="0"/>
          <w:type w:val="continuous"/>
        </w:sectPr>
      </w:pPr>
    </w:p>
    <w:p>
      <w:pPr>
        <w:spacing w:after="0" w:line="81"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920"/>
        <w:spacing w:after="0"/>
        <w:rPr>
          <w:sz w:val="20"/>
          <w:szCs w:val="20"/>
          <w:color w:val="auto"/>
        </w:rPr>
      </w:pPr>
      <w:r>
        <w:rPr>
          <w:rFonts w:ascii="Wingdings" w:cs="Wingdings" w:eastAsia="Wingdings" w:hAnsi="Wingdings"/>
          <w:sz w:val="13"/>
          <w:szCs w:val="13"/>
          <w:b w:val="1"/>
          <w:bCs w:val="1"/>
          <w:color w:val="auto"/>
        </w:rPr>
        <w:t>o</w:t>
      </w:r>
    </w:p>
    <w:p>
      <w:pPr>
        <w:spacing w:after="0" w:line="97" w:lineRule="exact"/>
        <w:rPr>
          <w:sz w:val="24"/>
          <w:szCs w:val="24"/>
          <w:color w:val="auto"/>
        </w:rPr>
      </w:pPr>
    </w:p>
    <w:p>
      <w:pPr>
        <w:sectPr>
          <w:pgSz w:w="11900" w:h="16838" w:orient="portrait"/>
          <w:cols w:equalWidth="0" w:num="6">
            <w:col w:w="2140" w:space="720"/>
            <w:col w:w="1900" w:space="720"/>
            <w:col w:w="1200" w:space="720"/>
            <w:col w:w="140" w:space="120"/>
            <w:col w:w="1780" w:space="720"/>
            <w:col w:w="1040"/>
          </w:cols>
          <w:pgMar w:left="320" w:top="473" w:right="37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920"/>
        <w:spacing w:after="0"/>
        <w:rPr>
          <w:sz w:val="20"/>
          <w:szCs w:val="20"/>
          <w:color w:val="auto"/>
        </w:rPr>
      </w:pPr>
      <w:r>
        <w:rPr>
          <w:rFonts w:ascii="Wingdings" w:cs="Wingdings" w:eastAsia="Wingdings" w:hAnsi="Wingdings"/>
          <w:sz w:val="13"/>
          <w:szCs w:val="13"/>
          <w:b w:val="1"/>
          <w:bCs w:val="1"/>
          <w:color w:val="auto"/>
        </w:rPr>
        <w:t>o</w:t>
      </w:r>
    </w:p>
    <w:p>
      <w:pPr>
        <w:spacing w:after="0" w:line="151" w:lineRule="exact"/>
        <w:rPr>
          <w:sz w:val="24"/>
          <w:szCs w:val="24"/>
          <w:color w:val="auto"/>
        </w:rPr>
      </w:pPr>
    </w:p>
    <w:p>
      <w:pPr>
        <w:sectPr>
          <w:pgSz w:w="11900" w:h="16838" w:orient="portrait"/>
          <w:cols w:equalWidth="0" w:num="4">
            <w:col w:w="2140" w:space="720"/>
            <w:col w:w="4080" w:space="720"/>
            <w:col w:w="1780" w:space="720"/>
            <w:col w:w="1040"/>
          </w:cols>
          <w:pgMar w:left="320" w:top="473" w:right="379" w:bottom="1440" w:gutter="0" w:footer="0" w:header="0"/>
          <w:type w:val="continuous"/>
        </w:sectPr>
      </w:pPr>
    </w:p>
    <w:p>
      <w:pPr>
        <w:ind w:right="52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30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80"/>
        <w:spacing w:after="0" w:line="19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ind w:right="24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78" w:lineRule="exact"/>
        <w:rPr>
          <w:sz w:val="24"/>
          <w:szCs w:val="24"/>
          <w:color w:val="auto"/>
        </w:rPr>
      </w:pPr>
    </w:p>
    <w:p>
      <w:pPr>
        <w:ind w:right="280"/>
        <w:spacing w:after="0" w:line="301" w:lineRule="auto"/>
        <w:rPr>
          <w:sz w:val="20"/>
          <w:szCs w:val="20"/>
          <w:color w:val="auto"/>
        </w:rPr>
      </w:pPr>
      <w:r>
        <w:rPr>
          <w:rFonts w:ascii="Times New Roman" w:cs="Times New Roman" w:eastAsia="Times New Roman" w:hAnsi="Times New Roman"/>
          <w:sz w:val="14"/>
          <w:szCs w:val="14"/>
          <w:color w:val="auto"/>
        </w:rPr>
        <w:t>Aggregate market value of voting and non-voting common equity held by non-affiliates of the registrant as of June 30, 2022 (the last business day of the registrant’s most recently completed second fiscal quarter): $266,141,470*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outstanding as of March 10, 2023: 34,016,689</w:t>
      </w:r>
    </w:p>
    <w:p>
      <w:pPr>
        <w:spacing w:after="0" w:line="109" w:lineRule="exact"/>
        <w:rPr>
          <w:sz w:val="24"/>
          <w:szCs w:val="24"/>
          <w:color w:val="auto"/>
        </w:rPr>
      </w:pPr>
    </w:p>
    <w:p>
      <w:pPr>
        <w:ind w:left="360" w:right="260" w:hanging="334"/>
        <w:spacing w:after="0" w:line="234" w:lineRule="auto"/>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this figure, an aggregate of 7,351,331 shares of Common Stock beneficially owned by Floyd D. Gottwald, Jr., John D. Gottwald, William M. Gottwald and the members of their immediate families has been excluded because the shares are deemed to be held by affiliates. The aggregate market value has been computed based on the closing price in the New York Stock Exchange on June 30, 2022.</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Portions of the Tredegar Corporation Proxy Statement for the 2023 Annual Meeting of Shareholders (the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3" w:right="379" w:bottom="1440" w:gutter="0" w:footer="0" w:header="0"/>
          <w:type w:val="continuous"/>
        </w:sectPr>
      </w:pPr>
    </w:p>
    <w:bookmarkStart w:id="1" w:name="page2"/>
    <w:bookmarkEnd w:id="1"/>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300" w:type="dxa"/>
            <w:vAlign w:val="bottom"/>
            <w:gridSpan w:val="4"/>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1B</w:t>
            </w:r>
            <w:r>
              <w:rPr>
                <w:rFonts w:ascii="Times New Roman" w:cs="Times New Roman" w:eastAsia="Times New Roman" w:hAnsi="Times New Roman"/>
                <w:sz w:val="18"/>
                <w:szCs w:val="18"/>
                <w:color w:val="000000"/>
                <w:w w:val="95"/>
              </w:rPr>
              <w:t>.</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6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3</w:t>
            </w:r>
            <w:r>
              <w:rPr>
                <w:rFonts w:ascii="Times New Roman" w:cs="Times New Roman" w:eastAsia="Times New Roman" w:hAnsi="Times New Roman"/>
                <w:sz w:val="18"/>
                <w:szCs w:val="18"/>
                <w:color w:val="000000"/>
                <w:w w:val="86"/>
              </w:rPr>
              <w:t>.</w:t>
            </w:r>
          </w:p>
        </w:tc>
        <w:tc>
          <w:tcPr>
            <w:tcW w:w="300" w:type="dxa"/>
            <w:vAlign w:val="bottom"/>
            <w:gridSpan w:val="4"/>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300" w:type="dxa"/>
            <w:vAlign w:val="bottom"/>
            <w:gridSpan w:val="4"/>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II</w:t>
            </w:r>
          </w:p>
        </w:tc>
        <w:tc>
          <w:tcPr>
            <w:tcW w:w="2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5.</w:t>
            </w:r>
          </w:p>
        </w:tc>
        <w:tc>
          <w:tcPr>
            <w:tcW w:w="300" w:type="dxa"/>
            <w:vAlign w:val="bottom"/>
            <w:gridSpan w:val="4"/>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300" w:type="dxa"/>
            <w:vAlign w:val="bottom"/>
            <w:gridSpan w:val="4"/>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7.</w:t>
            </w:r>
          </w:p>
        </w:tc>
        <w:tc>
          <w:tcPr>
            <w:tcW w:w="300" w:type="dxa"/>
            <w:vAlign w:val="bottom"/>
            <w:gridSpan w:val="4"/>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7A.</w:t>
            </w: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240" w:type="dxa"/>
            <w:vAlign w:val="bottom"/>
            <w:gridSpan w:val="3"/>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9.</w:t>
            </w:r>
          </w:p>
        </w:tc>
        <w:tc>
          <w:tcPr>
            <w:tcW w:w="6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9B.</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9C</w:t>
            </w:r>
            <w:r>
              <w:rPr>
                <w:rFonts w:ascii="Times New Roman" w:cs="Times New Roman" w:eastAsia="Times New Roman" w:hAnsi="Times New Roman"/>
                <w:sz w:val="18"/>
                <w:szCs w:val="18"/>
                <w:color w:val="000000"/>
                <w:w w:val="95"/>
              </w:rPr>
              <w:t>.</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10.</w:t>
            </w:r>
          </w:p>
        </w:tc>
        <w:tc>
          <w:tcPr>
            <w:tcW w:w="160" w:type="dxa"/>
            <w:vAlign w:val="bottom"/>
            <w:gridSpan w:val="2"/>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12.</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85"/>
              </w:rPr>
              <w:t>Part IV</w:t>
            </w:r>
          </w:p>
        </w:tc>
        <w:tc>
          <w:tcPr>
            <w:tcW w:w="80" w:type="dxa"/>
            <w:vAlign w:val="bottom"/>
            <w:tcBorders>
              <w:top w:val="single" w:sz="8" w:color="0000FF"/>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15.</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16.</w:t>
            </w:r>
          </w:p>
        </w:tc>
        <w:tc>
          <w:tcPr>
            <w:tcW w:w="140" w:type="dxa"/>
            <w:vAlign w:val="bottom"/>
          </w:tcPr>
          <w:p>
            <w:pPr>
              <w:spacing w:after="0"/>
              <w:rPr>
                <w:sz w:val="18"/>
                <w:szCs w:val="18"/>
                <w:color w:val="auto"/>
              </w:rPr>
            </w:pPr>
          </w:p>
        </w:tc>
        <w:tc>
          <w:tcPr>
            <w:tcW w:w="946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0000FF"/>
              </w:rPr>
              <w:t>Form 10-K Summary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Business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Tredegar Corporation (“Tredegar”) is engaged, through its subsidiaries, in the manufacture of aluminum extrusions, polyethylene (“PE”) plastic films and polyester (“PET”) films. Unless the context requires otherwise, all references herein to “Tredegar,” “the Company,” “we,” “us” or “our” are to Tredegar Corporation and its consolidated subsidiaries.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reportable business segments are Aluminum Extrusions, PE Films and Flexible Packaging Films.</w:t>
      </w:r>
    </w:p>
    <w:p>
      <w:pPr>
        <w:spacing w:after="0" w:line="10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On October 30, 2020, the Company completed the sale of its personal care films business (“Personal Care Films”). The transaction excluded the packaging film lines and related operations located at the Pottsville, Pennsylvania manufacturing site (“Pottsville Packaging”), which are now being reported with the Surface Protection component of PE Films. Commencing in the third quarter of 2020, all historical results for Personal Care Films have been presented as discontinued operations.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this transaction, see Note 15 “Discontinued Operations” to the Consolidated Financial Statements included in Item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and Financial Statement Schedules” (“Item 15”) of this Annual Report on Form 10-K for the year ended December 31, 2022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Bonnell Aluminum has manufacturing facilities located in the United States (“U.S.”).</w:t>
      </w:r>
    </w:p>
    <w:p>
      <w:pPr>
        <w:spacing w:after="0" w:line="54" w:lineRule="exact"/>
        <w:rPr>
          <w:sz w:val="20"/>
          <w:szCs w:val="20"/>
          <w:color w:val="auto"/>
        </w:rPr>
      </w:pPr>
    </w:p>
    <w:p>
      <w:pPr>
        <w:ind w:right="200" w:firstLine="405"/>
        <w:spacing w:after="0" w:line="224" w:lineRule="auto"/>
        <w:rPr>
          <w:sz w:val="20"/>
          <w:szCs w:val="20"/>
          <w:color w:val="auto"/>
        </w:rPr>
      </w:pPr>
      <w:r>
        <w:rPr>
          <w:rFonts w:ascii="Times New Roman" w:cs="Times New Roman" w:eastAsia="Times New Roman" w:hAnsi="Times New Roman"/>
          <w:sz w:val="18"/>
          <w:szCs w:val="18"/>
          <w:color w:val="auto"/>
        </w:rPr>
        <w:t>Aluminum Extrusions manufactures mill (unfinished), machined, anodized and painted, and thermally improved aluminum extrusions for sale directly to fabricators and distributors. It also manufactures and sells branded product lines: Futura Transitions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 (flooring trims) and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 (structural aluminum framing systems). Aluminum Extrusions competes primarily on the basis of product quality, service and price. Sales are made predominantly in the U.S. The end-use markets for Aluminum Extrusions are cyclical and seasonal in nature.</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end-uses in each of Aluminum Extrusions’ primary market segments include: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40" w:type="dxa"/>
            <w:vAlign w:val="bottom"/>
            <w:tcBorders>
              <w:top w:val="single" w:sz="8" w:color="auto"/>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Major Markets</w:t>
            </w:r>
          </w:p>
        </w:tc>
        <w:tc>
          <w:tcPr>
            <w:tcW w:w="6600" w:type="dxa"/>
            <w:vAlign w:val="bottom"/>
            <w:tcBorders>
              <w:top w:val="single" w:sz="8" w:color="auto"/>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End-Uses</w:t>
            </w:r>
          </w:p>
        </w:tc>
      </w:tr>
      <w:tr>
        <w:trPr>
          <w:trHeight w:val="34"/>
        </w:trPr>
        <w:tc>
          <w:tcPr>
            <w:tcW w:w="464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184"/>
        </w:trPr>
        <w:tc>
          <w:tcPr>
            <w:tcW w:w="4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Building &amp; construction - nonresidential</w:t>
            </w:r>
          </w:p>
        </w:tc>
        <w:tc>
          <w:tcPr>
            <w:tcW w:w="6600" w:type="dxa"/>
            <w:vAlign w:val="bottom"/>
            <w:shd w:val="clear" w:color="auto" w:fill="CCEEFF"/>
          </w:tcPr>
          <w:p>
            <w:pPr>
              <w:ind w:left="1220"/>
              <w:spacing w:after="0" w:line="184" w:lineRule="exact"/>
              <w:rPr>
                <w:sz w:val="20"/>
                <w:szCs w:val="20"/>
                <w:color w:val="auto"/>
              </w:rPr>
            </w:pPr>
            <w:r>
              <w:rPr>
                <w:rFonts w:ascii="Times New Roman" w:cs="Times New Roman" w:eastAsia="Times New Roman" w:hAnsi="Times New Roman"/>
                <w:sz w:val="18"/>
                <w:szCs w:val="18"/>
                <w:color w:val="auto"/>
              </w:rPr>
              <w:t>Commercial windows and doors, curtain walls, storefronts and entrances,</w:t>
            </w:r>
          </w:p>
        </w:tc>
      </w:tr>
      <w:tr>
        <w:trPr>
          <w:trHeight w:val="180"/>
        </w:trPr>
        <w:tc>
          <w:tcPr>
            <w:tcW w:w="4640" w:type="dxa"/>
            <w:vAlign w:val="bottom"/>
            <w:shd w:val="clear" w:color="auto" w:fill="CCEEFF"/>
          </w:tcPr>
          <w:p>
            <w:pPr>
              <w:spacing w:after="0"/>
              <w:rPr>
                <w:sz w:val="15"/>
                <w:szCs w:val="15"/>
                <w:color w:val="auto"/>
              </w:rPr>
            </w:pPr>
          </w:p>
        </w:tc>
        <w:tc>
          <w:tcPr>
            <w:tcW w:w="6600" w:type="dxa"/>
            <w:vAlign w:val="bottom"/>
            <w:shd w:val="clear" w:color="auto" w:fill="CCEEFF"/>
          </w:tcPr>
          <w:p>
            <w:pPr>
              <w:ind w:left="1220"/>
              <w:spacing w:after="0" w:line="181" w:lineRule="exact"/>
              <w:rPr>
                <w:sz w:val="20"/>
                <w:szCs w:val="20"/>
                <w:color w:val="auto"/>
              </w:rPr>
            </w:pPr>
            <w:r>
              <w:rPr>
                <w:rFonts w:ascii="Times New Roman" w:cs="Times New Roman" w:eastAsia="Times New Roman" w:hAnsi="Times New Roman"/>
                <w:sz w:val="18"/>
                <w:szCs w:val="18"/>
                <w:color w:val="auto"/>
              </w:rPr>
              <w:t>automatic entry doors, walkway covers, ducts, louvers and vents, office</w:t>
            </w:r>
          </w:p>
        </w:tc>
      </w:tr>
      <w:tr>
        <w:trPr>
          <w:trHeight w:val="175"/>
        </w:trPr>
        <w:tc>
          <w:tcPr>
            <w:tcW w:w="4640" w:type="dxa"/>
            <w:vAlign w:val="bottom"/>
            <w:shd w:val="clear" w:color="auto" w:fill="CCEEFF"/>
          </w:tcPr>
          <w:p>
            <w:pPr>
              <w:spacing w:after="0"/>
              <w:rPr>
                <w:sz w:val="15"/>
                <w:szCs w:val="15"/>
                <w:color w:val="auto"/>
              </w:rPr>
            </w:pPr>
          </w:p>
        </w:tc>
        <w:tc>
          <w:tcPr>
            <w:tcW w:w="6600" w:type="dxa"/>
            <w:vAlign w:val="bottom"/>
            <w:shd w:val="clear" w:color="auto" w:fill="CCEEFF"/>
          </w:tcPr>
          <w:p>
            <w:pPr>
              <w:ind w:left="1220"/>
              <w:spacing w:after="0" w:line="176" w:lineRule="exact"/>
              <w:rPr>
                <w:sz w:val="20"/>
                <w:szCs w:val="20"/>
                <w:color w:val="auto"/>
              </w:rPr>
            </w:pPr>
            <w:r>
              <w:rPr>
                <w:rFonts w:ascii="Times New Roman" w:cs="Times New Roman" w:eastAsia="Times New Roman" w:hAnsi="Times New Roman"/>
                <w:sz w:val="18"/>
                <w:szCs w:val="18"/>
                <w:color w:val="auto"/>
              </w:rPr>
              <w:t>wall panels, partitions and interior enclosures, acoustical walls and</w:t>
            </w:r>
          </w:p>
        </w:tc>
      </w:tr>
      <w:tr>
        <w:trPr>
          <w:trHeight w:val="181"/>
        </w:trPr>
        <w:tc>
          <w:tcPr>
            <w:tcW w:w="4640" w:type="dxa"/>
            <w:vAlign w:val="bottom"/>
            <w:shd w:val="clear" w:color="auto" w:fill="CCEEFF"/>
          </w:tcPr>
          <w:p>
            <w:pPr>
              <w:spacing w:after="0"/>
              <w:rPr>
                <w:sz w:val="15"/>
                <w:szCs w:val="15"/>
                <w:color w:val="auto"/>
              </w:rPr>
            </w:pPr>
          </w:p>
        </w:tc>
        <w:tc>
          <w:tcPr>
            <w:tcW w:w="6600" w:type="dxa"/>
            <w:vAlign w:val="bottom"/>
            <w:shd w:val="clear" w:color="auto" w:fill="CCEEFF"/>
          </w:tcPr>
          <w:p>
            <w:pPr>
              <w:ind w:left="1220"/>
              <w:spacing w:after="0" w:line="181" w:lineRule="exact"/>
              <w:rPr>
                <w:sz w:val="20"/>
                <w:szCs w:val="20"/>
                <w:color w:val="auto"/>
              </w:rPr>
            </w:pPr>
            <w:r>
              <w:rPr>
                <w:rFonts w:ascii="Times New Roman" w:cs="Times New Roman" w:eastAsia="Times New Roman" w:hAnsi="Times New Roman"/>
                <w:sz w:val="18"/>
                <w:szCs w:val="18"/>
                <w:color w:val="auto"/>
              </w:rPr>
              <w:t>ceilings, point of purchase displays, pre-engineered structures, and</w:t>
            </w:r>
          </w:p>
        </w:tc>
      </w:tr>
      <w:tr>
        <w:trPr>
          <w:trHeight w:val="238"/>
        </w:trPr>
        <w:tc>
          <w:tcPr>
            <w:tcW w:w="4640" w:type="dxa"/>
            <w:vAlign w:val="bottom"/>
            <w:shd w:val="clear" w:color="auto" w:fill="CCEEFF"/>
          </w:tcPr>
          <w:p>
            <w:pPr>
              <w:spacing w:after="0"/>
              <w:rPr>
                <w:sz w:val="20"/>
                <w:szCs w:val="20"/>
                <w:color w:val="auto"/>
              </w:rPr>
            </w:pPr>
          </w:p>
        </w:tc>
        <w:tc>
          <w:tcPr>
            <w:tcW w:w="6600" w:type="dxa"/>
            <w:vAlign w:val="bottom"/>
            <w:shd w:val="clear" w:color="auto" w:fill="CCEEFF"/>
          </w:tcPr>
          <w:p>
            <w:pPr>
              <w:ind w:left="1220"/>
              <w:spacing w:after="0" w:line="237" w:lineRule="exact"/>
              <w:rPr>
                <w:sz w:val="20"/>
                <w:szCs w:val="20"/>
                <w:color w:val="auto"/>
              </w:rPr>
            </w:pPr>
            <w:r>
              <w:rPr>
                <w:rFonts w:ascii="Times New Roman" w:cs="Times New Roman" w:eastAsia="Times New Roman" w:hAnsi="Times New Roman"/>
                <w:sz w:val="18"/>
                <w:szCs w:val="18"/>
                <w:color w:val="auto"/>
              </w:rPr>
              <w:t>flooring trims (Futura Transitions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w:t>
            </w:r>
          </w:p>
        </w:tc>
      </w:tr>
      <w:tr>
        <w:trPr>
          <w:trHeight w:val="184"/>
        </w:trPr>
        <w:tc>
          <w:tcPr>
            <w:tcW w:w="4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Building &amp; construction - residential</w:t>
            </w:r>
          </w:p>
        </w:tc>
        <w:tc>
          <w:tcPr>
            <w:tcW w:w="6600" w:type="dxa"/>
            <w:vAlign w:val="bottom"/>
          </w:tcPr>
          <w:p>
            <w:pPr>
              <w:ind w:left="1220"/>
              <w:spacing w:after="0" w:line="184" w:lineRule="exact"/>
              <w:rPr>
                <w:sz w:val="20"/>
                <w:szCs w:val="20"/>
                <w:color w:val="auto"/>
              </w:rPr>
            </w:pPr>
            <w:r>
              <w:rPr>
                <w:rFonts w:ascii="Times New Roman" w:cs="Times New Roman" w:eastAsia="Times New Roman" w:hAnsi="Times New Roman"/>
                <w:sz w:val="18"/>
                <w:szCs w:val="18"/>
                <w:color w:val="auto"/>
              </w:rPr>
              <w:t>Residential windows and doors, shower and tub enclosures, railing and</w:t>
            </w:r>
          </w:p>
        </w:tc>
      </w:tr>
      <w:tr>
        <w:trPr>
          <w:trHeight w:val="234"/>
        </w:trPr>
        <w:tc>
          <w:tcPr>
            <w:tcW w:w="4640" w:type="dxa"/>
            <w:vAlign w:val="bottom"/>
          </w:tcPr>
          <w:p>
            <w:pPr>
              <w:spacing w:after="0"/>
              <w:rPr>
                <w:sz w:val="20"/>
                <w:szCs w:val="20"/>
                <w:color w:val="auto"/>
              </w:rPr>
            </w:pP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support systems, venetian blinds, and swimming pools</w:t>
            </w:r>
          </w:p>
        </w:tc>
      </w:tr>
      <w:tr>
        <w:trPr>
          <w:trHeight w:val="184"/>
        </w:trPr>
        <w:tc>
          <w:tcPr>
            <w:tcW w:w="4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Automotive &amp; transportation</w:t>
            </w:r>
          </w:p>
        </w:tc>
        <w:tc>
          <w:tcPr>
            <w:tcW w:w="6600" w:type="dxa"/>
            <w:vAlign w:val="bottom"/>
            <w:shd w:val="clear" w:color="auto" w:fill="CCEEFF"/>
          </w:tcPr>
          <w:p>
            <w:pPr>
              <w:ind w:left="1220"/>
              <w:spacing w:after="0" w:line="184" w:lineRule="exact"/>
              <w:rPr>
                <w:sz w:val="20"/>
                <w:szCs w:val="20"/>
                <w:color w:val="auto"/>
              </w:rPr>
            </w:pPr>
            <w:r>
              <w:rPr>
                <w:rFonts w:ascii="Times New Roman" w:cs="Times New Roman" w:eastAsia="Times New Roman" w:hAnsi="Times New Roman"/>
                <w:sz w:val="18"/>
                <w:szCs w:val="18"/>
                <w:color w:val="auto"/>
              </w:rPr>
              <w:t>Automotive and light truck structural components, battery enclosures for</w:t>
            </w:r>
          </w:p>
        </w:tc>
      </w:tr>
      <w:tr>
        <w:trPr>
          <w:trHeight w:val="180"/>
        </w:trPr>
        <w:tc>
          <w:tcPr>
            <w:tcW w:w="4640" w:type="dxa"/>
            <w:vAlign w:val="bottom"/>
            <w:shd w:val="clear" w:color="auto" w:fill="CCEEFF"/>
          </w:tcPr>
          <w:p>
            <w:pPr>
              <w:spacing w:after="0"/>
              <w:rPr>
                <w:sz w:val="15"/>
                <w:szCs w:val="15"/>
                <w:color w:val="auto"/>
              </w:rPr>
            </w:pPr>
          </w:p>
        </w:tc>
        <w:tc>
          <w:tcPr>
            <w:tcW w:w="6600" w:type="dxa"/>
            <w:vAlign w:val="bottom"/>
            <w:shd w:val="clear" w:color="auto" w:fill="CCEEFF"/>
          </w:tcPr>
          <w:p>
            <w:pPr>
              <w:ind w:left="1220"/>
              <w:spacing w:after="0" w:line="181" w:lineRule="exact"/>
              <w:rPr>
                <w:sz w:val="20"/>
                <w:szCs w:val="20"/>
                <w:color w:val="auto"/>
              </w:rPr>
            </w:pPr>
            <w:r>
              <w:rPr>
                <w:rFonts w:ascii="Times New Roman" w:cs="Times New Roman" w:eastAsia="Times New Roman" w:hAnsi="Times New Roman"/>
                <w:sz w:val="18"/>
                <w:szCs w:val="18"/>
                <w:color w:val="auto"/>
              </w:rPr>
              <w:t>electric vehicles, after-market automotive accessories, grills for heavy</w:t>
            </w:r>
          </w:p>
        </w:tc>
      </w:tr>
      <w:tr>
        <w:trPr>
          <w:trHeight w:val="230"/>
        </w:trPr>
        <w:tc>
          <w:tcPr>
            <w:tcW w:w="4640" w:type="dxa"/>
            <w:vAlign w:val="bottom"/>
            <w:shd w:val="clear" w:color="auto" w:fill="CCEEFF"/>
          </w:tcPr>
          <w:p>
            <w:pPr>
              <w:spacing w:after="0"/>
              <w:rPr>
                <w:sz w:val="19"/>
                <w:szCs w:val="19"/>
                <w:color w:val="auto"/>
              </w:rPr>
            </w:pPr>
          </w:p>
        </w:tc>
        <w:tc>
          <w:tcPr>
            <w:tcW w:w="6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trucks, travel trailers and recreation vehicles</w:t>
            </w:r>
          </w:p>
        </w:tc>
      </w:tr>
      <w:tr>
        <w:trPr>
          <w:trHeight w:val="184"/>
        </w:trPr>
        <w:tc>
          <w:tcPr>
            <w:tcW w:w="4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Consumer durables</w:t>
            </w:r>
          </w:p>
        </w:tc>
        <w:tc>
          <w:tcPr>
            <w:tcW w:w="6600" w:type="dxa"/>
            <w:vAlign w:val="bottom"/>
          </w:tcPr>
          <w:p>
            <w:pPr>
              <w:ind w:left="1220"/>
              <w:spacing w:after="0" w:line="184" w:lineRule="exact"/>
              <w:rPr>
                <w:sz w:val="20"/>
                <w:szCs w:val="20"/>
                <w:color w:val="auto"/>
              </w:rPr>
            </w:pPr>
            <w:r>
              <w:rPr>
                <w:rFonts w:ascii="Times New Roman" w:cs="Times New Roman" w:eastAsia="Times New Roman" w:hAnsi="Times New Roman"/>
                <w:sz w:val="18"/>
                <w:szCs w:val="18"/>
                <w:color w:val="auto"/>
              </w:rPr>
              <w:t>Office furniture, pleasure boats, refrigerators and freezers, appliances and</w:t>
            </w:r>
          </w:p>
        </w:tc>
      </w:tr>
      <w:tr>
        <w:trPr>
          <w:trHeight w:val="234"/>
        </w:trPr>
        <w:tc>
          <w:tcPr>
            <w:tcW w:w="4640" w:type="dxa"/>
            <w:vAlign w:val="bottom"/>
          </w:tcPr>
          <w:p>
            <w:pPr>
              <w:spacing w:after="0"/>
              <w:rPr>
                <w:sz w:val="20"/>
                <w:szCs w:val="20"/>
                <w:color w:val="auto"/>
              </w:rPr>
            </w:pPr>
          </w:p>
        </w:tc>
        <w:tc>
          <w:tcPr>
            <w:tcW w:w="6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sporting goods</w:t>
            </w:r>
          </w:p>
        </w:tc>
      </w:tr>
      <w:tr>
        <w:trPr>
          <w:trHeight w:val="181"/>
        </w:trPr>
        <w:tc>
          <w:tcPr>
            <w:tcW w:w="4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Machinery &amp; equipment</w:t>
            </w:r>
          </w:p>
        </w:tc>
        <w:tc>
          <w:tcPr>
            <w:tcW w:w="6600" w:type="dxa"/>
            <w:vAlign w:val="bottom"/>
            <w:shd w:val="clear" w:color="auto" w:fill="CCEEFF"/>
          </w:tcPr>
          <w:p>
            <w:pPr>
              <w:ind w:left="1220"/>
              <w:spacing w:after="0" w:line="181" w:lineRule="exact"/>
              <w:rPr>
                <w:sz w:val="20"/>
                <w:szCs w:val="20"/>
                <w:color w:val="auto"/>
              </w:rPr>
            </w:pPr>
            <w:r>
              <w:rPr>
                <w:rFonts w:ascii="Times New Roman" w:cs="Times New Roman" w:eastAsia="Times New Roman" w:hAnsi="Times New Roman"/>
                <w:sz w:val="18"/>
                <w:szCs w:val="18"/>
                <w:color w:val="auto"/>
              </w:rPr>
              <w:t>Material handling equipment, conveyor systems, medical equipment,</w:t>
            </w:r>
          </w:p>
        </w:tc>
      </w:tr>
      <w:tr>
        <w:trPr>
          <w:trHeight w:val="184"/>
        </w:trPr>
        <w:tc>
          <w:tcPr>
            <w:tcW w:w="4640" w:type="dxa"/>
            <w:vAlign w:val="bottom"/>
            <w:shd w:val="clear" w:color="auto" w:fill="CCEEFF"/>
          </w:tcPr>
          <w:p>
            <w:pPr>
              <w:spacing w:after="0"/>
              <w:rPr>
                <w:sz w:val="15"/>
                <w:szCs w:val="15"/>
                <w:color w:val="auto"/>
              </w:rPr>
            </w:pPr>
          </w:p>
        </w:tc>
        <w:tc>
          <w:tcPr>
            <w:tcW w:w="6600" w:type="dxa"/>
            <w:vAlign w:val="bottom"/>
            <w:shd w:val="clear" w:color="auto" w:fill="CCEEFF"/>
          </w:tcPr>
          <w:p>
            <w:pPr>
              <w:ind w:left="1220"/>
              <w:spacing w:after="0" w:line="184" w:lineRule="exact"/>
              <w:rPr>
                <w:sz w:val="20"/>
                <w:szCs w:val="20"/>
                <w:color w:val="auto"/>
              </w:rPr>
            </w:pPr>
            <w:r>
              <w:rPr>
                <w:rFonts w:ascii="Times New Roman" w:cs="Times New Roman" w:eastAsia="Times New Roman" w:hAnsi="Times New Roman"/>
                <w:sz w:val="17"/>
                <w:szCs w:val="17"/>
                <w:color w:val="auto"/>
              </w:rPr>
              <w:t>industrial fans and aluminum framing systems (TSLOTS</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xml:space="preserve"> by Bonnell</w:t>
            </w:r>
          </w:p>
        </w:tc>
      </w:tr>
      <w:tr>
        <w:trPr>
          <w:trHeight w:val="230"/>
        </w:trPr>
        <w:tc>
          <w:tcPr>
            <w:tcW w:w="4640" w:type="dxa"/>
            <w:vAlign w:val="bottom"/>
            <w:shd w:val="clear" w:color="auto" w:fill="CCEEFF"/>
          </w:tcPr>
          <w:p>
            <w:pPr>
              <w:spacing w:after="0"/>
              <w:rPr>
                <w:sz w:val="19"/>
                <w:szCs w:val="19"/>
                <w:color w:val="auto"/>
              </w:rPr>
            </w:pPr>
          </w:p>
        </w:tc>
        <w:tc>
          <w:tcPr>
            <w:tcW w:w="6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Aluminum)</w:t>
            </w:r>
          </w:p>
        </w:tc>
      </w:tr>
    </w:tbl>
    <w:p>
      <w:pPr>
        <w:spacing w:after="0" w:line="1" w:lineRule="exact"/>
        <w:rPr>
          <w:sz w:val="20"/>
          <w:szCs w:val="20"/>
          <w:color w:val="auto"/>
        </w:rPr>
      </w:pPr>
    </w:p>
    <w:p>
      <w:pPr>
        <w:sectPr>
          <w:pgSz w:w="11900" w:h="16838" w:orient="portrait"/>
          <w:cols w:equalWidth="0" w:num="1">
            <w:col w:w="11240"/>
          </w:cols>
          <w:pgMar w:left="320" w:top="1130" w:right="339" w:bottom="1440" w:gutter="0" w:footer="0" w:header="0"/>
        </w:sectPr>
      </w:pPr>
    </w:p>
    <w:p>
      <w:pPr>
        <w:ind w:left="20"/>
        <w:spacing w:after="0" w:line="245" w:lineRule="auto"/>
        <w:rPr>
          <w:sz w:val="20"/>
          <w:szCs w:val="20"/>
          <w:color w:val="auto"/>
        </w:rPr>
      </w:pPr>
      <w:r>
        <w:rPr>
          <w:rFonts w:ascii="Times New Roman" w:cs="Times New Roman" w:eastAsia="Times New Roman" w:hAnsi="Times New Roman"/>
          <w:sz w:val="18"/>
          <w:szCs w:val="18"/>
          <w:color w:val="auto"/>
        </w:rPr>
        <w:t>Distribution (metal service centers specializing in stock and release programs and custom fabrications to small manufacturers)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8"/>
          <w:szCs w:val="18"/>
          <w:color w:val="auto"/>
        </w:rPr>
        <w:t>Various custom profiles including storm shutters, pleasure boat</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accessories, theater set structures and various standard profiles (including rod, bar, tube and pipe)</w:t>
      </w:r>
    </w:p>
    <w:p>
      <w:pPr>
        <w:spacing w:after="0" w:line="1" w:lineRule="exact"/>
        <w:rPr>
          <w:sz w:val="20"/>
          <w:szCs w:val="20"/>
          <w:color w:val="auto"/>
        </w:rPr>
      </w:pPr>
    </w:p>
    <w:p>
      <w:pPr>
        <w:sectPr>
          <w:pgSz w:w="11900" w:h="16838" w:orient="portrait"/>
          <w:cols w:equalWidth="0" w:num="2">
            <w:col w:w="5600" w:space="260"/>
            <w:col w:w="5380"/>
          </w:cols>
          <w:pgMar w:left="320" w:top="1130"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Electrical &amp; renewable energy</w:t>
            </w:r>
          </w:p>
        </w:tc>
        <w:tc>
          <w:tcPr>
            <w:tcW w:w="7340" w:type="dxa"/>
            <w:vAlign w:val="bottom"/>
            <w:shd w:val="clear" w:color="auto" w:fill="CCEEFF"/>
          </w:tcPr>
          <w:p>
            <w:pPr>
              <w:ind w:left="1960"/>
              <w:spacing w:after="0" w:line="184" w:lineRule="exact"/>
              <w:rPr>
                <w:sz w:val="20"/>
                <w:szCs w:val="20"/>
                <w:color w:val="auto"/>
              </w:rPr>
            </w:pPr>
            <w:r>
              <w:rPr>
                <w:rFonts w:ascii="Times New Roman" w:cs="Times New Roman" w:eastAsia="Times New Roman" w:hAnsi="Times New Roman"/>
                <w:sz w:val="18"/>
                <w:szCs w:val="18"/>
                <w:color w:val="auto"/>
              </w:rPr>
              <w:t>Lighting fixtures, electronic apparatus, solar panel brackets and rigid and</w:t>
            </w:r>
          </w:p>
        </w:tc>
      </w:tr>
      <w:tr>
        <w:trPr>
          <w:trHeight w:val="241"/>
        </w:trPr>
        <w:tc>
          <w:tcPr>
            <w:tcW w:w="3900" w:type="dxa"/>
            <w:vAlign w:val="bottom"/>
            <w:tcBorders>
              <w:bottom w:val="single" w:sz="8" w:color="auto"/>
            </w:tcBorders>
            <w:shd w:val="clear" w:color="auto" w:fill="CCEEFF"/>
          </w:tcPr>
          <w:p>
            <w:pPr>
              <w:spacing w:after="0"/>
              <w:rPr>
                <w:sz w:val="20"/>
                <w:szCs w:val="20"/>
                <w:color w:val="auto"/>
              </w:rPr>
            </w:pPr>
          </w:p>
        </w:tc>
        <w:tc>
          <w:tcPr>
            <w:tcW w:w="7340" w:type="dxa"/>
            <w:vAlign w:val="bottom"/>
            <w:tcBorders>
              <w:bottom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flexible conduits</w:t>
            </w:r>
          </w:p>
        </w:tc>
      </w:tr>
      <w:tr>
        <w:trPr>
          <w:trHeight w:val="864"/>
        </w:trPr>
        <w:tc>
          <w:tcPr>
            <w:tcW w:w="3900" w:type="dxa"/>
            <w:vAlign w:val="bottom"/>
          </w:tcPr>
          <w:p>
            <w:pPr>
              <w:spacing w:after="0"/>
              <w:rPr>
                <w:sz w:val="24"/>
                <w:szCs w:val="24"/>
                <w:color w:val="auto"/>
              </w:rPr>
            </w:pPr>
          </w:p>
        </w:tc>
        <w:tc>
          <w:tcPr>
            <w:tcW w:w="73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390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 w:name="page4"/>
    <w:bookmarkEnd w:id="3"/>
    <w:p>
      <w:pPr>
        <w:ind w:left="420"/>
        <w:spacing w:after="0"/>
        <w:rPr>
          <w:sz w:val="20"/>
          <w:szCs w:val="20"/>
          <w:color w:val="auto"/>
        </w:rPr>
      </w:pPr>
      <w:r>
        <w:rPr>
          <w:rFonts w:ascii="Times New Roman" w:cs="Times New Roman" w:eastAsia="Times New Roman" w:hAnsi="Times New Roman"/>
          <w:sz w:val="18"/>
          <w:szCs w:val="18"/>
          <w:color w:val="auto"/>
        </w:rPr>
        <w:t>Aluminum Extrusions’ net sales (sales less freight) by market segment for the years ended December 31, 2022, 2021 and 2020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tcPr>
          <w:p>
            <w:pPr>
              <w:spacing w:after="0"/>
              <w:rPr>
                <w:sz w:val="22"/>
                <w:szCs w:val="22"/>
                <w:color w:val="auto"/>
              </w:rPr>
            </w:pPr>
          </w:p>
        </w:tc>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of Aluminum Extrusions Net Sales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by Market Segment</w:t>
            </w:r>
          </w:p>
        </w:tc>
        <w:tc>
          <w:tcPr>
            <w:tcW w:w="1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8"/>
        </w:trPr>
        <w:tc>
          <w:tcPr>
            <w:tcW w:w="278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construction:</w:t>
            </w:r>
          </w:p>
        </w:tc>
        <w:tc>
          <w:tcPr>
            <w:tcW w:w="5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r>
      <w:tr>
        <w:trPr>
          <w:trHeight w:val="230"/>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5480" w:type="dxa"/>
            <w:vAlign w:val="bottom"/>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5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5480" w:type="dxa"/>
            <w:vAlign w:val="bottom"/>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30"/>
        </w:trPr>
        <w:tc>
          <w:tcPr>
            <w:tcW w:w="2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5480" w:type="dxa"/>
            <w:vAlign w:val="bottom"/>
            <w:tcBorders>
              <w:bottom w:val="single" w:sz="8" w:color="auto"/>
            </w:tcBorders>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5%</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81" w:lineRule="exact"/>
        <w:rPr>
          <w:sz w:val="20"/>
          <w:szCs w:val="20"/>
          <w:color w:val="auto"/>
        </w:rPr>
      </w:pPr>
    </w:p>
    <w:p>
      <w:pPr>
        <w:ind w:left="180" w:right="880" w:hanging="154"/>
        <w:spacing w:after="0" w:line="245" w:lineRule="auto"/>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net sales from continuing operations as its measure of revenues from external customers at the segment level. For more business segment information, see Note 13 “Business Segments” to the Consolidated Financial Statements in Item 15.</w:t>
      </w:r>
    </w:p>
    <w:p>
      <w:pPr>
        <w:spacing w:after="0" w:line="173"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In 2022, 2021 and 2020, Aluminum Extrusions net sales accounted for approximately 71%, 67% and 63% of Tredegar’s consolidated net sales, respectively.</w:t>
      </w:r>
    </w:p>
    <w:p>
      <w:pPr>
        <w:spacing w:after="0" w:line="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Open Orders</w:t>
      </w:r>
      <w:r>
        <w:rPr>
          <w:rFonts w:ascii="Times New Roman" w:cs="Times New Roman" w:eastAsia="Times New Roman" w:hAnsi="Times New Roman"/>
          <w:sz w:val="18"/>
          <w:szCs w:val="18"/>
          <w:color w:val="auto"/>
        </w:rPr>
        <w:t>. Overall open orders in Aluminum Extrusions was approximately $136.0 million, or 41 million pounds, at December 31,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$306.4 million, or 97 million pounds, at December 31, 2021, a decrease of $170.4 million, or approximately 56%. The reduction in open orders in 2022 compared to 2021 is primarily due to order cancellations as customers report high inventory levels. During the second half of 2022, the Company has observed order cancellations as customers report high inventory levels. Aluminum Extrusions expects the confluence of orders, cancellations and shipments to drive open orders to pre-COVID-19, normalized levels during the first half of 2023. The outlook for demand and shipments in 2023 remains uncertain given recessionary concerns. Sales volume for Aluminum Extrusions, which the Company believes is cyclical and seasonal in nature due to its end-use markets, was 174.7 million pounds in 2022, 183.4 million pounds in 2021 and 186.4 million pounds in 2020.</w:t>
      </w:r>
    </w:p>
    <w:p>
      <w:pPr>
        <w:spacing w:after="0" w:line="4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Aluminum Extrusions consist of aluminum ingot, aluminum scrap and various alloys,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from domestic and foreign producers in open-market purchases and under annual contracts. Refer to Item 7a. "Quantitative and Qualitative Disclosures About Market Risk” of this Form 10-K (“Item 7a”) for additional information on aluminum price trends. Aluminum Extrusions believes that it has adequate supply agreements for aluminum raw materials in 2023 despite continued supply chain cost increases related to paint, chemicals, packaging and other non-aluminum raw materials.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108"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PE Films produces surface protection films, polyethylene overwrap films and films for other markets. Tredegar’s Surface Protection unit produces single- and multi-layer surface protection films sold under the UltraMask®, ForceField™, ForceField PEARL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Pearl A™, Lithyn™ and Obsidian™ brand names. These films, which are manufactured at facilities in the U.S. and China, support manufacturers of optical and other specialty substrates used in high-technology applications, most notably protecting high-value components of flat panel and flexible displays used in televisions, monitors, notebooks, smartphones, tablets, e-readers, digital signage, semiconductors and automobiles during the manufacturing and transportation process. Tredegar’s Lithyn™ Series represents a new class of tapes for wafer thinning, singulation and transportation designed to enable customers’ to overcome processing challenges and reduce costs. The Obsidian™ series of products is designed for usage in automotive applications. In 2022, 2021 and 2020, PE Films accounted for approximately 11%, 15% and 19% of Tredegar’s consolidated net sales, respectively.</w:t>
      </w:r>
    </w:p>
    <w:p>
      <w:pPr>
        <w:spacing w:after="0" w:line="6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October 2020, the Surface Protection unit assumed responsibility for Pottsville Packaging, which was previously reported within the Personal Care component of PE Films. Pottsville Packaging produces thin-gauge films as overwrap for bathroom tissue and paper towels.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PE Films are polyethylene and polypropylene resins. These raw materials are obtained from domestic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foreign suppliers at competitive prices. Refer to Item 7a for additional information on resin price trends. PE Films believes that there will be an adequate supply of polyethylene and polypropylene resins in the foreseeable future.</w:t>
      </w:r>
    </w:p>
    <w:p>
      <w:pPr>
        <w:spacing w:after="0" w:line="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Tredegar’s spending for research and development (“R&amp;D”) activities in 2022, 2021 and 2020 was primarily related to 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Films. R&amp;D spending by the PE Films was approximately $5.3 million, $5.7 million and $7.7 million in 2022, 2021 and 2020, respectively.</w:t>
      </w:r>
    </w:p>
    <w:p>
      <w:pPr>
        <w:spacing w:after="0" w:line="3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w:t>
      </w:r>
      <w:r>
        <w:rPr>
          <w:rFonts w:ascii="Times New Roman" w:cs="Times New Roman" w:eastAsia="Times New Roman" w:hAnsi="Times New Roman"/>
          <w:sz w:val="18"/>
          <w:szCs w:val="18"/>
          <w:color w:val="auto"/>
        </w:rPr>
        <w:t>PE Films’ products are sold primarily in the U.S. and Asia, with the top four customers, collectively, comprising 88%, 88% and 84% of its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in 2022, 2021 and 2020, respectively. No single PE Films customer exceeds 10% of Tredegar’s consolidated net sales. For additional information, see Item 1A. “Risk Factors” of this Form 10-K (“Item 1A”).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Flexible Packaging Films</w:t>
      </w:r>
    </w:p>
    <w:p>
      <w:pPr>
        <w:spacing w:after="0" w:line="94" w:lineRule="exact"/>
        <w:rPr>
          <w:sz w:val="20"/>
          <w:szCs w:val="20"/>
          <w:color w:val="auto"/>
        </w:rPr>
      </w:pPr>
    </w:p>
    <w:p>
      <w:pPr>
        <w:ind w:right="140" w:firstLine="405"/>
        <w:spacing w:after="0" w:line="232" w:lineRule="auto"/>
        <w:rPr>
          <w:sz w:val="20"/>
          <w:szCs w:val="20"/>
          <w:color w:val="auto"/>
        </w:rPr>
      </w:pPr>
      <w:r>
        <w:rPr>
          <w:rFonts w:ascii="Times New Roman" w:cs="Times New Roman" w:eastAsia="Times New Roman" w:hAnsi="Times New Roman"/>
          <w:sz w:val="18"/>
          <w:szCs w:val="18"/>
          <w:color w:val="auto"/>
        </w:rPr>
        <w:t>Flexible Packaging Films is comprised of Terphane Holdings LLC (“Terphane”). Flexible Packaging Films produces PET-based films for use in packaging applications that have specialized properties, such as heat resistance, strength, barrier protection and the ability to accept high-quality print graphics. These differentiated, high-value films are primarily manufactured in Brazil and sold in Latin America and the U.S. under the Terphane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Sealphane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Ecophane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 Major end uses include food packaging and industrial applications. Flexible Packaging Films competes in all of its markets on the basis of product quality, service and price. In 2022, 2021 and 2020, Terphane accounted for approximately 19%, 18% and 18% of Tredegar’s consolidated net sales, respectively.</w:t>
      </w:r>
    </w:p>
    <w:p>
      <w:pPr>
        <w:spacing w:after="0" w:line="7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Flexible Packaging Films to produce polyester resins are purified terephthalic acid (“PTA”)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monoethylene glycol (“MEG”). Flexible Packaging Films also purchases other polyester resins directly from suppliers. These raw materials are obtained from Brazilian and foreign suppliers at competitive prices. Terphane continues to monitor cost escalations to adjust selling prices as market dynamics permit and believes that there will be an adequate supply of polyester resins, PTA and MEG in the foreseeable future. Refer to Item 7a for additional information on resin price trends.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Tredegar considers patents, licenses and trademarks to be material to PE Films. On December 31, 2022, PE Films held 43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6 U.S. patents), and 76 registered trademarks (including 4 U.S. registered trademarks). Flexible Packaging Films held 1 U.S. patent and 17 registered trademarks (including 4 U.S. registered trademarks). Aluminum Extrusions held no U.S. patents and 3 U.S. registered trademarks. As of December 31, 2022, these patents had remaining terms of 1.5 to 17 years.</w:t>
      </w:r>
    </w:p>
    <w:p>
      <w:pPr>
        <w:spacing w:after="0" w:line="55"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operations are subject to various local, state, federal and foreign government regulations,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privacy and anti-corruption and anti-bribery laws and regulations.</w:t>
      </w:r>
    </w:p>
    <w:p>
      <w:pPr>
        <w:spacing w:after="0" w:line="3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U.S. laws concerning the environment to which the Company’s domestic operations are or may be subject to include the Clean Water Act, the Clean Air Act, the Resource Conservation and Recovery Act, the Occupational Safety and Health Act, the National Environmental Policy Act, the Toxic Substances Control Act, the Comprehensive Environmental Response, Compensation and Liability Act (“CERCLA”), regulations promulgated under these acts, and other federal, state or local laws or regulations governing environmental matters. Compliance with these laws is an important consideration because Tredegar uses hazardous materials in some of its operations, is a generator of hazardous waste, and wastewater from the Company’s operations is discharged to various types of wastewater management systems. Under CERCLA and other laws, Tredegar may be subject to financial exposure for costs associated with waste management and disposal, even if the Company fully complies with applicable environmental laws.</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U.S. Environmental Protection Agency has adopted regulations under the Clean Air Act relating to emissions of carbon dioxide and other greenhouse gases (“GHG”), including mandatory reporting and permitting requirements. Several of the Company’s manufacturing operations result in emissions of carbon dioxide or GHG and are subject to the current GHG regulations. The Company’s compliance with environmental regulations has yet to require significant capital expenditures; however, environmental standards tend to become more stringent over time. Therefore, in order to comply with current or future environmental legislation or regulations, the Company may be subject to additional capital expenditures, operating expenses or other compliance costs, the amounts and timing of which are not presently determinable but which could be significant, including constructing new facilities or modifying existing facilities.</w:t>
      </w:r>
    </w:p>
    <w:p>
      <w:pPr>
        <w:spacing w:after="0" w:line="6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Like environmental regulations, current or future privacy and anti-corruption and anti-bribery legislation or regulations may subject the Company to additional capital expenditures, operating expenses or other compliance costs, the amounts and timing of which are not presently determinable but could be significant. Any failure to comply with current or future laws and regulations, including environmental, privacy and anti-corruption and anti-bribery laws and regulations, could subject Tredegar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to substantial penalties, fines, costs and expenses. For further discussion regarding certain environmental, privacy and anti-corruption and anti-bribery laws and regulations to which the Company is subject, see Item 1A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Tredegar employed approximately 2,300 people at December 31, 2022 located in the U.S., Brazil, and Asia, of which 80% are located in the U.S. Approximately 18% of the Company’s employees are represented by labor unions located in the U.S. under various collective bargaining agreements with varying durations and expiration dates, none of which expire before 2025. All of Tredegar’s Brazilian employees are represented by a national labor union. Generally, the total number of employees of Tredegar does not significantly fluctuate throughout the year. However, acquisition or divestiture activity, or changes in the level of business activity may impact employee levels.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9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Tredegar has continuously exceeded the industry standards for safety. The Company uses various forms of employee safety metrics to assess the health and safety performance of its Aluminum Extrusions, PE Films and Flexible Packaging operations, including employee safety data which is available on the Company’s website at </w:t>
      </w:r>
      <w:r>
        <w:rPr>
          <w:rFonts w:ascii="Times New Roman" w:cs="Times New Roman" w:eastAsia="Times New Roman" w:hAnsi="Times New Roman"/>
          <w:sz w:val="18"/>
          <w:szCs w:val="18"/>
          <w:u w:val="single" w:color="auto"/>
          <w:color w:val="auto"/>
        </w:rPr>
        <w:t>https://tredegar.com/about-tredegar/our-broader-commitments/committed-to-our-employees/</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Additionally, Aluminum Extrusions has on-site health clinics at its Carthage and Clearfield facilities. These clinics allow Aluminum Extrusions to invest in its people, provide more personal and more thorough healthcare to employees, and enhance the employer-employee relationship. The Carthage and Clearfield clinics serve over 500 and 300 employees,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Development</w:t>
      </w:r>
    </w:p>
    <w:p>
      <w:pPr>
        <w:spacing w:after="0" w:line="9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Company believes its employees are its most valuable asset and are critical to the success of the Company. The Company seeks to retain employees by offering competitive wages, benefits and training opportunities. To assess and monitor employee retention and engagement, the Company surveys employees and takes actions to address areas of employee concern. The annual employee engagement survey results are presented to Tredegar’s Board of Directors (“Board”). Additionally, the objectives of our executive compensation programs are to attract, motivate and retain highly qualified executive officers. To accomplish these objectives, the Company relies on a pay strategy that emphasizes performance-based compensation through annual and long-term incentives. The Company believes that this pay strategy creates a strong link between pay and performance and aligns with our business strategy of generating strong operating results and shareholder value creation while controlling fixed costs.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is committed to holistically supporting our employees both at work and in their communities by:</w:t>
      </w:r>
    </w:p>
    <w:p>
      <w:pPr>
        <w:spacing w:after="0" w:line="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following all applicable health, safety and non-discrimination laws in each country;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highest standards for employee health and safety through innovative programs; and</w:t>
      </w:r>
    </w:p>
    <w:p>
      <w:pPr>
        <w:spacing w:after="0" w:line="90" w:lineRule="exact"/>
        <w:rPr>
          <w:rFonts w:ascii="Times New Roman" w:cs="Times New Roman" w:eastAsia="Times New Roman" w:hAnsi="Times New Roman"/>
          <w:sz w:val="18"/>
          <w:szCs w:val="18"/>
          <w:color w:val="auto"/>
        </w:rPr>
      </w:pPr>
    </w:p>
    <w:p>
      <w:pPr>
        <w:ind w:right="1820" w:firstLine="332"/>
        <w:spacing w:after="0" w:line="360" w:lineRule="auto"/>
        <w:tabs>
          <w:tab w:leader="none" w:pos="6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opportunities for community outreach and supporting programs that enhance the lives of children and families. </w:t>
      </w:r>
      <w:r>
        <w:rPr>
          <w:rFonts w:ascii="Times New Roman" w:cs="Times New Roman" w:eastAsia="Times New Roman" w:hAnsi="Times New Roman"/>
          <w:sz w:val="18"/>
          <w:szCs w:val="18"/>
          <w:i w:val="1"/>
          <w:iCs w:val="1"/>
          <w:color w:val="auto"/>
        </w:rPr>
        <w:t>Inclusion and Diversity</w:t>
      </w: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Tredegar strictly complies with all applicable state, local and international laws governing nondiscrimination in employment in every location where Tredegar and its businesses have facilities to ensure healthy and positive working conditions. This applies to all terms and conditions of employment, including recruiting, hiring, job assignments, promotion, termination, layoff, recall, transfer, leaves of absence, compensation and training. All applicants and employees are treated with the same high level of respect regardless of their race, creed, color, religion, sex, sexual orientation, gender identity, age, pregnancy, national origin, ethnicity, political affiliation, union membership, marital status, citizenship status, veteran status, disability or other protected category. Employees who experience or witness discriminatory behavior are encouraged to report such behavior to their supervisor, Human Resources or Tredegar’s toll-free anonymous reporting hotline. Additionally, the Company spends significant resources in developing its employees. Among the five core principles of the “The Tredegar Way” that the Company uses to guide its organization, the “Leadership” principle is focused on building a team of motivated and engaged leaders at every level of the Company. Each business unit has identified specific action plans to promote the Leadership principle among its employees. Action plans include talent development, skills training, reinforcement of strong cultural values, and robust systems to ensure a safe working environment.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About Our Executive Officers. </w:t>
      </w:r>
      <w:r>
        <w:rPr>
          <w:rFonts w:ascii="Times New Roman" w:cs="Times New Roman" w:eastAsia="Times New Roman" w:hAnsi="Times New Roman"/>
          <w:sz w:val="18"/>
          <w:szCs w:val="18"/>
          <w:color w:val="auto"/>
        </w:rPr>
        <w:t>See Item 10. “Directors, Executive Officers and Corporate Governance” of this Form 10-K.</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Available Information and Corporate Governance Documents. </w:t>
      </w:r>
      <w:r>
        <w:rPr>
          <w:rFonts w:ascii="Times New Roman" w:cs="Times New Roman" w:eastAsia="Times New Roman" w:hAnsi="Times New Roman"/>
          <w:sz w:val="18"/>
          <w:szCs w:val="18"/>
          <w:color w:val="auto"/>
        </w:rPr>
        <w:t>Tredegar’s website address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 The Company makes available,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such documents are electronically filed</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 w:name="page7"/>
    <w:bookmarkEnd w:id="6"/>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with, or furnished to, the Securities and Exchange Commission (“SEC”). Information filed electronically with the SEC can be accessed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Company’s Corporate Governance Guidelines, Code of Conduct, the charters of the Audit, Executive Compensation, Nominating and Governance Committees and Climate Change Risk Assessment and many other corporate policies are available on Tredegar’s website and are available in print to any shareholder upon request by contacting Tredegar’s Corporate Secretary at 1100 Boulders Parkway, Richmond, Virginia 23225. The information on or that can be accessed through the Company’s website is not, and shall not be deemed to be, a part of this Form 10-K or incorporated into other filings it makes with the SEC.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and Cautionary Statements</w:t>
      </w:r>
    </w:p>
    <w:p>
      <w:pPr>
        <w:spacing w:after="0" w:line="10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Some of the information contained in this Form 10-K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For risks and important factors that could cause actual results to differ from expectations, refer to the reports that Tredegar files with or furnishes the SEC from time-to-time, including the risks and important factors set forth in Item 1A. Readers are urged to review and consider carefully the disclosures Tredegar makes in the reports Tredegar files with or furnishes to the SEC. 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have a material adverse effect on the Company’s consolidated financial condition, results of operations or cash flows. The following risk factors should be considered, in addition to the other information included in this Form 10-K, when evaluating Tredegar and its businesses.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all Tredegar Businesses</w:t>
      </w:r>
    </w:p>
    <w:p>
      <w:pPr>
        <w:spacing w:after="0" w:line="104" w:lineRule="exact"/>
        <w:rPr>
          <w:sz w:val="20"/>
          <w:szCs w:val="20"/>
          <w:color w:val="auto"/>
        </w:rPr>
      </w:pPr>
    </w:p>
    <w:p>
      <w:pPr>
        <w:ind w:left="420" w:hanging="412"/>
        <w:spacing w:after="0" w:line="253" w:lineRule="auto"/>
        <w:tabs>
          <w:tab w:leader="none" w:pos="41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Tredegar’s performance is influenced by costs incurred by its operating companies, including, for example, the cost of raw materials and energy. </w:t>
      </w:r>
      <w:r>
        <w:rPr>
          <w:rFonts w:ascii="Times New Roman" w:cs="Times New Roman" w:eastAsia="Times New Roman" w:hAnsi="Times New Roman"/>
          <w:sz w:val="18"/>
          <w:szCs w:val="18"/>
          <w:color w:val="auto"/>
        </w:rPr>
        <w:t>These costs include the cost of aluminum (the raw material on which Aluminum Extrusions primarily depends), resin (the raw material on which PE Films primarily depends), PTA and MEG (the raw materials on which Flexible Packaging Films primarily depends), natural gas (the principal fuel necessary for Aluminum Extrusions’ plants to operate), electricity, diesel fuel and paint. Aluminum, resin and natural gas prices are volatile as shown in the charts in Item 7a. The Company continues to face inflationary pressures, including notable increases in costs for raw materials, labor and freight. Additionally, geopolitical tensions, including deteriorating relations between the United States and Russia resulting from the invasion of Russia into Ukraine, could result in the implementation of additional economic sanctions, tariffs, import-export restrictions and retaliatory actions that all have the potential to adversely impact the cost of raw materials and energy. The Company attempts to mitigate the effects of increased costs through price increases and contractual pass-through provisions, but there are no assurances that higher prices can effectively be passed through to customers or that Tredegar will be able to offset fully or on a timely basis the effects of higher raw material and energy costs through price increases or pass-through arrangements. Further, the Company’s cost control efforts may not be sufficient to offset any increases in raw material, energy or other costs.</w:t>
      </w:r>
    </w:p>
    <w:p>
      <w:pPr>
        <w:spacing w:after="0" w:line="68" w:lineRule="exact"/>
        <w:rPr>
          <w:rFonts w:ascii="Times New Roman" w:cs="Times New Roman" w:eastAsia="Times New Roman" w:hAnsi="Times New Roman"/>
          <w:sz w:val="18"/>
          <w:szCs w:val="18"/>
          <w:b w:val="1"/>
          <w:bCs w:val="1"/>
          <w:i w:val="1"/>
          <w:iCs w:val="1"/>
          <w:color w:val="auto"/>
        </w:rPr>
      </w:pPr>
    </w:p>
    <w:p>
      <w:pPr>
        <w:ind w:left="420" w:hanging="412"/>
        <w:spacing w:after="0" w:line="257"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Material disruptions at one of the Company’s major manufacturing facilities could negatively impact financial results. </w:t>
      </w:r>
      <w:r>
        <w:rPr>
          <w:rFonts w:ascii="Times New Roman" w:cs="Times New Roman" w:eastAsia="Times New Roman" w:hAnsi="Times New Roman"/>
          <w:sz w:val="18"/>
          <w:szCs w:val="18"/>
          <w:color w:val="auto"/>
        </w:rPr>
        <w:t>Tredegar believes it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measures to minimize the risks of disruption at its facilities. However, a disruption could occur as a result of any number of events: an equipment failure with repairs requiring long lead times, labor stoppages or shortages, cybersecurity attacks, utility disruptions, constraints on the supply or delivery of critical raw materials, and severe weather conditions, including potential flooding at the Aluminum Extrusions facility located in Carthage, TN, which is located in a 50-year flood plain. A material disruption in one of the Company’s operating locations could negatively impact production and the Company’s consolidated financial condition, results of operations and cash flows.</w:t>
      </w:r>
    </w:p>
    <w:p>
      <w:pPr>
        <w:spacing w:after="0" w:line="47" w:lineRule="exact"/>
        <w:rPr>
          <w:rFonts w:ascii="Times New Roman" w:cs="Times New Roman" w:eastAsia="Times New Roman" w:hAnsi="Times New Roman"/>
          <w:sz w:val="18"/>
          <w:szCs w:val="18"/>
          <w:color w:val="auto"/>
        </w:rPr>
      </w:pPr>
    </w:p>
    <w:p>
      <w:pPr>
        <w:ind w:left="420" w:right="80" w:hanging="412"/>
        <w:spacing w:after="0" w:line="278" w:lineRule="auto"/>
        <w:tabs>
          <w:tab w:leader="none" w:pos="415" w:val="left"/>
        </w:tabs>
        <w:numPr>
          <w:ilvl w:val="0"/>
          <w:numId w:val="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 failure in the Company’s information technology systems as a result of cybersecurity attacks or other causes could negatively affect Tredegar’s business. </w:t>
      </w:r>
      <w:r>
        <w:rPr>
          <w:rFonts w:ascii="Times New Roman" w:cs="Times New Roman" w:eastAsia="Times New Roman" w:hAnsi="Times New Roman"/>
          <w:sz w:val="17"/>
          <w:szCs w:val="17"/>
          <w:color w:val="auto"/>
        </w:rPr>
        <w:t>The Company depends on information technology (“IT”) to record and process customer orders, manufacture and ship products in a timely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manner, secure its production processes and know-how, maintain the financial accuracy of its business records and maintain personally identifiable information of its employees. An IT system failure due to computer viruses, internal or external security breaches, cybersecurity attacks or other malicious causes could disrupt our operations and prevent us from being able to process transactions with our customers,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 w:name="page8"/>
    <w:bookmarkEnd w:id="7"/>
    <w:p>
      <w:pPr>
        <w:ind w:left="412" w:right="40"/>
        <w:spacing w:after="0" w:line="254" w:lineRule="auto"/>
        <w:rPr>
          <w:sz w:val="20"/>
          <w:szCs w:val="20"/>
          <w:color w:val="auto"/>
        </w:rPr>
      </w:pPr>
      <w:r>
        <w:rPr>
          <w:rFonts w:ascii="Times New Roman" w:cs="Times New Roman" w:eastAsia="Times New Roman" w:hAnsi="Times New Roman"/>
          <w:sz w:val="18"/>
          <w:szCs w:val="18"/>
          <w:color w:val="auto"/>
        </w:rPr>
        <w:t>operate our manufacturing facilities and properly report transactions in a timely manner. Increased global IT security threats and cyber-crime pose a potential risk to the security and availability of the Company’s IT systems, networks and services, including those that are managed, hosted, provided or used by third parties, as well as to the confidentiality, availability and integrity of the Company’s data. Additionally, increased cybersecurity risk arises due to certain employees working remotely. To date, interruptions of the Company’s IT systems have been infrequent and have not had a material impact on the Company’s operations. A significant prolonged failure of or security breach of the IT systems, networks or service providers the Company relies upon, or a loss or disclosure of business or other sensitive information, or personally identifiable information, as a result of a cybersecurity incident or other cause, could result in substantial costs to the Company, damage to the Company’s reputation, regulatory enforcement actions and lawsuits and could adversely affect the Company’s results of operations, financial condition or cash flows.</w:t>
      </w:r>
    </w:p>
    <w:p>
      <w:pPr>
        <w:spacing w:after="0" w:line="53" w:lineRule="exact"/>
        <w:rPr>
          <w:sz w:val="20"/>
          <w:szCs w:val="20"/>
          <w:color w:val="auto"/>
        </w:rPr>
      </w:pPr>
    </w:p>
    <w:p>
      <w:pPr>
        <w:ind w:left="412" w:right="80" w:hanging="412"/>
        <w:spacing w:after="0" w:line="257" w:lineRule="auto"/>
        <w:tabs>
          <w:tab w:leader="none" w:pos="4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failure to continue to attract, develop and retain certain key officers or employees could adversely affect our businesses. </w:t>
      </w:r>
      <w:r>
        <w:rPr>
          <w:rFonts w:ascii="Times New Roman" w:cs="Times New Roman" w:eastAsia="Times New Roman" w:hAnsi="Times New Roman"/>
          <w:sz w:val="18"/>
          <w:szCs w:val="18"/>
          <w:color w:val="auto"/>
        </w:rPr>
        <w:t>Our success depends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efforts and abilities of key personnel, many of whom are longstanding employees. The loss of any of these key personnel could deplete our institutional knowledge base and negatively affect our ability to efficiently operate our businesses. Certain roles have experienced high turnover in recent years, and we are experiencing an increasingly competitive labor market. Job market dynamics have been impacted by macroeconomic conditions, the effects of the COVID-19 pandemic and the “great resignation.” Increased employee turnover could hinder our ability to execute our business strategy and adversely affect our business, financial condition, results of operations and cash flows.</w:t>
      </w:r>
    </w:p>
    <w:p>
      <w:pPr>
        <w:spacing w:after="0" w:line="60" w:lineRule="exact"/>
        <w:rPr>
          <w:rFonts w:ascii="Times New Roman" w:cs="Times New Roman" w:eastAsia="Times New Roman" w:hAnsi="Times New Roman"/>
          <w:sz w:val="18"/>
          <w:szCs w:val="18"/>
          <w:color w:val="auto"/>
        </w:rPr>
      </w:pPr>
    </w:p>
    <w:p>
      <w:pPr>
        <w:ind w:left="412" w:hanging="412"/>
        <w:spacing w:after="0" w:line="259" w:lineRule="auto"/>
        <w:tabs>
          <w:tab w:leader="none" w:pos="4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 over financial reporting. The Company’s failure to establish and maintain effective internal control over financial reporting and to maintain effective disclosure controls and procedures increases the risk of a material misstatement in its consolidated financial statements, and its failure to meet its reporting and financial obligations, could, in turn, have a negative impact on its financial condition. Since 2019, a total of $7.6 million has been incrementally spent on remediation efforts for management’s outside consultant and design, hiring (including hiring replacements due to high turnover) and training activities.</w:t>
      </w:r>
    </w:p>
    <w:p>
      <w:pPr>
        <w:spacing w:after="0" w:line="61" w:lineRule="exact"/>
        <w:rPr>
          <w:rFonts w:ascii="Times New Roman" w:cs="Times New Roman" w:eastAsia="Times New Roman" w:hAnsi="Times New Roman"/>
          <w:sz w:val="18"/>
          <w:szCs w:val="18"/>
          <w:color w:val="auto"/>
        </w:rPr>
      </w:pPr>
    </w:p>
    <w:p>
      <w:pPr>
        <w:ind w:left="412"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internal control over financial reporting is an integral part of producing reliable financial statements. As discussed in Item 9A. “Controls and Procedures” of this Form 10-K (“Item 9A”), the Company’s management concluded that the Company’s internal control over financial reporting was not effective for the periods referred to therein as a result of certain deficiencies that were determined to constitute material weaknesses in the Company’s internal control over financial reporting. Specifically, the Company did not sufficiently attract, develop, and retain competent resources to fulfill internal control responsibilities and did not have an effective information and communication process that identified and assessed the source of and controls necessary to ensure the reliability of information used in financial reporting. As a consequence of these material weaknesses, the Company did not effectively design, implement and operate process-level controls across its financial reporting processes.</w:t>
      </w:r>
    </w:p>
    <w:p>
      <w:pPr>
        <w:spacing w:after="0" w:line="53" w:lineRule="exact"/>
        <w:rPr>
          <w:rFonts w:ascii="Times New Roman" w:cs="Times New Roman" w:eastAsia="Times New Roman" w:hAnsi="Times New Roman"/>
          <w:sz w:val="18"/>
          <w:szCs w:val="18"/>
          <w:color w:val="auto"/>
        </w:rPr>
      </w:pPr>
    </w:p>
    <w:p>
      <w:pPr>
        <w:jc w:val="both"/>
        <w:ind w:left="412"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standards established by the Public Company Accounting Oversight Board,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54" w:lineRule="exact"/>
        <w:rPr>
          <w:rFonts w:ascii="Times New Roman" w:cs="Times New Roman" w:eastAsia="Times New Roman" w:hAnsi="Times New Roman"/>
          <w:sz w:val="18"/>
          <w:szCs w:val="18"/>
          <w:color w:val="auto"/>
        </w:rPr>
      </w:pPr>
    </w:p>
    <w:p>
      <w:pPr>
        <w:ind w:left="412"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 continues to revise and execute management’s remediation plan, including the implementation of the new and revised internal controls over financial reporting. The results of management’s testing of the design, implementation and operating effectiveness of controls identified that the Company continued to have material weaknesses in its internal control over financial reporting as of December 31, 2022; however, the material weaknesses existing as of December 31, 2022 were limited to certain discrete items within the previously identified material weaknesses as described further in Item 9A.</w:t>
      </w:r>
    </w:p>
    <w:p>
      <w:pPr>
        <w:spacing w:after="0" w:line="61" w:lineRule="exact"/>
        <w:rPr>
          <w:rFonts w:ascii="Times New Roman" w:cs="Times New Roman" w:eastAsia="Times New Roman" w:hAnsi="Times New Roman"/>
          <w:sz w:val="18"/>
          <w:szCs w:val="18"/>
          <w:color w:val="auto"/>
        </w:rPr>
      </w:pPr>
    </w:p>
    <w:p>
      <w:pPr>
        <w:ind w:left="412"/>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While progress has been made since 2019, including the remediation of a significant number of process-level control deficiencies throughout our financial reporting processes, the Company experienced significant turnover in positions relevant to its internal control over financial reporting during 2021 and 2022 that impacted the effectiveness of prior training programs and management’s ability to implement control activities that operated for a sufficient period of time to allow management, through testing, to conclude that the control activities were operating effectively during 2022.</w:t>
      </w:r>
    </w:p>
    <w:p>
      <w:pPr>
        <w:spacing w:after="0" w:line="29" w:lineRule="exact"/>
        <w:rPr>
          <w:rFonts w:ascii="Times New Roman" w:cs="Times New Roman" w:eastAsia="Times New Roman" w:hAnsi="Times New Roman"/>
          <w:sz w:val="18"/>
          <w:szCs w:val="18"/>
          <w:color w:val="auto"/>
        </w:rPr>
      </w:pPr>
    </w:p>
    <w:p>
      <w:pPr>
        <w:ind w:left="412"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remediate the material weaknesses described in Item 9A, the Company, with the oversight of the Audit Committee and the assistance of management’s outside consultant, has continued to revise its remediation strategy. The Company is in the process of implementing certain changes in its internal controls to remediate the material weaknesses described above. As the Company continues to evaluate and work to improve its internal control over financial reporting and disclosure controls and procedures, management may determine to take additional measures to address control deficiencies or modify the remediation plan. The Company cannot provide assurance, however, as to when it will remediate all such weaknesses, nor can it be certain of whether additional actions will be required or the costs of any such actions. Moreover, the Company cannot provide assurance that additional material weaknesses will not arise in the future. The material</w:t>
      </w:r>
    </w:p>
    <w:p>
      <w:pPr>
        <w:spacing w:after="0" w:line="200" w:lineRule="exact"/>
        <w:rPr>
          <w:sz w:val="20"/>
          <w:szCs w:val="20"/>
          <w:color w:val="auto"/>
        </w:rPr>
      </w:pPr>
    </w:p>
    <w:p>
      <w:pPr>
        <w:spacing w:after="0" w:line="3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8" w:name="page9"/>
    <w:bookmarkEnd w:id="8"/>
    <w:p>
      <w:pPr>
        <w:ind w:left="412" w:right="740"/>
        <w:spacing w:after="0" w:line="282" w:lineRule="auto"/>
        <w:rPr>
          <w:sz w:val="20"/>
          <w:szCs w:val="20"/>
          <w:color w:val="auto"/>
        </w:rPr>
      </w:pPr>
      <w:r>
        <w:rPr>
          <w:rFonts w:ascii="Times New Roman" w:cs="Times New Roman" w:eastAsia="Times New Roman" w:hAnsi="Times New Roman"/>
          <w:sz w:val="18"/>
          <w:szCs w:val="18"/>
          <w:color w:val="auto"/>
        </w:rPr>
        <w:t>weaknesses cannot be considered remediated until the applicable controls have operated for a sufficient period of time and management has concluded, through testing, that these controls are operating effectively.</w:t>
      </w:r>
    </w:p>
    <w:p>
      <w:pPr>
        <w:spacing w:after="0" w:line="27" w:lineRule="exact"/>
        <w:rPr>
          <w:sz w:val="20"/>
          <w:szCs w:val="20"/>
          <w:color w:val="auto"/>
        </w:rPr>
      </w:pPr>
    </w:p>
    <w:p>
      <w:pPr>
        <w:ind w:left="412" w:right="120"/>
        <w:spacing w:after="0" w:line="258" w:lineRule="auto"/>
        <w:rPr>
          <w:sz w:val="20"/>
          <w:szCs w:val="20"/>
          <w:color w:val="auto"/>
        </w:rPr>
      </w:pPr>
      <w:r>
        <w:rPr>
          <w:rFonts w:ascii="Times New Roman" w:cs="Times New Roman" w:eastAsia="Times New Roman" w:hAnsi="Times New Roman"/>
          <w:sz w:val="18"/>
          <w:szCs w:val="18"/>
          <w:color w:val="auto"/>
        </w:rPr>
        <w:t>The material weaknesses discussed in Item 9A did not result in material misstatements of the Company’s financial statements as of and for the years ended December 31, 2022, 2021 and 2020 or in the intervening interim periods during those respective years. Any failure to remediate the material weaknesses, or the development of new material weaknesses in its internal control over financial reporting, could result in material misstatements in the Company’s consolidated financial statements and cause it to fail to meet its reporting and financial obligations, which in turn could have a negative impact on its financial condition.</w:t>
      </w:r>
    </w:p>
    <w:p>
      <w:pPr>
        <w:spacing w:after="0" w:line="58" w:lineRule="exact"/>
        <w:rPr>
          <w:sz w:val="20"/>
          <w:szCs w:val="20"/>
          <w:color w:val="auto"/>
        </w:rPr>
      </w:pPr>
    </w:p>
    <w:p>
      <w:pPr>
        <w:ind w:left="412" w:hanging="412"/>
        <w:spacing w:after="0" w:line="253"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Tredegar has an underfunded defined benefit (pension) plan. </w:t>
      </w:r>
      <w:r>
        <w:rPr>
          <w:rFonts w:ascii="Times New Roman" w:cs="Times New Roman" w:eastAsia="Times New Roman" w:hAnsi="Times New Roman"/>
          <w:sz w:val="18"/>
          <w:szCs w:val="18"/>
          <w:color w:val="auto"/>
        </w:rPr>
        <w:t>Tredegar sponsors a pension plan that covers certain hourly and salaried employees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The plan was closed to new participants in 2007, and substantially frozen to benefit accruals for active participants in 2014.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In connection therewith, on February 9, 2022, the Company borrowed funds under its revolving credit agreement to contribute $50 million to the pension plan (the “Special Contribution”) to reduce its underfunding and as part of a program within the pension plan to hedge or fix the expected future contributions that will be needed by the Company through the settlement process. The settlement process has been delayed because of longer-than-expected review times with the Internal Revenue Service (“IRS”). The Company does not expect issues with receiving approval from the IRS and is hopeful that the entire process will be completed by the end of 2023. As of December 31, 2022, the plan was underfunded under U.S. generally accepted accounting principles (“GAAP”) measures by $28 million. The Company expects there will be no required minimum contributions to the pension plan until final settlement. The ultimate settlement benefit obligation may differ from the projected benefit obligation (“PBO”) of $246 million as of December 31, 2022, depending on market factors for buyers of pension obligations at the time of settlement. Additionally, factors that could cause actual future contributions by the Company to settle the pension plan to differ from expectations include, without limitation, differences between the ultimate settlement benefit obligation and the PBO, census data, administrative costs, the effectiveness of hedging activities and discounts required to liquidate non-public securities held by the plan.</w:t>
      </w:r>
    </w:p>
    <w:p>
      <w:pPr>
        <w:spacing w:after="0" w:line="61" w:lineRule="exact"/>
        <w:rPr>
          <w:rFonts w:ascii="Times New Roman" w:cs="Times New Roman" w:eastAsia="Times New Roman" w:hAnsi="Times New Roman"/>
          <w:sz w:val="18"/>
          <w:szCs w:val="18"/>
          <w:color w:val="auto"/>
        </w:rPr>
      </w:pPr>
    </w:p>
    <w:p>
      <w:pPr>
        <w:ind w:left="412" w:right="20" w:hanging="412"/>
        <w:spacing w:after="0" w:line="254"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Tredegar is subject to current and future governmental regulation, including environmental laws and regulations, and could become exposed to material liabilities and costs associated with such regulation. </w:t>
      </w:r>
      <w:r>
        <w:rPr>
          <w:rFonts w:ascii="Times New Roman" w:cs="Times New Roman" w:eastAsia="Times New Roman" w:hAnsi="Times New Roman"/>
          <w:sz w:val="18"/>
          <w:szCs w:val="18"/>
          <w:color w:val="auto"/>
        </w:rPr>
        <w:t>The Company is subject to regulation by local, state, federal and foreign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New laws and regulations, or changes to existing laws, including those relating to environmental matters (including global climate change and plastic products), and privacy matters, could subject Tredegar to significant additional capital expenditures, operating expenses or other compliance costs. Moreover, future developments in federal, state, local and international laws and regulations, including environmental laws, are difficult to predict. Environmental laws and privacy restrictions have become and are expected to continue to become increasingly strict. As a result, Tredegar expects to be subject to new environmental and privacy laws and regulations. However, any such changes are uncertain and, therefore, it is not possible for the Company to predict with certainty the amount of additional capital expenditures or operating expenses that could be necessary for compliance with respect to any such changes.</w:t>
      </w:r>
    </w:p>
    <w:p>
      <w:pPr>
        <w:spacing w:after="0" w:line="57" w:lineRule="exact"/>
        <w:rPr>
          <w:rFonts w:ascii="Times New Roman" w:cs="Times New Roman" w:eastAsia="Times New Roman" w:hAnsi="Times New Roman"/>
          <w:sz w:val="18"/>
          <w:szCs w:val="18"/>
          <w:color w:val="auto"/>
        </w:rPr>
      </w:pPr>
    </w:p>
    <w:p>
      <w:pPr>
        <w:ind w:left="412"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subject to the U.S. Foreign Corrupt Practices Act, Brazilian anti-corruption laws and similar anti-bribery laws in other jurisdictions, which generally prohibit companies and their intermediaries from making improper payments to foreign officials for the purpose of obtaining or retaining business. Although we have policies and procedures designed to facilitate compliance with these laws and regulations, our employees, contractors and agents may take actions in violation of our policies. Any such violation, even if prohibited by our policies, could adversely affect our business and/or our reputation. See </w:t>
      </w:r>
      <w:r>
        <w:rPr>
          <w:rFonts w:ascii="Times New Roman" w:cs="Times New Roman" w:eastAsia="Times New Roman" w:hAnsi="Times New Roman"/>
          <w:sz w:val="18"/>
          <w:szCs w:val="18"/>
          <w:b w:val="1"/>
          <w:bCs w:val="1"/>
          <w:i w:val="1"/>
          <w:iCs w:val="1"/>
          <w:color w:val="auto"/>
        </w:rPr>
        <w:t>Government Regulation</w:t>
      </w:r>
      <w:r>
        <w:rPr>
          <w:rFonts w:ascii="Times New Roman" w:cs="Times New Roman" w:eastAsia="Times New Roman" w:hAnsi="Times New Roman"/>
          <w:sz w:val="18"/>
          <w:szCs w:val="18"/>
          <w:color w:val="auto"/>
        </w:rPr>
        <w:t xml:space="preserve"> in Item 1. “Business” of this Form 10-K for a further discussion of this risk factor.</w:t>
      </w:r>
    </w:p>
    <w:p>
      <w:pPr>
        <w:spacing w:after="0" w:line="57" w:lineRule="exact"/>
        <w:rPr>
          <w:rFonts w:ascii="Times New Roman" w:cs="Times New Roman" w:eastAsia="Times New Roman" w:hAnsi="Times New Roman"/>
          <w:sz w:val="18"/>
          <w:szCs w:val="18"/>
          <w:color w:val="auto"/>
        </w:rPr>
      </w:pPr>
    </w:p>
    <w:p>
      <w:pPr>
        <w:ind w:left="412" w:right="120" w:hanging="412"/>
        <w:spacing w:after="0" w:line="256"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Noncompliance with any of the covenants in the Company’s $375 million revolving credit facility, as amended and restated on June 29, 2022, which matures in June 2027, could result in all debt under the agreement outstanding at such time becoming due and limiting the Company’s borrowing capacity, which could have a material adverse effect on its consolidated financial condition and liquidity. </w:t>
      </w:r>
      <w:r>
        <w:rPr>
          <w:rFonts w:ascii="Times New Roman" w:cs="Times New Roman" w:eastAsia="Times New Roman" w:hAnsi="Times New Roman"/>
          <w:sz w:val="18"/>
          <w:szCs w:val="18"/>
          <w:color w:val="auto"/>
        </w:rPr>
        <w:t>The credit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Tredegar’s revolving credit facility contains restrictions and financial covenants that, if violated, could restrict the Company’s operational and financial flexibility. Failure to comply with these covenants could result in an event of default, which if not cured or waived, would result in all outstanding debt under the revolving credit facility at such time becoming due, which could have a material adverse effect on the Company’s consolidated financial condition and liquidity.</w:t>
      </w:r>
    </w:p>
    <w:p>
      <w:pPr>
        <w:spacing w:after="0" w:line="200" w:lineRule="exact"/>
        <w:rPr>
          <w:sz w:val="20"/>
          <w:szCs w:val="20"/>
          <w:color w:val="auto"/>
        </w:rPr>
      </w:pPr>
    </w:p>
    <w:p>
      <w:pPr>
        <w:spacing w:after="0" w:line="32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9" w:name="page10"/>
    <w:bookmarkEnd w:id="9"/>
    <w:p>
      <w:pPr>
        <w:ind w:left="420" w:right="20" w:hanging="412"/>
        <w:spacing w:after="0" w:line="253" w:lineRule="auto"/>
        <w:tabs>
          <w:tab w:leader="none" w:pos="41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Our results of operations, financial condition and cash flows have been, and may continue to be, impacted by the Coronavirus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COVID-19”). </w:t>
      </w:r>
      <w:r>
        <w:rPr>
          <w:rFonts w:ascii="Times New Roman" w:cs="Times New Roman" w:eastAsia="Times New Roman" w:hAnsi="Times New Roman"/>
          <w:sz w:val="18"/>
          <w:szCs w:val="18"/>
          <w:color w:val="auto"/>
        </w:rPr>
        <w:t>The COVID-19 pandemic has adversely affected the economy of the United States and other countries around the world, including affecting labor supply and causing supply chain disruptions. While some of the economic impacts resulting from COVID-19 have eased and many COVID-19 related restrictions have been lifted or relaxed due to advancements in COVID-19 vaccination, testing, and treatment, a rise in infection rates, the emergence of new COVID-19 variants, or any future pandemic could result in, among other things, a reduction in orders placed by our customers who could be closing or curtailing their own operations. We may also experience labor shortages and supply chain disruptions, including product and raw material shortages, delays, and price increases as a result of the COVID-19 pandemic or any future pandemic. Our suppliers, contractors, and third-party logistic providers may continue to experience disruptions and delays stemming from labor and supply challenges, and significant disruptions in transport and logistics services due to facility closures, labor constraints, and other challenges. These challenges may impact our ability to maintain sufficient inventory and to accurately predict demand or lead times, which may inhibit our ability to service customer demand. Additionally, addressing shortages from our current suppliers may require the Company to procure products from new suppliers or through brokers with whom we have a limited or no prior relationship.</w:t>
      </w:r>
    </w:p>
    <w:p>
      <w:pPr>
        <w:spacing w:after="0" w:line="57" w:lineRule="exact"/>
        <w:rPr>
          <w:rFonts w:ascii="Arial" w:cs="Arial" w:eastAsia="Arial" w:hAnsi="Arial"/>
          <w:sz w:val="18"/>
          <w:szCs w:val="18"/>
          <w:color w:val="auto"/>
        </w:rPr>
      </w:pPr>
    </w:p>
    <w:p>
      <w:pPr>
        <w:ind w:left="420" w:right="40"/>
        <w:spacing w:after="0" w:line="256" w:lineRule="auto"/>
        <w:rPr>
          <w:rFonts w:ascii="Arial" w:cs="Arial" w:eastAsia="Arial" w:hAnsi="Arial"/>
          <w:sz w:val="18"/>
          <w:szCs w:val="18"/>
          <w:color w:val="auto"/>
        </w:rPr>
      </w:pPr>
      <w:r>
        <w:rPr>
          <w:rFonts w:ascii="Times New Roman" w:cs="Times New Roman" w:eastAsia="Times New Roman" w:hAnsi="Times New Roman"/>
          <w:sz w:val="18"/>
          <w:szCs w:val="18"/>
          <w:color w:val="auto"/>
        </w:rPr>
        <w:t>Providing an estimate for the ongoing impact of COVID-19 pandemic on the Company’s business is difficult given the evolving nature of COVID-19 and the likelihood that any impact would be affected by factors outside of our control. Such factors may include the severity, duration and spread of COVID-19 and emerging variants, the actions that have been or may be taken by the governments of countries affected, and the ability of our customers and consumers to remain in operation and pay for the products purchased on a timely basis. Additionally, to the extent the COVID-19 pandemic or any future pandemic adversely affects our business, financial condition, or results of operations, it may heighten other risks described in this section.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Aluminum Extrusions</w:t>
      </w:r>
    </w:p>
    <w:p>
      <w:pPr>
        <w:spacing w:after="0" w:line="117" w:lineRule="exact"/>
        <w:rPr>
          <w:sz w:val="20"/>
          <w:szCs w:val="20"/>
          <w:color w:val="auto"/>
        </w:rPr>
      </w:pPr>
    </w:p>
    <w:p>
      <w:pPr>
        <w:ind w:left="420" w:hanging="412"/>
        <w:spacing w:after="0" w:line="254"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volume and profitability of Aluminum Extrusions is cyclical and seasonal and highly dependent on economic conditions of end-use markets in the U.S., particularly in the construction sector. </w:t>
      </w:r>
      <w:r>
        <w:rPr>
          <w:rFonts w:ascii="Times New Roman" w:cs="Times New Roman" w:eastAsia="Times New Roman" w:hAnsi="Times New Roman"/>
          <w:sz w:val="18"/>
          <w:szCs w:val="18"/>
          <w:color w:val="auto"/>
        </w:rPr>
        <w:t>Aluminum Extrusions’ end-use markets can be cyclical and subject to seasonal swings in volume.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of the capital-intensive nature and level of fixed costs inherent in the aluminum extrusions business, the percentage drop in earnings before interest, taxes, depreciation and amortization (“EBITDA”) from ongoing operations in a cyclical downturn will likely exceed the percentage drop in volume. In addition, during an economic slowdown, excess industry capacity often drives increased pricing pressure in many end-use markets as competitors seek to protect their position with key customers. Any benefits associated with cost reductions and productivity improvements may not be sufficient to offset the adverse effects on profitability from pricing and margin pressure and higher bad debts (including a greater chance of loss associated with customers defaulting on fixed-price forward sales contracts) that usually accompany a downturn. In addition, higher energy costs can reduce profits unless offset by price increases or cost reductions and productivity improvements.</w:t>
      </w:r>
    </w:p>
    <w:p>
      <w:pPr>
        <w:spacing w:after="0" w:line="70" w:lineRule="exact"/>
        <w:rPr>
          <w:rFonts w:ascii="Times New Roman" w:cs="Times New Roman" w:eastAsia="Times New Roman" w:hAnsi="Times New Roman"/>
          <w:sz w:val="18"/>
          <w:szCs w:val="18"/>
          <w:color w:val="auto"/>
        </w:rPr>
      </w:pPr>
    </w:p>
    <w:p>
      <w:pPr>
        <w:ind w:left="42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in third quarter of 2022, the Company observed slowing order input and order cancellations as customers reported high inventory levels. There can be no assurance as to the extent and timing of the recovery of sales volumes and profits for Aluminum Extrusions, especially since there can be a lag in the recovery of its end-use markets in comparison to the overall economic recovery.</w:t>
      </w:r>
    </w:p>
    <w:p>
      <w:pPr>
        <w:spacing w:after="0" w:line="36" w:lineRule="exact"/>
        <w:rPr>
          <w:rFonts w:ascii="Times New Roman" w:cs="Times New Roman" w:eastAsia="Times New Roman" w:hAnsi="Times New Roman"/>
          <w:sz w:val="18"/>
          <w:szCs w:val="18"/>
          <w:color w:val="auto"/>
        </w:rPr>
      </w:pPr>
    </w:p>
    <w:p>
      <w:pPr>
        <w:ind w:left="420" w:hanging="412"/>
        <w:spacing w:after="0" w:line="254"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failure to successfully implement the new enterprise resource planning and manufacturing execution systems could adversely impact the Aluminum Extrusions business and results of operations. </w:t>
      </w:r>
      <w:r>
        <w:rPr>
          <w:rFonts w:ascii="Times New Roman" w:cs="Times New Roman" w:eastAsia="Times New Roman" w:hAnsi="Times New Roman"/>
          <w:sz w:val="18"/>
          <w:szCs w:val="18"/>
          <w:color w:val="auto"/>
        </w:rPr>
        <w:t>In January 2022, Aluminum Extrusions obtained approval from the Board to engage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project of a new enterprise resource planning and manufacturing execution systems (“ERP/MES”) across all locations of the Aluminum Extrusions business. The ERP/MES project commenced in 2022 and is expected to cost a total of approximately $30 million over a two-year time span. The implementation of these systems is a major undertaking from a financial, management, and personnel perspective. The implementations may prove to be more difficult, costly, or time consuming than expected, and there can be no assurance that these systems will be beneficial to the extent anticipated. Any disruptions, delays or deficiencies in the design and implementation of the new systems could adversely affect our financial position, results of operations and cash flows; additionally, any disruptions, delays or deficiencies could adversely affect our remediation efforts with respect to the effectiveness of our internal controls over financial reporting.</w:t>
      </w:r>
    </w:p>
    <w:p>
      <w:pPr>
        <w:spacing w:after="0" w:line="66" w:lineRule="exact"/>
        <w:rPr>
          <w:rFonts w:ascii="Times New Roman" w:cs="Times New Roman" w:eastAsia="Times New Roman" w:hAnsi="Times New Roman"/>
          <w:sz w:val="18"/>
          <w:szCs w:val="18"/>
          <w:color w:val="auto"/>
        </w:rPr>
      </w:pPr>
    </w:p>
    <w:p>
      <w:pPr>
        <w:ind w:left="420" w:right="20" w:hanging="412"/>
        <w:spacing w:after="0" w:line="257"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Failure to prevent foreign competitors from evading anti-dumping and countervailing duties, or failure to reinstate the Aluminum Tariff on aluminum extrusions, could adversely impact Aluminum Extrusions. </w:t>
      </w:r>
      <w:r>
        <w:rPr>
          <w:rFonts w:ascii="Times New Roman" w:cs="Times New Roman" w:eastAsia="Times New Roman" w:hAnsi="Times New Roman"/>
          <w:sz w:val="18"/>
          <w:szCs w:val="18"/>
          <w:color w:val="auto"/>
        </w:rPr>
        <w:t>Chinese and other overseas manufacturers continue to try to evade the anti-dumping and countervailing orders to avoid duties. On October 3, 2022, the U.S. International Trade Commission (“ITC”) extended the anti-dumping (“AD”) and countervailing duty (“CVD”) orders against aluminum extrusions from China, for a period of five years. In 2018, the U.S. imposed tariffs of 10% on aluminum ingot and semi-finished aluminum imported into the U.S. from certain countries. However, in December 2020, the Department of Commerce (“DOC”) introduced a tariff exclusion process, granting applicants with tariff exclusions.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ind w:left="420" w:right="360"/>
        <w:spacing w:after="0" w:line="282" w:lineRule="auto"/>
        <w:rPr>
          <w:sz w:val="20"/>
          <w:szCs w:val="20"/>
          <w:color w:val="auto"/>
        </w:rPr>
      </w:pPr>
      <w:r>
        <w:rPr>
          <w:rFonts w:ascii="Times New Roman" w:cs="Times New Roman" w:eastAsia="Times New Roman" w:hAnsi="Times New Roman"/>
          <w:sz w:val="18"/>
          <w:szCs w:val="18"/>
          <w:color w:val="auto"/>
        </w:rPr>
        <w:t>failure by, or the inability of, U.S. trade officials to restore the import tariff in its full format, could have a material adverse effect on the financial condition, results of operations and cash flows of Aluminum Extrusions.</w:t>
      </w:r>
    </w:p>
    <w:p>
      <w:pPr>
        <w:spacing w:after="0" w:line="23" w:lineRule="exact"/>
        <w:rPr>
          <w:sz w:val="20"/>
          <w:szCs w:val="20"/>
          <w:color w:val="auto"/>
        </w:rPr>
      </w:pPr>
    </w:p>
    <w:p>
      <w:pPr>
        <w:ind w:left="420" w:hanging="412"/>
        <w:spacing w:after="0" w:line="254"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duty-free importation of goods allowed under the United States-Mexico-Canada Agreement (“USMCA”), or other free trade agreements or duty-preference regimes, could result in lower demand for aluminum extrusions made in the U.S., which could materially and negatively affect Aluminum Extrusions’ business and results of operations. </w:t>
      </w:r>
      <w:r>
        <w:rPr>
          <w:rFonts w:ascii="Times New Roman" w:cs="Times New Roman" w:eastAsia="Times New Roman" w:hAnsi="Times New Roman"/>
          <w:sz w:val="18"/>
          <w:szCs w:val="18"/>
          <w:color w:val="auto"/>
        </w:rPr>
        <w:t>As noted above, in March 2018, the U.S. imposed tariffs of 10% on aluminum ingot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semi-finished aluminum imported into the U.S. from certain countries, including countries from which Aluminum Extrusions has historically sourced aluminum products. In September 2019, the U.S., Canada and Mexico entered into the USMCA. As a result of the 10% tariffs on aluminum ingot imported to the U.S. and the duty-free importation of goods allowed under USMCA or other trade agreement regimes or duty-preference programs, aluminum extrusions from outside the United States that are able to take advantage of duty-preference programs upon importation into the United States made in Canada and Mexico are free of the 10% tariff and can now be imported into and sold in the U.S. at very competitive prices. This could result in lower demand for aluminum extrusions made in the U.S., which could materially and negatively affect Aluminum Extrusions’ business and results of operations.</w:t>
      </w:r>
    </w:p>
    <w:p>
      <w:pPr>
        <w:spacing w:after="0" w:line="63" w:lineRule="exact"/>
        <w:rPr>
          <w:rFonts w:ascii="Times New Roman" w:cs="Times New Roman" w:eastAsia="Times New Roman" w:hAnsi="Times New Roman"/>
          <w:sz w:val="18"/>
          <w:szCs w:val="18"/>
          <w:color w:val="auto"/>
        </w:rPr>
      </w:pPr>
    </w:p>
    <w:p>
      <w:pPr>
        <w:ind w:left="420" w:right="240" w:hanging="412"/>
        <w:spacing w:after="0" w:line="256"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markets for Aluminum Extrusions’ products are highly competitive with product quality, service, delivery performance and price being the principal competitive factors. </w:t>
      </w:r>
      <w:r>
        <w:rPr>
          <w:rFonts w:ascii="Times New Roman" w:cs="Times New Roman" w:eastAsia="Times New Roman" w:hAnsi="Times New Roman"/>
          <w:sz w:val="18"/>
          <w:szCs w:val="18"/>
          <w:color w:val="auto"/>
        </w:rPr>
        <w:t>Aluminum Extrusions has approximately 1,200 customers that are in a variety of end-use markets within the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of building and construction, distribution, automotive and other transportation, machinery and equipment, electrical and consumer durables. No single Aluminum Extrusions’ customer exceeds 4% of consolidated net sales. Future success and prospects depend on Aluminum Extrusions’ ability to provide superior service, high quality products, timely delivery and competitive pricing to retain existing customers and participate in overall industry cross-cycle growth. Failure in any of these areas could lead to a loss of customers, which could have an adverse material effect on the financial condition, results of operations and cash flows of Aluminum Extrusions.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PE Films</w:t>
      </w:r>
    </w:p>
    <w:p>
      <w:pPr>
        <w:spacing w:after="0" w:line="90" w:lineRule="exact"/>
        <w:rPr>
          <w:sz w:val="20"/>
          <w:szCs w:val="20"/>
          <w:color w:val="auto"/>
        </w:rPr>
      </w:pPr>
    </w:p>
    <w:p>
      <w:pPr>
        <w:ind w:left="420" w:right="20" w:hanging="412"/>
        <w:spacing w:after="0" w:line="256" w:lineRule="auto"/>
        <w:tabs>
          <w:tab w:leader="none" w:pos="41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PE Films is highly dependent on sales associated with relatively few large customers. </w:t>
      </w:r>
      <w:r>
        <w:rPr>
          <w:rFonts w:ascii="Times New Roman" w:cs="Times New Roman" w:eastAsia="Times New Roman" w:hAnsi="Times New Roman"/>
          <w:sz w:val="18"/>
          <w:szCs w:val="18"/>
          <w:color w:val="auto"/>
        </w:rPr>
        <w:t>PE Films’ top four customers comprised approximately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 and 16% of Tredegar’s consolidated net sales in 2022, 2021 and 2020, respectively. The loss or significant reduction of sales associated with one or more of these customers without replacement by new business could have a material adverse effect on the Company. Surface Protection sales have been adversely impacted by weak market demand and competitive pricing. Customer demand for electronics has continued to deteriorate since the third quarter of 2022, causing manufacturers in the supply chain to experience reduced capacity utilization and inventory corrections. In addition, these depressed market conditions, which are expected to continue for most of the first half of 2023, are adversely impacting mix through reduced sales to our highest value-added customers and products.</w:t>
      </w:r>
    </w:p>
    <w:p>
      <w:pPr>
        <w:spacing w:after="0" w:line="65" w:lineRule="exact"/>
        <w:rPr>
          <w:rFonts w:ascii="Times New Roman" w:cs="Times New Roman" w:eastAsia="Times New Roman" w:hAnsi="Times New Roman"/>
          <w:sz w:val="18"/>
          <w:szCs w:val="18"/>
          <w:b w:val="1"/>
          <w:bCs w:val="1"/>
          <w:i w:val="1"/>
          <w:iCs w:val="1"/>
          <w:color w:val="auto"/>
        </w:rPr>
      </w:pPr>
    </w:p>
    <w:p>
      <w:pPr>
        <w:ind w:left="420" w:right="1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previously reported the risk that a portion of its film products used in surface protection applications would be made obsolete by customer product transitions, which principally relate to one customer, to less costly alternative processes or materials. The Company estimates that these transitions, which were complete as of the second quarter of 2022, resulted in a total decline of $7 million in pre-tax income from continuing operations as reported under GAAP and EBITDA from ongoing operations during 2022 versus 2021.</w:t>
      </w:r>
    </w:p>
    <w:p>
      <w:pPr>
        <w:spacing w:after="0" w:line="58" w:lineRule="exact"/>
        <w:rPr>
          <w:rFonts w:ascii="Times New Roman" w:cs="Times New Roman" w:eastAsia="Times New Roman" w:hAnsi="Times New Roman"/>
          <w:sz w:val="18"/>
          <w:szCs w:val="18"/>
          <w:b w:val="1"/>
          <w:bCs w:val="1"/>
          <w:i w:val="1"/>
          <w:iCs w:val="1"/>
          <w:color w:val="auto"/>
        </w:rPr>
      </w:pPr>
    </w:p>
    <w:p>
      <w:pPr>
        <w:ind w:left="420" w:right="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Surface Protection business is continuing to experience competitive pricing pressures, unrelated to the customer product transitions, that adversely impacted pre-tax income from continuing operations as reported under GAAP and EBITDA from ongoing operations by approximately $5.5 million in 2022 versus 2021. To offset the adverse impact of the customer transitions and pricing pressures, the Company is aggressively pursuing sales of new surface protection products, applications and customers and driving production efficiencies and cost savings.</w:t>
      </w:r>
    </w:p>
    <w:p>
      <w:pPr>
        <w:spacing w:after="0" w:line="44" w:lineRule="exact"/>
        <w:rPr>
          <w:rFonts w:ascii="Times New Roman" w:cs="Times New Roman" w:eastAsia="Times New Roman" w:hAnsi="Times New Roman"/>
          <w:sz w:val="18"/>
          <w:szCs w:val="18"/>
          <w:b w:val="1"/>
          <w:bCs w:val="1"/>
          <w:i w:val="1"/>
          <w:iCs w:val="1"/>
          <w:color w:val="auto"/>
        </w:rPr>
      </w:pPr>
    </w:p>
    <w:p>
      <w:pPr>
        <w:ind w:left="420" w:right="3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While PE Films is undertaking efforts to expand its customer base, there can be no assurance that such efforts will be successful, or that they will offset any loss of sales and profits associated with customer transitions and other large customer declines.</w:t>
      </w:r>
    </w:p>
    <w:p>
      <w:pPr>
        <w:spacing w:after="0" w:line="36" w:lineRule="exact"/>
        <w:rPr>
          <w:rFonts w:ascii="Times New Roman" w:cs="Times New Roman" w:eastAsia="Times New Roman" w:hAnsi="Times New Roman"/>
          <w:sz w:val="18"/>
          <w:szCs w:val="18"/>
          <w:b w:val="1"/>
          <w:bCs w:val="1"/>
          <w:i w:val="1"/>
          <w:iCs w:val="1"/>
          <w:color w:val="auto"/>
        </w:rPr>
      </w:pPr>
    </w:p>
    <w:p>
      <w:pPr>
        <w:ind w:left="420" w:right="140" w:hanging="412"/>
        <w:spacing w:after="0" w:line="272" w:lineRule="auto"/>
        <w:tabs>
          <w:tab w:leader="none" w:pos="415"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Failure of PE Films’ customers, who are subject to cyclical downturns, to achieve success or maintain market share could adversely impact PE Films’ sales and operating margins. </w:t>
      </w:r>
      <w:r>
        <w:rPr>
          <w:rFonts w:ascii="Times New Roman" w:cs="Times New Roman" w:eastAsia="Times New Roman" w:hAnsi="Times New Roman"/>
          <w:sz w:val="17"/>
          <w:szCs w:val="17"/>
          <w:color w:val="auto"/>
        </w:rPr>
        <w:t>PE Films’ plastic films are used in the production of various consumer products sold worldwide. A customer’s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ability to successfully develop, manufacture and market those products is integral to PE Films’ success. Cyclical downturns and changing consumer preferences may negatively affect businesses that use PE Films’ plastic film products, which could adversely affect sales and operating margins.</w:t>
      </w:r>
    </w:p>
    <w:p>
      <w:pPr>
        <w:ind w:left="420" w:right="14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Other factors that could adversely affect the business include (i) failure by a key customer to achieve success or maintain share in markets in which they sell products containing PE Films’ materials, including as a result of customer preferences for products other than plastics, (ii) key customers using products developed by others that replace PE Films’ business with such customers, (iii) delays in a key customer rolling out products utilizing new technologies developed by PE Films, 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t>(iv) operational decisions by a key customer that result in component substitution, inventory reductions and similar changes.</w:t>
      </w:r>
    </w:p>
    <w:p>
      <w:pPr>
        <w:spacing w:after="0" w:line="86" w:lineRule="exact"/>
        <w:rPr>
          <w:sz w:val="20"/>
          <w:szCs w:val="20"/>
          <w:color w:val="auto"/>
        </w:rPr>
      </w:pPr>
    </w:p>
    <w:p>
      <w:pPr>
        <w:ind w:left="420" w:hanging="412"/>
        <w:spacing w:after="0" w:line="257"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Company’s inability to protect its intellectual property rights or its infringement of the intellectual property rights of others could have a material adverse impact on PE Films. </w:t>
      </w:r>
      <w:r>
        <w:rPr>
          <w:rFonts w:ascii="Times New Roman" w:cs="Times New Roman" w:eastAsia="Times New Roman" w:hAnsi="Times New Roman"/>
          <w:sz w:val="18"/>
          <w:szCs w:val="18"/>
          <w:color w:val="auto"/>
        </w:rPr>
        <w:t>The continued success of the PE Films’ business depends on its ability not only to protect its own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trade secrets, but also to develop and sell new products that do not infringe upon existing patents. Intellectual property litigation is very costly and could result in substantial expense and diversions of Company resources, both of which could adversely affect its consolidated financial condition, results of operations and cash flows. In addition, there may be no effective legal recourse against infringement of the Company’s intellectual property by third parties, whether due to limitations on enforcement of rights in foreign jurisdictions or as a result of other factors.</w:t>
      </w:r>
    </w:p>
    <w:p>
      <w:pPr>
        <w:spacing w:after="0" w:line="60" w:lineRule="exact"/>
        <w:rPr>
          <w:rFonts w:ascii="Times New Roman" w:cs="Times New Roman" w:eastAsia="Times New Roman" w:hAnsi="Times New Roman"/>
          <w:sz w:val="18"/>
          <w:szCs w:val="18"/>
          <w:color w:val="auto"/>
        </w:rPr>
      </w:pPr>
    </w:p>
    <w:p>
      <w:pPr>
        <w:ind w:left="420" w:right="40" w:hanging="412"/>
        <w:spacing w:after="0" w:line="256"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Disruptions to PE Films’ supply chain could have a material adverse impact on PE Films. </w:t>
      </w:r>
      <w:r>
        <w:rPr>
          <w:rFonts w:ascii="Times New Roman" w:cs="Times New Roman" w:eastAsia="Times New Roman" w:hAnsi="Times New Roman"/>
          <w:sz w:val="18"/>
          <w:szCs w:val="18"/>
          <w:color w:val="auto"/>
        </w:rPr>
        <w:t>Certain raw materials used in manufacturing PE Films’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are sourced from single suppliers, and PE Films may not be able to quickly or inexpensively re-source from other suppliers. The risk of damage or disruption to its supply chain may increase if and when different suppliers consolidate their product portfolios, experience financial distress or disruption of manufacturing operations (such as, for example, the impact of hurricanes on petrochemical production). Failure to take adequate steps to effectively manage such events, which are intensified when a product is procured from a single supplier or location, could adversely affect PE Films’ consolidated financial condition, results of operations and cash flows, and also require additional resources to restore its supply chain.</w:t>
      </w:r>
    </w:p>
    <w:p>
      <w:pPr>
        <w:spacing w:after="0" w:line="61" w:lineRule="exact"/>
        <w:rPr>
          <w:rFonts w:ascii="Times New Roman" w:cs="Times New Roman" w:eastAsia="Times New Roman" w:hAnsi="Times New Roman"/>
          <w:sz w:val="18"/>
          <w:szCs w:val="18"/>
          <w:color w:val="auto"/>
        </w:rPr>
      </w:pPr>
    </w:p>
    <w:p>
      <w:pPr>
        <w:ind w:left="420" w:right="260" w:hanging="412"/>
        <w:spacing w:after="0" w:line="259"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Rising trade tensions could cause an increase in the cost of PE Films’ products or otherwise negatively impact the Company. </w:t>
      </w:r>
      <w:r>
        <w:rPr>
          <w:rFonts w:ascii="Times New Roman" w:cs="Times New Roman" w:eastAsia="Times New Roman" w:hAnsi="Times New Roman"/>
          <w:sz w:val="18"/>
          <w:szCs w:val="18"/>
          <w:color w:val="auto"/>
        </w:rPr>
        <w:t>A portion of 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Film’s business involves imports to and from the U.S. and other countries where the Company produces and sells its products. Trade tensions have been rising between the U.S. and other countries, particularly China. An increase in tariffs and other trade barriers between the U.S. and China, or between the U.S. and other countries, could cause an increase in the cost of PE Films’ products or otherwise negatively impact the production and sale of the Company’s products in world markets.</w:t>
      </w:r>
    </w:p>
    <w:p>
      <w:pPr>
        <w:spacing w:after="0" w:line="44" w:lineRule="exact"/>
        <w:rPr>
          <w:rFonts w:ascii="Times New Roman" w:cs="Times New Roman" w:eastAsia="Times New Roman" w:hAnsi="Times New Roman"/>
          <w:sz w:val="18"/>
          <w:szCs w:val="18"/>
          <w:color w:val="auto"/>
        </w:rPr>
      </w:pPr>
    </w:p>
    <w:p>
      <w:pPr>
        <w:ind w:left="420" w:right="120" w:hanging="412"/>
        <w:spacing w:after="0" w:line="254" w:lineRule="auto"/>
        <w:tabs>
          <w:tab w:leader="none" w:pos="41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An impairment of the Surface Protection reporting unit’s goodwill could have a material non-cash adverse impact on our results of operations. </w:t>
      </w: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The valuation of goodwill depends on a variety of factors, including macroeconomic conditions, industry and market considerations, cost factors and overall financial performance, as well as company and reporting unit factors, and goodwill impairment valuations can be sensitive to assumptions associated with such factors. Failure to successfully achieve projections could result in future impairments. Impairment to the Surface Protection reporting unit’s goodwill may also be caused by factors outside the Company’s control, such as increasing competitive pricing pressures, weak consumer electronic market demand, lower than expected sales and profit growth rates, and various other factors. Significant and unanticipated changes could require a non-cash charge for impairment in a future period, which may significantly affect the Company’s results of operations in the period of such charge.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Flexible Packaging Films</w:t>
      </w:r>
    </w:p>
    <w:p>
      <w:pPr>
        <w:spacing w:after="0" w:line="104" w:lineRule="exact"/>
        <w:rPr>
          <w:sz w:val="20"/>
          <w:szCs w:val="20"/>
          <w:color w:val="auto"/>
        </w:rPr>
      </w:pPr>
    </w:p>
    <w:p>
      <w:pPr>
        <w:ind w:left="420" w:right="60" w:hanging="412"/>
        <w:spacing w:after="0" w:line="254"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history of uncertain economic conditions in Brazil could adversely impact the financial condition, results of operations and cash flows of Flexible Packaging Films. </w:t>
      </w:r>
      <w:r>
        <w:rPr>
          <w:rFonts w:ascii="Times New Roman" w:cs="Times New Roman" w:eastAsia="Times New Roman" w:hAnsi="Times New Roman"/>
          <w:sz w:val="18"/>
          <w:szCs w:val="18"/>
          <w:color w:val="auto"/>
        </w:rPr>
        <w:t>For flexible packaging films produced in Brazil, selling prices and key raw material costs are principally determined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 While Flexible Packaging Films hedges this exposure on a short-term basis with foreign exchange forward rate contracts, the exposure continues to exist beyond the hedging periods.</w:t>
      </w:r>
    </w:p>
    <w:p>
      <w:pPr>
        <w:spacing w:after="0" w:line="50" w:lineRule="exact"/>
        <w:rPr>
          <w:rFonts w:ascii="Times New Roman" w:cs="Times New Roman" w:eastAsia="Times New Roman" w:hAnsi="Times New Roman"/>
          <w:sz w:val="18"/>
          <w:szCs w:val="18"/>
          <w:color w:val="auto"/>
        </w:rPr>
      </w:pPr>
    </w:p>
    <w:p>
      <w:pPr>
        <w:ind w:left="420" w:right="40" w:hanging="412"/>
        <w:spacing w:after="0" w:line="254" w:lineRule="auto"/>
        <w:tabs>
          <w:tab w:leader="none" w:pos="413" w:val="left"/>
        </w:tabs>
        <w:numPr>
          <w:ilvl w:val="0"/>
          <w:numId w:val="14"/>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Overcapacity in Latin American polyester film production and governmental failure to extend anti-dumping duties in Brazil on imported products or prevent competitors from circumventing such duties could adversely impact Flexible Packaging Films. </w:t>
      </w:r>
      <w:r>
        <w:rPr>
          <w:rFonts w:ascii="Times New Roman" w:cs="Times New Roman" w:eastAsia="Times New Roman" w:hAnsi="Times New Roman"/>
          <w:sz w:val="18"/>
          <w:szCs w:val="18"/>
          <w:color w:val="auto"/>
        </w:rPr>
        <w:t>In recent years, excess global capacity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industry has led to increased competitive pressures from imports into Brazil. The Company believes that these conditions have shifted the competitive environment from a regional to a global landscape and have driven price convergence and lower product margins for Flexible Packaging Films. Favorable anti-dumping rulings or countervailing duties are in effect for products imported from China, Egypt, India, Mexico, United Arab Emirates, Turkey, Peru and Bahrain. Competitors not currently subject to anti-dumping duties may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420" w:right="160"/>
        <w:spacing w:after="0" w:line="254" w:lineRule="auto"/>
        <w:rPr>
          <w:sz w:val="20"/>
          <w:szCs w:val="20"/>
          <w:color w:val="auto"/>
        </w:rPr>
      </w:pPr>
      <w:r>
        <w:rPr>
          <w:rFonts w:ascii="Times New Roman" w:cs="Times New Roman" w:eastAsia="Times New Roman" w:hAnsi="Times New Roman"/>
          <w:sz w:val="18"/>
          <w:szCs w:val="18"/>
          <w:color w:val="auto"/>
        </w:rPr>
        <w:t>choose to utilize their excess capacity by selling product in Brazil, which may result in pricing pressures that Flexible Packaging Films may not be able to offset with cost savings measures and/or manufacturing efficiency initiatives. In May 2021, the Brazilian authorities concluded the sunset review relating to the anti-dumping process for polyester film imported from China, India and Egypt, and decided to extend duties for another five years. However, due to its doubts that films would continue to be imported from China and Egypt, the government immediately suspended the implementation of the tariffs for those countries. If in the future there are volumes imported from China or Egypt which are harming the Brazilian market, authorities may promptly reinstate tariffs. For India, the Brazilian authorities also reviewed measures against countervailing duties and extended those for five years as well. Considering the expiration date for anti-dumping rulings against Mexico, United Arab Emirates and Turkey in first quarter 2023, Terphane timely petitioned for a sunset review in the fourth quarter of 2022, and the Brazilian authority is in the process of reviewing the petition and data provided in order to initiate the sunset review investigation, which was formalized in February 2023.</w:t>
      </w:r>
    </w:p>
    <w:p>
      <w:pPr>
        <w:spacing w:after="0" w:line="1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Most of the improved real property and the other assets used in the Company’s operations are owned. Certain of the owned property is subject to an encumbrance under the Company’s credit agreement (see Note 7 “Debt and Credit Agreements” to the Consolidated Financial Statements in Item 15 for more information).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Tredegar considers the manufacturing facilities, warehouses and other properties and assets that it owns or leases to be in generally good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utilization at its various manufacturing facilities can vary with product mix and normal fluctuations in sales levels. The Company believes that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Bonnell Aluminum, PE Films and Flexible Packaging Films manufacturing facilities have sufficient capacity to meet current production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Tredegar’s corporate headquarters, which is leased, is located at 1100 Boulders Parkway, Richmond, Virginia 23225.</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principal manufacturing plants and facilities as of December 31, 2022 are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Aluminum Extrusions</w:t>
            </w:r>
          </w:p>
        </w:tc>
        <w:tc>
          <w:tcPr>
            <w:tcW w:w="2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18"/>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Carthage, Tennessee</w:t>
            </w:r>
          </w:p>
        </w:tc>
        <w:tc>
          <w:tcPr>
            <w:tcW w:w="322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None</w:t>
            </w:r>
          </w:p>
        </w:tc>
        <w:tc>
          <w:tcPr>
            <w:tcW w:w="3780" w:type="dxa"/>
            <w:vAlign w:val="bottom"/>
            <w:gridSpan w:val="3"/>
            <w:shd w:val="clear" w:color="auto" w:fill="CCEEFF"/>
          </w:tcPr>
          <w:p>
            <w:pPr>
              <w:ind w:left="840"/>
              <w:spacing w:after="0" w:line="184" w:lineRule="exact"/>
              <w:rPr>
                <w:sz w:val="20"/>
                <w:szCs w:val="20"/>
                <w:color w:val="auto"/>
              </w:rPr>
            </w:pPr>
            <w:r>
              <w:rPr>
                <w:rFonts w:ascii="Times New Roman" w:cs="Times New Roman" w:eastAsia="Times New Roman" w:hAnsi="Times New Roman"/>
                <w:sz w:val="18"/>
                <w:szCs w:val="18"/>
                <w:color w:val="auto"/>
              </w:rPr>
              <w:t>Production of aluminum extrusions,</w:t>
            </w:r>
          </w:p>
        </w:tc>
      </w:tr>
      <w:tr>
        <w:trPr>
          <w:trHeight w:val="180"/>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Clearfield, Utah (leased)</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gridSpan w:val="3"/>
            <w:shd w:val="clear" w:color="auto" w:fill="CCEEFF"/>
          </w:tcPr>
          <w:p>
            <w:pPr>
              <w:ind w:left="840"/>
              <w:spacing w:after="0" w:line="181" w:lineRule="exact"/>
              <w:rPr>
                <w:sz w:val="20"/>
                <w:szCs w:val="20"/>
                <w:color w:val="auto"/>
              </w:rPr>
            </w:pPr>
            <w:r>
              <w:rPr>
                <w:rFonts w:ascii="Times New Roman" w:cs="Times New Roman" w:eastAsia="Times New Roman" w:hAnsi="Times New Roman"/>
                <w:sz w:val="18"/>
                <w:szCs w:val="18"/>
                <w:color w:val="auto"/>
              </w:rPr>
              <w:t>fabrication and finishing</w:t>
            </w: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Elkhart, Indiana</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Newnan, Georgia</w:t>
            </w:r>
          </w:p>
        </w:tc>
        <w:tc>
          <w:tcPr>
            <w:tcW w:w="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Niles, Michigan</w:t>
            </w:r>
          </w:p>
        </w:tc>
        <w:tc>
          <w:tcPr>
            <w:tcW w:w="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432"/>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 Films</w:t>
            </w:r>
          </w:p>
        </w:tc>
        <w:tc>
          <w:tcPr>
            <w:tcW w:w="35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Pottsville, Pennsylvania</w:t>
            </w:r>
          </w:p>
        </w:tc>
        <w:tc>
          <w:tcPr>
            <w:tcW w:w="32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Guangzhou, China</w:t>
            </w:r>
          </w:p>
        </w:tc>
        <w:tc>
          <w:tcPr>
            <w:tcW w:w="3780" w:type="dxa"/>
            <w:vAlign w:val="bottom"/>
            <w:gridSpan w:val="3"/>
            <w:shd w:val="clear" w:color="auto" w:fill="CCEEFF"/>
          </w:tcPr>
          <w:p>
            <w:pPr>
              <w:ind w:left="840"/>
              <w:spacing w:after="0" w:line="176" w:lineRule="exact"/>
              <w:rPr>
                <w:sz w:val="20"/>
                <w:szCs w:val="20"/>
                <w:color w:val="auto"/>
              </w:rPr>
            </w:pPr>
            <w:r>
              <w:rPr>
                <w:rFonts w:ascii="Times New Roman" w:cs="Times New Roman" w:eastAsia="Times New Roman" w:hAnsi="Times New Roman"/>
                <w:sz w:val="18"/>
                <w:szCs w:val="18"/>
                <w:color w:val="auto"/>
              </w:rPr>
              <w:t>Production of plastic films</w:t>
            </w:r>
          </w:p>
        </w:tc>
      </w:tr>
      <w:tr>
        <w:trPr>
          <w:trHeight w:val="243"/>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Richmond, Virginia (technical center) (leased)</w:t>
            </w:r>
          </w:p>
        </w:tc>
        <w:tc>
          <w:tcPr>
            <w:tcW w:w="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418"/>
        </w:trPr>
        <w:tc>
          <w:tcPr>
            <w:tcW w:w="1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Flexible Packaging Films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Bloomfield, New York (technical center and</w:t>
            </w:r>
          </w:p>
        </w:tc>
        <w:tc>
          <w:tcPr>
            <w:tcW w:w="32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Cabo de Santo Agostinho, Brazil</w:t>
            </w:r>
          </w:p>
        </w:tc>
        <w:tc>
          <w:tcPr>
            <w:tcW w:w="3780" w:type="dxa"/>
            <w:vAlign w:val="bottom"/>
            <w:gridSpan w:val="3"/>
            <w:shd w:val="clear" w:color="auto" w:fill="CCEEFF"/>
          </w:tcPr>
          <w:p>
            <w:pPr>
              <w:ind w:left="840"/>
              <w:spacing w:after="0" w:line="176" w:lineRule="exact"/>
              <w:rPr>
                <w:sz w:val="20"/>
                <w:szCs w:val="20"/>
                <w:color w:val="auto"/>
              </w:rPr>
            </w:pPr>
            <w:r>
              <w:rPr>
                <w:rFonts w:ascii="Times New Roman" w:cs="Times New Roman" w:eastAsia="Times New Roman" w:hAnsi="Times New Roman"/>
                <w:sz w:val="18"/>
                <w:szCs w:val="18"/>
                <w:color w:val="auto"/>
              </w:rPr>
              <w:t>Production of PET-based films</w:t>
            </w:r>
          </w:p>
        </w:tc>
      </w:tr>
      <w:tr>
        <w:trPr>
          <w:trHeight w:val="243"/>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bl>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jc w:val="both"/>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3 is set forth in Note 18 "Contingencies" to the Consolidated Financial Statements in Item 15 and is hereby incorporated herein by reference.</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720" w:right="340" w:hanging="971"/>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0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Tredegar’s common stock is traded on the New York Stock Exchange (“NYSE”) under the ticker symbol “TG”. There were 34,016,689 shares of common stock held by 1,624 shareholders of record on March 10,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Information</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Tredegar has paid a regular cash dividend every quarter since becoming a public company in July 1989. In addition, Tredegar has paid special cash dividends from time to time. On December 1, 2020, the Board declared a special dividend of $200 million, or $5.97 per share, on the Company’s common stock (the “Special Dividend”). The Special Dividend was paid in December 2020.</w:t>
      </w:r>
    </w:p>
    <w:p>
      <w:pPr>
        <w:spacing w:after="0" w:line="5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All decisions with respect to the declaration and payment of future dividends will be made by the Board in its sole discretion based upon earnings, financial condition, anticipated cash needs, restrictions in the Company’s revolving credit facility and other such considerations as the Board deems relevant. See Note 7 “Debt and Credit Agreements” to the Consolidated Financial Statements in Item 15 for the restrictions on the payment of dividends contained in the Company’s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January 7, 2008, Tredegar announced that the Board approved a share repurchase program whereby management is authorized at its discretion to purchase, in the open market or in privately negotiated transactions, up to 5 million shares of the Company’s outstanding common stock. The authorization has no time limit. Tredegar did not repurchase any shares in the open market or otherwise in 2022, 2021 or 2020 under this standing authorization. The maximum number of shares remaining under this standing authorization was 1,732,003 at December 31,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Graph</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returns for Tredegar, the S&amp;P SmallCap 600 Stock Index (an index comprised of companies with market capitalizations similar to Tredegar) and the Russell 2000 Index for the five years ended December 31, 2022. Tredegar is part of both the S&amp;P SmallCap 600 Index and Russell 2000 Index.</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COMPARISON OF 5 YEAR CUMULATIVE TOTAL RETURN*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Among Tredegar Corporation,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5709285" cy="2400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928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*$100 invested on 12/31/17 in stock or index, including reinvestment of dividends.</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2022 Standard &amp; Poor's, a division of S&amp;P Global. All rights reserved.</w:t>
      </w: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2022 Russell Investment Group. All rights reserved.</w:t>
      </w:r>
    </w:p>
    <w:p>
      <w:pPr>
        <w:sectPr>
          <w:pgSz w:w="11900" w:h="16838" w:orient="portrait"/>
          <w:cols w:equalWidth="0" w:num="1">
            <w:col w:w="11240"/>
          </w:cols>
          <w:pgMar w:left="320" w:top="1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14" w:name="page15"/>
    <w:bookmarkEnd w:id="1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[RESERVED]</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focuses on and is intended to clarify the results of our operations, certain changes in our financial position, liquidity, capital structure and business developments for the periods covered by the consolidated financial statements included in this Form 10-K. This discussion should be read in conjunction with, and is qualified by reference to, the other related information including, but not limited to, the audited consolidated financial statements (including the notes thereto) and the description of our business, all as set forth in this Form 10-K, as well as the risk factors discussed above in Item 1A.</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section provides discussion and a year-to-year comparison for the years ended December 31, 2022, 2021 and 2020.</w:t>
      </w:r>
    </w:p>
    <w:p>
      <w:pPr>
        <w:spacing w:after="0" w:line="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2,300 employees, the Company operates manufacturing facilities in North America, South America, and Asia.</w:t>
      </w:r>
    </w:p>
    <w:p>
      <w:pPr>
        <w:spacing w:after="0" w:line="4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Earnings before interest and taxes ("EBIT") from ongoing operations is a non-GAAP financial measure included in the reconciliation of segment financial information to consolidated results for the Company in Note 13 “Business Segments” to the Consolidated Financial Statements in Item 15. EBIT is not intended to represent the stand-alone results for Tredegar's ongoing operations under GAAP and should not be considered as an alternative to net income (loss)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Sales were $938.6 million in 2022 compared to $826.5 million in 2021. Net income from continuing operations was $28.4 million ($0.84 per diluted share) in 2022, compared with net income from continuing operations of $57.9 million ($1.72 per diluted share) in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Results Highlights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$66.8 million was $10.9 million higher than the year of 2021</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$11.9 million was $15.7 million lower than the year of 2021</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Flexible Packaging Films of $27.5 million was $4.2 million lower than the year of 2021</w:t>
      </w:r>
    </w:p>
    <w:p>
      <w:pPr>
        <w:spacing w:after="0" w:line="104"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Other losses related to asset impairments and costs associated with exit and disposal activities for continuing operations were not material for the years ended December 31, 2022 and 2021, respectively. Gains and losses associated with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versus 2021</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year of 2021 to the year of 2022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2021</w:t>
            </w:r>
          </w:p>
        </w:tc>
        <w:tc>
          <w:tcPr>
            <w:tcW w:w="1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57,937</w:t>
            </w:r>
          </w:p>
        </w:tc>
      </w:tr>
      <w:tr>
        <w:trPr>
          <w:trHeight w:val="229"/>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2021</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67,221</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112,109</w:t>
            </w:r>
          </w:p>
        </w:tc>
      </w:tr>
      <w:tr>
        <w:trPr>
          <w:trHeight w:val="230"/>
        </w:trPr>
        <w:tc>
          <w:tcPr>
            <w:tcW w:w="8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(19,441)</w:t>
            </w:r>
          </w:p>
        </w:tc>
      </w:tr>
      <w:tr>
        <w:trPr>
          <w:trHeight w:val="223"/>
        </w:trPr>
        <w:tc>
          <w:tcPr>
            <w:tcW w:w="8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92,668</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(114,352)</w:t>
            </w:r>
          </w:p>
        </w:tc>
      </w:tr>
      <w:tr>
        <w:trPr>
          <w:trHeight w:val="230"/>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29"/>
        </w:trPr>
        <w:tc>
          <w:tcPr>
            <w:tcW w:w="8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3"/>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(127,119)</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2022</w:t>
            </w: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r>
      <w:tr>
        <w:trPr>
          <w:trHeight w:val="230"/>
        </w:trPr>
        <w:tc>
          <w:tcPr>
            <w:tcW w:w="8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30"/>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2022</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28,381</w:t>
            </w:r>
          </w:p>
        </w:tc>
      </w:tr>
    </w:tbl>
    <w:p>
      <w:pPr>
        <w:spacing w:after="0" w:line="15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Sales in 2022 increased by 13.6% compared with 2021. Net sales increased 18.3% in Aluminum Extrusions primarily due to an increase in average selling prices to cover higher aluminum raw material costs and higher operating costs, partially offset by lower sales volume. Net sales decreased 18.0% in PE Films primarily due to lower volume, partially offset by higher pricing associated with the pass-through of increased resin costs. Net sales increased in Flexible Packaging Films by 20.1% primarily due to higher selling prices from the pass-through of higher resin costs, favorable product mix and higher sales volume. For more information on changes in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decreased $19.4 million compared to 2021, primarily due to 2021 gains of $12.8 million on the investment in kaléo and $8.5 million associated with a one-time tax credit in Brazil for unemployment/social security insurance non-income taxes resulting from a favorable decision by Brazil's Supreme Court regarding the calculation of such tax. See Note 9 “Other Income (Expense), net” to the Consolidated Financial Statements in Item 15 for additional information.</w:t>
      </w:r>
    </w:p>
    <w:p>
      <w:pPr>
        <w:spacing w:after="0" w:line="4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 xml:space="preserve">Consolidated gross profit (sales minus cost of goods sold and freight) as a percentage of sales (gross profit margin) was 14.9% in 2022 versus 18.0% in 2021. The gross profit margin in Aluminum Extrusions remained flat compared to 2021. The gross profit margin in PE Films decreased primarily due to Surface Protection lower sales for non-transitioning products associated with a market slowdown and customer inventory corrections and competitive pricing, and previously disclosed customer product transitions, partially offset by pass-through lag associated with resin pricing. The gross profit margin in Flexible Packaging Films decreased due to higher raw material costs and higher fixed costs, partially offset by favorable product mix, higher sales volume and higher selling prices from the pass-through of higher resin costs. For more information on changes in operating costs and expenses, see the </w:t>
      </w:r>
      <w:r>
        <w:rPr>
          <w:rFonts w:ascii="Times New Roman" w:cs="Times New Roman" w:eastAsia="Times New Roman" w:hAnsi="Times New Roman"/>
          <w:sz w:val="18"/>
          <w:szCs w:val="18"/>
          <w:b w:val="1"/>
          <w:bCs w:val="1"/>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Operations Review </w:t>
      </w:r>
      <w:r>
        <w:rPr>
          <w:rFonts w:ascii="Times New Roman" w:cs="Times New Roman" w:eastAsia="Times New Roman" w:hAnsi="Times New Roman"/>
          <w:sz w:val="18"/>
          <w:szCs w:val="18"/>
          <w:color w:val="auto"/>
        </w:rPr>
        <w:t>section below.</w:t>
      </w:r>
    </w:p>
    <w:p>
      <w:pPr>
        <w:spacing w:after="0" w:line="67"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R&amp;D expenses were 9.1% in 2022 compared with 9.8% in 2021. SG&amp;A expenses and sales increased year-over-year, while R&amp;D expenses remained consistent with the prior year. Increased SG&amp;A spending is primarily due to higher professional fees associated with the internal and external audits of the Company and higher employee-related compensation.</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for the year of 2022 was 13.4%, compared to 13.8% in 2021. The decrease in the effective tax rate for continuing operations is primarily due to a discrete tax benefit recorded in the first quarter of 2022 resulting from the implementation of new U.S. tax regulations associated with foreign tax credits published by the U.S. Treasury and Internal Revenue Service (“IRS”) on January 4, 2022. These regulations overhaul various components of the foreign tax credit regime including the determination of creditable foreign taxes and limit the amount of foreign taxes that are creditable against U.S. income taxes. This discrete benefit was partially offset by an increase to the effective tax rate as the result of the Brazilian income tax no longer being creditable in the U.S. for the foreseeable future. Lastly, the effective tax rate changed due to foreign rate differences pertaining to the Company’s foreign operations and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benefit from tax incentives in Brazil. See Note 12 “Income Taxes” to the Consolidated Financial Statements in Item 15 for additional information.</w:t>
      </w:r>
    </w:p>
    <w:p>
      <w:pPr>
        <w:spacing w:after="0" w:line="9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2022 detailed below are shown in the statements of net sales and EBITDA from ongoing operations by segment table in Note 13 “Business Segments” to the Consolidated Financial Statements in Item 15 and are included in “Asset impairments and costs associated with exit and disposal activities, net of adjustments” in the consolidated statements of income, unless otherwise noted.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w:t>
            </w: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Q2</w:t>
            </w: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Q3</w:t>
            </w: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Q4</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COVID-19-related expenses, net of relief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2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Environmental charges at Newnan, Georgia plant</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2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 Films: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20" w:type="dxa"/>
            <w:vAlign w:val="bottom"/>
            <w:tcBorders>
              <w:bottom w:val="single" w:sz="8" w:color="auto"/>
            </w:tcBorders>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Flexible Packaging Films: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2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75"/>
        </w:trPr>
        <w:tc>
          <w:tcPr>
            <w:tcW w:w="72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72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1"/>
                <w:szCs w:val="21"/>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0.8</w:t>
            </w:r>
          </w:p>
        </w:tc>
        <w:tc>
          <w:tcPr>
            <w:tcW w:w="200" w:type="dxa"/>
            <w:vAlign w:val="bottom"/>
          </w:tcPr>
          <w:p>
            <w:pPr>
              <w:spacing w:after="0"/>
              <w:rPr>
                <w:sz w:val="21"/>
                <w:szCs w:val="21"/>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76"/>
        </w:trPr>
        <w:tc>
          <w:tcPr>
            <w:tcW w:w="72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Stock compensation expense associated with the fair value remeasurement of awards granted at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72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the time of the 2020 Special Dividend</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(0.1)</w:t>
            </w:r>
          </w:p>
        </w:tc>
        <w:tc>
          <w:tcPr>
            <w:tcW w:w="20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2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8"/>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ind w:left="180" w:hanging="154"/>
        <w:spacing w:after="0" w:line="234"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consolidated statements of income.</w:t>
      </w:r>
    </w:p>
    <w:p>
      <w:pPr>
        <w:ind w:left="180" w:hanging="154"/>
        <w:spacing w:after="0" w:line="211"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consolidated statements of income.</w:t>
      </w:r>
    </w:p>
    <w:p>
      <w:pPr>
        <w:ind w:left="180" w:hanging="154"/>
        <w:spacing w:after="0" w:line="211"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"Costs of goods sold" in the consolidated statements of income.</w:t>
      </w:r>
    </w:p>
    <w:p>
      <w:pPr>
        <w:ind w:left="180" w:right="600" w:hanging="154"/>
        <w:spacing w:after="0" w:line="231"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“Corporate Expenses, Interest and Other” below and Note 8 “Retirement Plans and Other Postretirement Benefits” to the Consolidated Financial Statements in Item 15.</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4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114.5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ind w:left="360" w:right="20" w:hanging="334"/>
        <w:spacing w:after="0" w:line="223"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entry into the Second Amended and Restated Credit Agreement on June 29, 2022, borrowings bear an interest rate equal to SOFR plus a credit spread adjustment of 10 basis points and an amount depending on the type of borrowing and commitment fees charged on the unused amount under the Second Amended and Restated Credit Agreement. Prior to entry into the Second Amended and Restated Credit Agreement, the interest rate was based on LIBOR plus an applicable credit spread.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versus 2020</w:t>
      </w:r>
    </w:p>
    <w:p>
      <w:pPr>
        <w:spacing w:after="0" w:line="9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year of 2020 to the year of 2021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2020</w:t>
            </w:r>
          </w:p>
        </w:tc>
        <w:tc>
          <w:tcPr>
            <w:tcW w:w="16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w:t>
            </w:r>
          </w:p>
        </w:tc>
      </w:tr>
      <w:tr>
        <w:trPr>
          <w:trHeight w:val="230"/>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2020</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71,165</w:t>
            </w:r>
          </w:p>
        </w:tc>
      </w:tr>
      <w:tr>
        <w:trPr>
          <w:trHeight w:val="229"/>
        </w:trPr>
        <w:tc>
          <w:tcPr>
            <w:tcW w:w="8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87,670</w:t>
            </w:r>
          </w:p>
        </w:tc>
      </w:tr>
      <w:tr>
        <w:trPr>
          <w:trHeight w:val="223"/>
        </w:trPr>
        <w:tc>
          <w:tcPr>
            <w:tcW w:w="8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158,835</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(90,723)</w:t>
            </w:r>
          </w:p>
        </w:tc>
      </w:tr>
      <w:tr>
        <w:trPr>
          <w:trHeight w:val="229"/>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30"/>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r>
      <w:tr>
        <w:trPr>
          <w:trHeight w:val="229"/>
        </w:trPr>
        <w:tc>
          <w:tcPr>
            <w:tcW w:w="87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(66,568)</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2021</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67,221</w:t>
            </w:r>
          </w:p>
        </w:tc>
      </w:tr>
      <w:tr>
        <w:trPr>
          <w:trHeight w:val="229"/>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30"/>
        </w:trPr>
        <w:tc>
          <w:tcPr>
            <w:tcW w:w="8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2021</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57,937</w:t>
            </w:r>
          </w:p>
        </w:tc>
      </w:tr>
    </w:tbl>
    <w:p>
      <w:pPr>
        <w:spacing w:after="0" w:line="157"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Sales in 2021 increased by 9.4% compared with 2020. Net sales increased 18.3% in Aluminum Extrusions primarily due to an increase in average selling prices to cover significantly higher aluminum raw material costs and higher operating costs, partially offset by lower sales volume. Net sales decreased 14.6% in PE Films primarily due to lower volume and unfavorable mix associated with the previously disclosed customer product transitions in Surface Protection, partially offset by higher pricing associated with the pass-through of increased resin costs. Net sales increased in Flexible Packaging Films by 4.0% primarily due to higher selling prices from the pass-through of higher resin costs and favorable product mix, partially offset by lower sales volume.</w:t>
      </w:r>
    </w:p>
    <w:p>
      <w:pPr>
        <w:spacing w:after="0" w:line="6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$87.7 million compared to 2020, primarily due to a 2021 gain of $8.5 million associated with a one-time tax credit in Brazil for unemployment/social security insurance non-income taxes resulting from a favorable decision by Brazil's Supreme Court regarding the calculation of such tax and a gain of $12.8 million on the Company’s investment in kaléo recognized in the full year ended December 31, 2021 compared to a loss of $60.9 million in the full year ended December 31, 2020.</w:t>
      </w:r>
    </w:p>
    <w:p>
      <w:pPr>
        <w:spacing w:after="0" w:line="5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18.0% in 2021 versus 22.6% in 2020. The gross profit margin in Aluminum Extrusions decreased primarily due to higher labor and employee-related costs and other inflationary operating costs such as higher supply expenses, partially offset by higher pricing. The gross profit margin in PE Films decreased primarily due to Surface Protection lower sales and unfavorable mix associated with the customer product transitions, lower sales and unfavorable mix for products unrelated to customer product transitions, and margin erosion associated with higher resin costs that occurred before the resin index pricing plan was fully implemented. The gross profit margin in Flexible Packaging Films decreased due to lower sales volume and higher raw material costs, partially offset by favorable product mix and higher selling prices from the pass-through of higher resin costs.</w:t>
      </w:r>
    </w:p>
    <w:p>
      <w:pPr>
        <w:spacing w:after="0" w:line="5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SG&amp;A and R&amp;D expenses were 9.8% in 2021 compared with 12.3% in 2020. SG&amp;A and R&amp;D expenses were down year-over-year, while net sales increased. Decreased spending is primarily due to non-recurring corporate costs associated with the divested Personal Care Films business, lower R&amp;D spending in PE Films, lower stock-based compensation, and nonrecurring SG&amp;A expenses related to the Bright View Technologies divestiture at the end of 2020.</w:t>
      </w:r>
    </w:p>
    <w:p>
      <w:pPr>
        <w:spacing w:after="0" w:line="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$1.3 million compared to 2020 primarily due to an out-of-period adjustment of $0.9 million in connection with the original valuation of intangible assets and goodwill related to the acquisition of Futura in February 2017.</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t>During the first three months of 2020, the Company performed goodwill impairment tests and recognized a goodwill impairment charge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$13.7 million ($10.5 million after taxes), which represented the entire amount of goodwill associated with Aluminum Extrusions’ AACOA reporting unit. See Note 1 “Nature of Operations and Summary of Significant Accounting Policies” to the Consolidated Financial Statements in Item 15 for additional details.</w:t>
      </w:r>
    </w:p>
    <w:p>
      <w:pPr>
        <w:spacing w:after="0" w:line="5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for the year of 2021 was 13.8%, compared to 32.8% in 2020. The decrease in the effective tax rate for continuing operations is primarily due to the strong earnings of Terphane Ltda, which are included in Tredegar’s U.S. consolidated tax return and, the tax impact of the local statutory tax rates of Tredegar’s foreign subsidiaries being higher than the current U.S. tax rate of 21%, the benefit of tax incentives in Brazil and the release of the valuation allowance for capital loss carryforwards.</w:t>
      </w:r>
    </w:p>
    <w:p>
      <w:pPr>
        <w:spacing w:after="0" w:line="5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2021 detailed below are shown in the statements of net sales and EBITDA from ongoing operations by segment table in Note 13 “Business Segments” to the Consolidated Financial Statements in Item 15 and are included in “Asset impairments and costs associated with exit and disposal activities, net of adjustments” in the consolidated statements of income,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Q2</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Q3</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Consulting expenses for ERP feasibility study</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72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Futura intangible amortization out-of-period adjustment</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72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Vacation accrual policy change</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2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Environmental charges at Newnan, Georgia plant</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0.2</w:t>
            </w:r>
          </w:p>
        </w:tc>
      </w:tr>
      <w:tr>
        <w:trPr>
          <w:trHeight w:val="229"/>
        </w:trPr>
        <w:tc>
          <w:tcPr>
            <w:tcW w:w="7220" w:type="dxa"/>
            <w:vAlign w:val="bottom"/>
            <w:tcBorders>
              <w:bottom w:val="single" w:sz="8" w:color="auto"/>
            </w:tcBorders>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COVID-19-related expenses, net of relief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0.1</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 Films: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Vacation accrual policy change</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220" w:type="dxa"/>
            <w:vAlign w:val="bottom"/>
            <w:tcBorders>
              <w:bottom w:val="single" w:sz="8" w:color="auto"/>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0.5</w:t>
            </w:r>
          </w:p>
        </w:tc>
      </w:tr>
      <w:tr>
        <w:trPr>
          <w:trHeight w:val="248"/>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0.4</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Flexible Packaging Films: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175"/>
        </w:trPr>
        <w:tc>
          <w:tcPr>
            <w:tcW w:w="72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 non-income taxes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72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resulting from a favorable decision by Brazil’s Supreme Court regarding the calculation of such</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72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23"/>
                <w:szCs w:val="23"/>
                <w:color w:val="auto"/>
                <w:vertAlign w:val="superscript"/>
              </w:rPr>
              <w:t>2,4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722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0.1</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net of gain associated with the sale of the Lake Zurich manufacturing facility assets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0.2</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3.9</w:t>
            </w:r>
          </w:p>
        </w:tc>
      </w:tr>
      <w:tr>
        <w:trPr>
          <w:trHeight w:val="175"/>
        </w:trPr>
        <w:tc>
          <w:tcPr>
            <w:tcW w:w="72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72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7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0.5</w:t>
            </w:r>
          </w:p>
        </w:tc>
      </w:tr>
      <w:tr>
        <w:trPr>
          <w:trHeight w:val="175"/>
        </w:trPr>
        <w:tc>
          <w:tcPr>
            <w:tcW w:w="72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Stock compensation expense associated with the fair value remeasurement of awards granted at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72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the time of the 2020 Special Dividend</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1"/>
                <w:szCs w:val="21"/>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0.4</w:t>
            </w:r>
          </w:p>
        </w:tc>
      </w:tr>
      <w:tr>
        <w:trPr>
          <w:trHeight w:val="175"/>
        </w:trPr>
        <w:tc>
          <w:tcPr>
            <w:tcW w:w="72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Films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72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business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1"/>
                <w:szCs w:val="21"/>
                <w:color w:val="auto"/>
              </w:rPr>
            </w:pP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22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Vacation accrual policy change</w:t>
            </w:r>
            <w:r>
              <w:rPr>
                <w:rFonts w:ascii="Times New Roman" w:cs="Times New Roman" w:eastAsia="Times New Roman" w:hAnsi="Times New Roman"/>
                <w:sz w:val="23"/>
                <w:szCs w:val="23"/>
                <w:color w:val="auto"/>
                <w:vertAlign w:val="superscript"/>
              </w:rPr>
              <w:t>5</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7.5</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ind w:left="180" w:hanging="154"/>
        <w:spacing w:after="0" w:line="234"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consolidated statements of income.</w:t>
      </w:r>
    </w:p>
    <w:p>
      <w:pPr>
        <w:ind w:left="180" w:hanging="154"/>
        <w:spacing w:after="0" w:line="211"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consolidated statements of income.</w:t>
      </w:r>
    </w:p>
    <w:p>
      <w:pPr>
        <w:ind w:left="180" w:hanging="154"/>
        <w:spacing w:after="0" w:line="211"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"Costs of goods sold" in the consolidated statements of income.</w:t>
      </w:r>
    </w:p>
    <w:p>
      <w:pPr>
        <w:ind w:left="180" w:hanging="154"/>
        <w:spacing w:after="0" w:line="211"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9 “Other Income (Expense), net” to the consolidated financial statements in Item 15.</w:t>
      </w:r>
    </w:p>
    <w:p>
      <w:pPr>
        <w:ind w:left="180" w:hanging="154"/>
        <w:spacing w:after="0" w:line="211"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6 “Accrued Expenses” to the consolidated financial statements in Item 15.</w:t>
      </w:r>
    </w:p>
    <w:p>
      <w:pPr>
        <w:ind w:left="180" w:hanging="154"/>
        <w:spacing w:after="0"/>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“Amortization of identifiable intangibles”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8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7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at one-month LIBOR plus a credit spread: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3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73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365"/>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Operations Review</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7"/>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Aluminum Extrusions</w:t>
            </w:r>
          </w:p>
        </w:tc>
        <w:tc>
          <w:tcPr>
            <w:tcW w:w="306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1"/>
        </w:trPr>
        <w:tc>
          <w:tcPr>
            <w:tcW w:w="73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8"/>
        </w:trPr>
        <w:tc>
          <w:tcPr>
            <w:tcW w:w="172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225"/>
        </w:trPr>
        <w:tc>
          <w:tcPr>
            <w:tcW w:w="1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2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1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380" w:type="dxa"/>
            <w:vAlign w:val="bottom"/>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23"/>
        </w:trPr>
        <w:tc>
          <w:tcPr>
            <w:tcW w:w="7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174,670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637,872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539,325</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29"/>
        </w:trPr>
        <w:tc>
          <w:tcPr>
            <w:tcW w:w="73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66,800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30"/>
        </w:trPr>
        <w:tc>
          <w:tcPr>
            <w:tcW w:w="7380" w:type="dxa"/>
            <w:vAlign w:val="bottom"/>
            <w:tcBorders>
              <w:bottom w:val="single" w:sz="8" w:color="auto"/>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(17,414)</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49,386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39,676</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29"/>
        </w:trPr>
        <w:tc>
          <w:tcPr>
            <w:tcW w:w="7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23,664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Net sales in 2022 increased 18.3% versus 2021. The annual increase in net sales was primarily due to an increase in average selling prices to cover higher average aluminum raw material costs and higher operating costs, partially offset by lower sales volume. Sales volume in 2022 decreased 4.7% versus 2021, primarily due to lower shipments in the specialty and automotive segments which declined 14.3% and 4.2%, respectively. Shipments for non-residential B&amp;C in 2022 increased by 1.6% versus 2021.</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increased $10.9 million in 2022 versus 2021, primarily due to:</w:t>
      </w:r>
    </w:p>
    <w:p>
      <w:pPr>
        <w:spacing w:after="0" w:line="90" w:lineRule="exact"/>
        <w:rPr>
          <w:sz w:val="20"/>
          <w:szCs w:val="20"/>
          <w:color w:val="auto"/>
        </w:rPr>
      </w:pPr>
    </w:p>
    <w:p>
      <w:pPr>
        <w:ind w:left="660" w:right="20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pricing ($69.6 million, net of the pass-through of aluminum raw materials costs), partially offset by: lower volume ($5.6 million); higher labor and employee-related costs ($7.2 million) and lower labor productivity ($5.6 million); higher supply expenses ($15.3 million), including significant price increases in paint, chemicals, packaging and other supplies; higher freight expenses ($6.3 million); higher utility rates ($3.1 million); higher maintenance expenses ($1.4 million); and higher SG&amp;A ($3.0 million); and</w:t>
      </w:r>
    </w:p>
    <w:p>
      <w:pPr>
        <w:spacing w:after="0" w:line="5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last in, first out (“LIFO”) method resulted in a charge of $2.9 million in 2022 versus a benefit of $0.6 million in 2021. In addition, inventories accounted for under the first in, first out (“FIFO”) method resulted in no charge or benefit in 2022 versus a benefit of $6.7 million in 2021, which related to the timing of the flow through of aluminum raw material costs passed through to customers previously acquired at higher prices in a quickly changing commodity pricing environment. Also, the Company recorded unfavorable net out-of-period adjustments totaling $0.6 million for charges related to inventory, accrued labor costs and accounts payable in 2022.</w:t>
      </w:r>
    </w:p>
    <w:p>
      <w:pPr>
        <w:spacing w:after="0" w:line="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Aluminum Extrusions has secured supply sources to meet expected needs for aluminum raw materials in 2023. See discussion of quantitative and qualitative disclosures about market risk in Item 7a in this Form 10-K for additional information on aluminum price trends.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are projected to be $26 million in 2023, include $11 million for a new ERP/MES, $6 million for infrastructure upgrades at the facilities located in Niles, Michigan, Carthage, Tennessee and Newnan, Georgia, and $2 million for other strategic projects. The ERP/MES project commenced in 2022 and is expected to cost a total of approximately $30 million over a two-year time span. In addition to strategic projects, approximately $7 million will be required to support continuity of current operations. Depreciation expense is projected to be $15 million in 2023. Amortization expense is projected to be $2 million in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32,873</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6"/>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97,571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118,920</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11,949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7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6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Net sales in 2022 decreased 18% versus 2021, primarily due to lower volume in Surface Protection and overwrap films. Sales volume and net sales declined 15% and 23%, respectively, in Surface Protection. Sales volume and net sales declined 19% and 4%, respectively, in overwrap films, with volume declines partially offset by the pricing impact associated with the pass-through of resin costs.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2022 decreased $15.7 million versus 2021 primarily due to:</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$14.6 million decrease from Surface Protection as a result of:</w:t>
      </w:r>
    </w:p>
    <w:p>
      <w:pPr>
        <w:spacing w:after="0" w:line="171" w:lineRule="exact"/>
        <w:rPr>
          <w:rFonts w:ascii="Times New Roman" w:cs="Times New Roman" w:eastAsia="Times New Roman" w:hAnsi="Times New Roman"/>
          <w:sz w:val="18"/>
          <w:szCs w:val="18"/>
          <w:color w:val="auto"/>
        </w:rPr>
      </w:pPr>
    </w:p>
    <w:p>
      <w:pPr>
        <w:jc w:val="both"/>
        <w:ind w:left="980" w:right="340" w:hanging="324"/>
        <w:spacing w:after="0" w:line="266"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for: non-transitioning products associated with a market slowdown and customer inventory corrections ($7.3 million), competitive pricing ($5.5 million), lower productivity ($0.6 million) and previously disclosed customer product transitions ($6.6 million), partially offset by lower SG&amp;A and research and development expenses ($1.4 million);</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(a benefit of $0.5 million in 2022 versus a charge of $2.2 million in 2021);</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gain of $0.8 million in 2022 versus a loss of $0.2 million in 2021;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charge of $0.1 million in 2022 versus a charge of $0.6 million in 2021.</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decrease from overwrap films primarily due to lower volume ($1.9 million). The pass-through lag associated with resin costs resulted in a benefit of $0.4 million in 2022 versus a charge of $1.3 million in 2021. In addition, inventories accounted for under the LIFO method resulted in a charge of $0.4 million in 2022 versus a benefit of $0.5 million in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Product Transitions and Other Factors in Surface Protection</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Surface Protection component of PE Films supports manufacturers of optical and other specialty substrates used in flat panel display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films are primarily used by customers to protect components of displays in the manufacturing and transportation processes and then discarded.</w:t>
      </w:r>
    </w:p>
    <w:p>
      <w:pPr>
        <w:spacing w:after="0" w:line="8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previously reported the risk that a portion of its film products used in surface protection applications would be made obsolete by customer product transitions, which principally relate to one customer, to less costly alternative processes or materials. The Company estimates that these transitions, which were complete as of the second quarter of 2022, resulted in a total decline of $7 million in pre-tax income from continuing operations as reported under GAAP and EBITDA from ongoing operations during 2022 versus 2021.</w:t>
      </w:r>
    </w:p>
    <w:p>
      <w:pPr>
        <w:spacing w:after="0" w:line="4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Surface Protection business is continuing to experience competitive pricing pressures, unrelated to the customer product transitions, that adversely impacted pre-tax income from continuing operations as reported under GAAP and EBITDA from ongoing operations by approximately $5.5 million in 2022 versus 2021. To offset the adverse impact of the customer transitions and pricing pressures, the Company is aggressively pursuing sales of new surface protection products, applications and customers and driving production efficiencies and cost savings.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are projected to be $4 million in 2023, including: $2 million for productivity projects and $2 million for capital expenditures required to support continuity of current operations. Depreciation expense is projected to be $7 million in 2023. There is no amortization expense for PE Films.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Flexible Packaging Films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Year Ended</w:t>
            </w:r>
          </w:p>
        </w:tc>
        <w:tc>
          <w:tcPr>
            <w:tcW w:w="1620" w:type="dxa"/>
            <w:vAlign w:val="bottom"/>
            <w:vMerge w:val="restart"/>
          </w:tcPr>
          <w:p>
            <w:pPr>
              <w:jc w:val="center"/>
              <w:ind w:left="11"/>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03"/>
        </w:trPr>
        <w:tc>
          <w:tcPr>
            <w:tcW w:w="7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7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1620" w:type="dxa"/>
            <w:vAlign w:val="bottom"/>
          </w:tcPr>
          <w:p>
            <w:pPr>
              <w:jc w:val="center"/>
              <w:ind w:left="31"/>
              <w:spacing w:after="0" w:line="154" w:lineRule="exact"/>
              <w:rPr>
                <w:sz w:val="20"/>
                <w:szCs w:val="20"/>
                <w:color w:val="auto"/>
              </w:rPr>
            </w:pPr>
            <w:r>
              <w:rPr>
                <w:rFonts w:ascii="Times New Roman" w:cs="Times New Roman" w:eastAsia="Times New Roman" w:hAnsi="Times New Roman"/>
                <w:sz w:val="17"/>
                <w:szCs w:val="17"/>
                <w:color w:val="auto"/>
              </w:rPr>
              <w:t>(Unfavorable)</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106,685</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168,139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139,978</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27,452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25,008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8,151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Net sales in 2022 increased 20.1% compared to 2021, primarily due to higher selling prices from the pass-through of higher resin costs, favorable product mix and higher sales volume.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2022 decreased by $4.2 million versus 2021, primarily due to:</w:t>
      </w:r>
    </w:p>
    <w:p>
      <w:pPr>
        <w:spacing w:after="0" w:line="104" w:lineRule="exact"/>
        <w:rPr>
          <w:sz w:val="20"/>
          <w:szCs w:val="20"/>
          <w:color w:val="auto"/>
        </w:rPr>
      </w:pPr>
    </w:p>
    <w:p>
      <w:pPr>
        <w:ind w:left="660" w:right="2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raw material costs ($17.9 million), higher fixed costs ($1.5 million), and higher SG&amp;A expenses ($1.4 million), offset by higher selling prices from the pass-through of higher resin costs ($18.3 million), higher sales volume ($1.1 million), favorable product mix ($1.6 million), and lower variable costs ($0.1 million);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($3.7 million) in 2022 versus 2021;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($0.2 million) in 2022 compared to foreign currency transaction gains ($0.7 million) in 2021.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are projected to be $8 million in 2023, including $2 million for new capacity for value-added products and productivity projects and $6 million for capital expenditures required to support continuity of current operations. Depreciation expense is projected to be $3 million in 2023. Amortization expense is projected to be $0.1 million in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Expenses, Interest and Other</w:t>
      </w:r>
    </w:p>
    <w:p>
      <w:pPr>
        <w:spacing w:after="0" w:line="108"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Corporate expenses, net in 2022 decreased by $0.6 million compared 2021, primarily due to lower professional fees associated with business development activities ($1.1 million), employee-related compensation ($0.9 million) and stock-based compensation ($0.6 million), partially offset by increased professional fees associated with the internal and external audits of the Company ($2.2 million).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was $5.0 million in 2022 in comparison to $3.4 million in 2021, primarily due to higher interest rates.</w:t>
      </w:r>
    </w:p>
    <w:p>
      <w:pPr>
        <w:spacing w:after="0" w:line="90"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Pension expense under GAAP was $14.4 million in 2022, an unfavorable change of $0.5 million from 2021. In February 2022, Tredegar announced the initiation of a process to terminate and settle its frozen defined benefit pension plan. In connection therewith, the Company borrowed funds under its revolving credit agreement and made the Special Contribution to reduce its underfunding and as part of a program within the pension plan to hedge or fix the expected future contributions that will be needed by the Company through the settlement process. The settlement process has been delayed because of longer-than-expected review times with the IRS. The Company does not expect issues with receiving approval from the IRS and is hopeful that the entire process will be completed by the end of 2023. The Company realized income tax benefits on the Special Contribution of $11 million in 2022. Administrative costs for the pension plan through the settlement process are estimated at $4 to $5 million.</w:t>
      </w:r>
    </w:p>
    <w:p>
      <w:pPr>
        <w:spacing w:after="0" w:line="67"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Tredegar’s frozen defined benefit pension plan was underfunded on a GAAP basis (also estimated settlement basis) by $28 million at December 31, 2022, comprised of investments at fair value of $218 million and a PBO of $246 million. The ultimate underfunded amount at settlement may differ from amounts existing at the end of 2022, depending on changes in market factors, including for buyers of pension obligations at the time of settlement.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Prior to the Special Contribution, GAAP pension expense was a reasonable proxy for the Company’s required minimum cash contribution to the pension plan. The Company expects there will be no required minimum cash contributions until final settlement. Pension expense under GAAP is projected to be approximately $14 million in 2023,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(“Credit EBITDA”).</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below.</w:t>
      </w:r>
    </w:p>
    <w:p>
      <w:pPr>
        <w:spacing w:after="0" w:line="10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continuously focuses on working capital management. Measures such as days sales outstanding (“DSO”), days inventory outstanding (“DIO”) and days payables outstanding (“DPO”) are used to evaluate changes in working capital. Changes in operating assets and liabilities from continuing operations from December 31, 2021 to December 31, 2022 are summarized below. Cash flows for discontinued operations have not been separately disclosed in the consolidated statements of cash flows.</w:t>
      </w:r>
    </w:p>
    <w:p>
      <w:pPr>
        <w:spacing w:after="0" w:line="45"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decreased $18.8 million or 18.2%.</w:t>
      </w:r>
    </w:p>
    <w:p>
      <w:pPr>
        <w:spacing w:after="0" w:line="103" w:lineRule="exact"/>
        <w:rPr>
          <w:rFonts w:ascii="Times New Roman" w:cs="Times New Roman" w:eastAsia="Times New Roman" w:hAnsi="Times New Roman"/>
          <w:sz w:val="18"/>
          <w:szCs w:val="18"/>
          <w:color w:val="auto"/>
        </w:rPr>
      </w:pPr>
    </w:p>
    <w:p>
      <w:pPr>
        <w:ind w:left="740" w:right="60" w:hanging="327"/>
        <w:spacing w:after="0" w:line="261"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decreased by $10.4 million primarily due to lower sales volume and the pass-through of lower metal costs, partially offset by an increase in average selling prices to cover higher operating costs in the fourth quarter of 2022 versus 2021. DSO (computed using trailing 12 months net sales and a rolling 12-month average of accounts and other receivables balances) was approximately 48.7 days in 2022 and 47.6 days in 2021.</w:t>
      </w:r>
    </w:p>
    <w:p>
      <w:pPr>
        <w:spacing w:after="0" w:line="58" w:lineRule="exact"/>
        <w:rPr>
          <w:rFonts w:ascii="Times New Roman" w:cs="Times New Roman" w:eastAsia="Times New Roman" w:hAnsi="Times New Roman"/>
          <w:sz w:val="18"/>
          <w:szCs w:val="18"/>
          <w:color w:val="auto"/>
        </w:rPr>
      </w:pPr>
    </w:p>
    <w:p>
      <w:pPr>
        <w:ind w:left="740" w:right="380" w:hanging="327"/>
        <w:spacing w:after="0" w:line="266"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decreased by $6.5 million primarily due to lower sales volume in both Surface Protection and overwrap films, partially offset by increased overwrap films sales as a result of the pricing impact associated with the pass-through of higher resin costs. DSO was approximately 30.3 days in 2022 and 28.5 days in 2021.</w:t>
      </w:r>
    </w:p>
    <w:p>
      <w:pPr>
        <w:spacing w:after="0" w:line="4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Flexible Packaging Films decreased by $1.7 million primarily due to lower sales volume in the fourth quarter of 2022 versus 2021. DSO was approximately 41.1 days in 2022 and 40.0 days in 2021.</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$39.2 million or 44.3%.</w:t>
      </w:r>
    </w:p>
    <w:p>
      <w:pPr>
        <w:spacing w:after="0" w:line="103" w:lineRule="exact"/>
        <w:rPr>
          <w:rFonts w:ascii="Times New Roman" w:cs="Times New Roman" w:eastAsia="Times New Roman" w:hAnsi="Times New Roman"/>
          <w:sz w:val="18"/>
          <w:szCs w:val="18"/>
          <w:color w:val="auto"/>
        </w:rPr>
      </w:pPr>
    </w:p>
    <w:p>
      <w:pPr>
        <w:ind w:left="740" w:right="200" w:hanging="327"/>
        <w:spacing w:after="0" w:line="261"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by $16.8 million primarily due to increased raw material levels due to lower than anticipated customer orders, order cancellations as customers report high inventory levels, and increased aluminum supplier costs. DIO (computed using trailing 12 months costs of goods sold calculated on a FIFO basis and a rolling 12-month average of inventory balances calculated on the FIFO basis) was approximately 53.6 days in 2022 and 41.4 days in 2021.</w:t>
      </w:r>
    </w:p>
    <w:p>
      <w:pPr>
        <w:spacing w:after="0" w:line="44" w:lineRule="exact"/>
        <w:rPr>
          <w:rFonts w:ascii="Times New Roman" w:cs="Times New Roman" w:eastAsia="Times New Roman" w:hAnsi="Times New Roman"/>
          <w:sz w:val="18"/>
          <w:szCs w:val="18"/>
          <w:color w:val="auto"/>
        </w:rPr>
      </w:pPr>
    </w:p>
    <w:p>
      <w:pPr>
        <w:ind w:left="740" w:right="360" w:hanging="327"/>
        <w:spacing w:after="0" w:line="282"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has remained consistent with prior year. The DIO of approximately 62.8 days in 2021 increased to 66.8 days in 2022 primarily due to the weak market demand for Surface Protection’s products.</w:t>
      </w:r>
    </w:p>
    <w:p>
      <w:pPr>
        <w:spacing w:after="0" w:line="40" w:lineRule="exact"/>
        <w:rPr>
          <w:rFonts w:ascii="Times New Roman" w:cs="Times New Roman" w:eastAsia="Times New Roman" w:hAnsi="Times New Roman"/>
          <w:sz w:val="18"/>
          <w:szCs w:val="18"/>
          <w:color w:val="auto"/>
        </w:rPr>
      </w:pPr>
    </w:p>
    <w:p>
      <w:pPr>
        <w:ind w:left="740" w:right="20" w:hanging="327"/>
        <w:spacing w:after="0" w:line="266"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increased by $22.5 million primarily due to the impact of higher average resin prices on raw materials, higher planned finished good levels and the impact from the change in the U.S. dollar value of currencies related to operations outside of the U.S. DIO was approximately 108.0 days in 2022 and 93.1 days in 2021.</w:t>
      </w:r>
    </w:p>
    <w:p>
      <w:pPr>
        <w:spacing w:after="0" w:line="54" w:lineRule="exact"/>
        <w:rPr>
          <w:rFonts w:ascii="Times New Roman" w:cs="Times New Roman" w:eastAsia="Times New Roman" w:hAnsi="Times New Roman"/>
          <w:sz w:val="18"/>
          <w:szCs w:val="18"/>
          <w:color w:val="auto"/>
        </w:rPr>
      </w:pPr>
    </w:p>
    <w:p>
      <w:pPr>
        <w:ind w:left="260" w:right="680" w:hanging="252"/>
        <w:spacing w:after="0" w:line="28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increased by $16.0 million or 9.4% primarily due to capital expenditures of $40.1 million, partially offset by depreciation expense of $23.9 million.</w:t>
      </w:r>
    </w:p>
    <w:p>
      <w:pPr>
        <w:spacing w:after="0" w:line="2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by $2.5 million or 17.7% primarily due to amortization expense.</w:t>
      </w:r>
    </w:p>
    <w:p>
      <w:pPr>
        <w:spacing w:after="0" w:line="103" w:lineRule="exact"/>
        <w:rPr>
          <w:rFonts w:ascii="Times New Roman" w:cs="Times New Roman" w:eastAsia="Times New Roman" w:hAnsi="Times New Roman"/>
          <w:sz w:val="18"/>
          <w:szCs w:val="18"/>
          <w:color w:val="auto"/>
        </w:rPr>
      </w:pPr>
    </w:p>
    <w:p>
      <w:pPr>
        <w:ind w:left="260" w:hanging="252"/>
        <w:spacing w:after="0" w:line="260" w:lineRule="auto"/>
        <w:tabs>
          <w:tab w:leader="none" w:pos="2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Deferred income tax assets decreased $1.8 million or 11.6% primarily due to changes in other comprehensive income and the projected utilization for foreign tax credits, partially offset by the change in deferred tax liability as a result of the implementation of new U.S. tax regulations associated with foreign tax credits published by the U.S. Treasury and IRS on January 4, 2022. See Note 12 “Income Taxes” to the Consolidated Financial Statements in Item 15 for additional information.</w:t>
      </w:r>
    </w:p>
    <w:p>
      <w:pPr>
        <w:spacing w:after="0" w:line="60"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by $8.8 million or 7.1%.</w:t>
      </w:r>
    </w:p>
    <w:p>
      <w:pPr>
        <w:spacing w:after="0" w:line="90" w:lineRule="exact"/>
        <w:rPr>
          <w:rFonts w:ascii="Times New Roman" w:cs="Times New Roman" w:eastAsia="Times New Roman" w:hAnsi="Times New Roman"/>
          <w:sz w:val="18"/>
          <w:szCs w:val="18"/>
          <w:color w:val="auto"/>
        </w:rPr>
      </w:pPr>
    </w:p>
    <w:p>
      <w:pPr>
        <w:ind w:left="740" w:right="320" w:hanging="327"/>
        <w:spacing w:after="0" w:line="261"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decreased by $11.3 million, primarily due to lower raw material purchases due to higher than anticipated on-hand inventory quantities, partially offset by favorable payment terms with certain vendors. DPO (computed using trailing 12 months costs of goods sold calculated on a FIFO basis and a rolling 12-month average of accounts payable balances) was approximately 64.2 days in 2022 and 60.1 days in 2021.</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740" w:right="280" w:hanging="327"/>
        <w:spacing w:after="0" w:line="282" w:lineRule="auto"/>
        <w:tabs>
          <w:tab w:leader="none" w:pos="7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decreased by $3.7 million primarily due to lower raw material purchases. DPO was approximately 51.0 days in 2022 and 44.0 days in 2021.</w:t>
      </w:r>
    </w:p>
    <w:p>
      <w:pPr>
        <w:spacing w:after="0" w:line="26" w:lineRule="exact"/>
        <w:rPr>
          <w:rFonts w:ascii="Times New Roman" w:cs="Times New Roman" w:eastAsia="Times New Roman" w:hAnsi="Times New Roman"/>
          <w:sz w:val="18"/>
          <w:szCs w:val="18"/>
          <w:color w:val="auto"/>
        </w:rPr>
      </w:pPr>
    </w:p>
    <w:p>
      <w:pPr>
        <w:ind w:left="740" w:right="120" w:hanging="327"/>
        <w:spacing w:after="0" w:line="282" w:lineRule="auto"/>
        <w:tabs>
          <w:tab w:leader="none" w:pos="7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increased by $5.6 million, primarily due to higher resin costs related to raw material purchases in 2022 and favorable payment terms with certain vendors. DPO was approximately 72.4 days in 2022 and 68.2 days in 2021.</w:t>
      </w:r>
    </w:p>
    <w:p>
      <w:pPr>
        <w:spacing w:after="0" w:line="40"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$20.8 million in 2022 compared to net cash provided by operating activities of $70.6 million in 2021. The change in operating activities is primarily due to the Special Contribution ($50 million), higher income taxes paid during 2022 and higher working capital due to factors discussed earlier in this section relating to accounts and other receivables, inventories and accounts payable.</w:t>
      </w:r>
    </w:p>
    <w:p>
      <w:pPr>
        <w:spacing w:after="0" w:line="5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$35.5 million in 2022 compared to net cash provided by investing activities of $24.5 million in 2021. The change in investing activities is primarily due to higher capital expenditure spending ($9.5 million), cash proceeds received in 2021 in connection with the sale of the Company’s investment in kaléo ($47.1 million) and the sale of the Lake Zurich manufacturing facility assets in 2021 ($4.7 million).</w:t>
      </w:r>
    </w:p>
    <w:p>
      <w:pPr>
        <w:spacing w:after="0" w:line="41"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$45.4 million in 2022 compared to net cash used in financing activities of $76.8 million in 2021. The change in financing activities is primarily due to higher net borrowings ($125.0 million) under the Credit Agreement (as defined below) to fund the $50 million Special Contribution to the pension plan and working capital, higher deferred financing costs ($1.2 million) associated with the refinancing of the Credit Agreement in June 2022, repurchases of employee common stock for tax withholdings of $0.4 million in 2022, and $0.9 million of proceeds from the exercise of stock options in the first nine months of 2021.</w:t>
      </w:r>
    </w:p>
    <w:p>
      <w:pPr>
        <w:spacing w:after="0" w:line="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debt repayments and dividend requirements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2022, Tredegar had cash and cash equivalents of $19.2 million, including funds held in locations outside the U.S. of $10.3 million.</w:t>
      </w:r>
    </w:p>
    <w:p>
      <w:pPr>
        <w:spacing w:after="0" w:line="9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(“Credit Agreement”) that replaced its existing $375 million five-year, secured revolving credit facility that was due to expire on June 28, 2024. The Credit Agreement is a five-year, revolving, secured credit facility that permits aggregate borrowings of $375 million and matures on June 29, 2027.</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capitalization and indebtedness as defined under the Credit Agreement as of December 31, 2022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60" w:type="dxa"/>
            <w:vAlign w:val="bottom"/>
            <w:tcBorders>
              <w:top w:val="single" w:sz="8" w:color="auto"/>
            </w:tcBorders>
          </w:tcPr>
          <w:p>
            <w:pPr>
              <w:spacing w:after="0"/>
              <w:rPr>
                <w:sz w:val="21"/>
                <w:szCs w:val="21"/>
                <w:color w:val="auto"/>
              </w:rPr>
            </w:pPr>
          </w:p>
        </w:tc>
        <w:tc>
          <w:tcPr>
            <w:tcW w:w="6900" w:type="dxa"/>
            <w:vAlign w:val="bottom"/>
            <w:tcBorders>
              <w:top w:val="single" w:sz="8" w:color="auto"/>
            </w:tcBorders>
          </w:tcPr>
          <w:p>
            <w:pPr>
              <w:jc w:val="center"/>
              <w:ind w:right="2290"/>
              <w:spacing w:after="0"/>
              <w:rPr>
                <w:sz w:val="20"/>
                <w:szCs w:val="20"/>
                <w:color w:val="auto"/>
              </w:rPr>
            </w:pPr>
            <w:r>
              <w:rPr>
                <w:rFonts w:ascii="Times New Roman" w:cs="Times New Roman" w:eastAsia="Times New Roman" w:hAnsi="Times New Roman"/>
                <w:sz w:val="18"/>
                <w:szCs w:val="18"/>
                <w:color w:val="auto"/>
                <w:w w:val="99"/>
              </w:rPr>
              <w:t>Net Capitalization and Indebtedness as of December 31, 2022</w:t>
            </w:r>
          </w:p>
        </w:tc>
        <w:tc>
          <w:tcPr>
            <w:tcW w:w="980" w:type="dxa"/>
            <w:vAlign w:val="bottom"/>
            <w:tcBorders>
              <w:top w:val="single" w:sz="8" w:color="auto"/>
            </w:tcBorders>
          </w:tcPr>
          <w:p>
            <w:pPr>
              <w:spacing w:after="0"/>
              <w:rPr>
                <w:sz w:val="21"/>
                <w:szCs w:val="21"/>
                <w:color w:val="auto"/>
              </w:rPr>
            </w:pPr>
          </w:p>
        </w:tc>
      </w:tr>
      <w:tr>
        <w:trPr>
          <w:trHeight w:val="234"/>
        </w:trPr>
        <w:tc>
          <w:tcPr>
            <w:tcW w:w="33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jc w:val="center"/>
              <w:ind w:right="229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Credit Agreement</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2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net of cash and cash equivalents</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117,768</w:t>
            </w:r>
          </w:p>
        </w:tc>
      </w:tr>
      <w:tr>
        <w:trPr>
          <w:trHeight w:val="230"/>
        </w:trPr>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201,762</w:t>
            </w: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capitalization</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319,530</w:t>
            </w: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Indebtedness as defined in Credit Agreement:</w:t>
            </w:r>
          </w:p>
        </w:tc>
        <w:tc>
          <w:tcPr>
            <w:tcW w:w="6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30"/>
        </w:trPr>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Indebtedness</w:t>
            </w:r>
          </w:p>
        </w:tc>
        <w:tc>
          <w:tcPr>
            <w:tcW w:w="6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851"/>
        </w:trPr>
        <w:tc>
          <w:tcPr>
            <w:tcW w:w="3360" w:type="dxa"/>
            <w:vAlign w:val="bottom"/>
          </w:tcPr>
          <w:p>
            <w:pPr>
              <w:spacing w:after="0"/>
              <w:rPr>
                <w:sz w:val="24"/>
                <w:szCs w:val="24"/>
                <w:color w:val="auto"/>
              </w:rPr>
            </w:pPr>
          </w:p>
        </w:tc>
        <w:tc>
          <w:tcPr>
            <w:tcW w:w="690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w w:val="99"/>
              </w:rPr>
              <w:t>23</w:t>
            </w:r>
          </w:p>
        </w:tc>
        <w:tc>
          <w:tcPr>
            <w:tcW w:w="98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6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Secured Overnight Financing Rate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5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At December 31, 2022, $137.0 million of the outstanding debt was principally priced at an interest rate equal to the Adjusted Term SOFR Rate plus the applicable credit spread of 162.5 basis points. Prior to the Credit Agreement, the interest rate on borrowings was based on LIBOR plus an applicable credit spread.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103" w:lineRule="exact"/>
        <w:rPr>
          <w:rFonts w:ascii="Times New Roman" w:cs="Times New Roman" w:eastAsia="Times New Roman" w:hAnsi="Times New Roman"/>
          <w:sz w:val="18"/>
          <w:szCs w:val="18"/>
          <w:color w:val="auto"/>
        </w:rPr>
      </w:pPr>
    </w:p>
    <w:p>
      <w:pPr>
        <w:ind w:left="820" w:right="140" w:hanging="407"/>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90" w:lineRule="exact"/>
        <w:rPr>
          <w:sz w:val="20"/>
          <w:szCs w:val="20"/>
          <w:color w:val="auto"/>
        </w:rPr>
      </w:pPr>
    </w:p>
    <w:p>
      <w:pPr>
        <w:ind w:left="820" w:right="44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Credit EBITDA; and</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Credit EBITDA to interest expense.</w:t>
      </w:r>
    </w:p>
    <w:p>
      <w:pPr>
        <w:spacing w:after="0" w:line="104" w:lineRule="exact"/>
        <w:rPr>
          <w:sz w:val="20"/>
          <w:szCs w:val="20"/>
          <w:color w:val="auto"/>
        </w:rPr>
      </w:pPr>
    </w:p>
    <w:p>
      <w:pPr>
        <w:ind w:right="60" w:firstLine="486"/>
        <w:spacing w:after="0" w:line="289" w:lineRule="auto"/>
        <w:rPr>
          <w:sz w:val="20"/>
          <w:szCs w:val="20"/>
          <w:color w:val="auto"/>
        </w:rPr>
      </w:pPr>
      <w:r>
        <w:rPr>
          <w:rFonts w:ascii="Times New Roman" w:cs="Times New Roman" w:eastAsia="Times New Roman" w:hAnsi="Times New Roman"/>
          <w:sz w:val="17"/>
          <w:szCs w:val="17"/>
          <w:color w:val="auto"/>
        </w:rPr>
        <w:t>The Credit Agreement is secured by substantially all assets of the Company and its domestic subsidiaries, including equity in certain material first-tier foreign subsidiaries. At December 31, 2022, based upon the most restrictive covenant within the Credit Agreement, available credit under the Credit Agreement was approximately $201 million. Total debt outstanding was $137.0 million and $73.0 million as of December 31, 2022 and 2021, respectively.</w:t>
      </w:r>
    </w:p>
    <w:p>
      <w:pPr>
        <w:spacing w:after="0" w:line="23"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Credit EBITDA is not intended to represent net income (loss) or cash flow from operations as defined by GAAP and should not be considered as an alternative to either net income (loss) or to cash flow. The computations of Credit EBITDA, the Total Net Leverage Ratio and Interest Coverage Ratio as defined in the Credit Agreement are presented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center"/>
        <w:ind w:right="2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0628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7145"/>
                    </a:xfrm>
                    <a:prstGeom prst="rect">
                      <a:avLst/>
                    </a:prstGeom>
                    <a:noFill/>
                  </pic:spPr>
                </pic:pic>
              </a:graphicData>
            </a:graphic>
          </wp:anchor>
        </w:drawing>
        <w:t>Computations of Credit EBITDA, Total Net Leverage Ratio and Interest Coverage Ratio (in each case, as Defined in the Credit Agreement) Along with Related Primary Restrictive Covenants as of and for the Twelve Months Ended December 31, 2022</w:t>
      </w:r>
    </w:p>
    <w:tbl>
      <w:tblPr>
        <w:tblLayout w:type="fixed"/>
        <w:tblInd w:w="0" w:type="dxa"/>
        <w:tblCellMar>
          <w:top w:w="0" w:type="dxa"/>
          <w:left w:w="0" w:type="dxa"/>
          <w:bottom w:w="0" w:type="dxa"/>
          <w:right w:w="0" w:type="dxa"/>
        </w:tblCellMar>
      </w:tblPr>
      <w:tr>
        <w:trPr>
          <w:trHeight w:val="225"/>
        </w:trPr>
        <w:tc>
          <w:tcPr>
            <w:tcW w:w="10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December 31, 2022 (in thousands):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30"/>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r>
      <w:tr>
        <w:trPr>
          <w:trHeight w:val="229"/>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29"/>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30"/>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26,403</w:t>
            </w:r>
          </w:p>
        </w:tc>
      </w:tr>
      <w:tr>
        <w:trPr>
          <w:trHeight w:val="175"/>
        </w:trPr>
        <w:tc>
          <w:tcPr>
            <w:tcW w:w="100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6"/>
        </w:trPr>
        <w:tc>
          <w:tcPr>
            <w:tcW w:w="100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(cash-related</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of $5,898)</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r>
      <w:tr>
        <w:trPr>
          <w:trHeight w:val="230"/>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9"/>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76"/>
        </w:trPr>
        <w:tc>
          <w:tcPr>
            <w:tcW w:w="1004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 classified as</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unusual, extraordinary or which are related to plant shutdowns, asset impairments and/or restructurings</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00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10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r>
      <w:tr>
        <w:trPr>
          <w:trHeight w:val="230"/>
        </w:trPr>
        <w:tc>
          <w:tcPr>
            <w:tcW w:w="10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84,448</w:t>
            </w:r>
          </w:p>
        </w:tc>
      </w:tr>
      <w:tr>
        <w:trPr>
          <w:trHeight w:val="230"/>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Computations of leverage and interest coverage ratios as defined in Credit Agreement at December 31, 2022:</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Leverage Ratio</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1.39x</w:t>
            </w:r>
          </w:p>
        </w:tc>
      </w:tr>
      <w:tr>
        <w:trPr>
          <w:trHeight w:val="230"/>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Coverage Ratio</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16.92x</w:t>
            </w:r>
          </w:p>
        </w:tc>
      </w:tr>
      <w:tr>
        <w:trPr>
          <w:trHeight w:val="229"/>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Most restrictive covenants as defined in Credit Agreement:</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100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5"/>
        </w:trPr>
        <w:tc>
          <w:tcPr>
            <w:tcW w:w="100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Ratio is equal to or less than 2.00x, and otherwise restrictions on payments for dividends and stock repurchases for the term of the</w:t>
            </w: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Agreement at $75 million</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Total Net Leverage Ratio permitted</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4.00x</w:t>
            </w:r>
          </w:p>
        </w:tc>
      </w:tr>
      <w:tr>
        <w:trPr>
          <w:trHeight w:val="236"/>
        </w:trPr>
        <w:tc>
          <w:tcPr>
            <w:tcW w:w="10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Interest Coverage Ratio permitted</w:t>
            </w: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3.00x</w:t>
            </w:r>
          </w:p>
        </w:tc>
      </w:tr>
    </w:tbl>
    <w:p>
      <w:pPr>
        <w:spacing w:after="0" w:line="15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was in compliance with all of its debt covenants as of December 31, 2022.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Cash Requirements for Known Contractual and Other Obligations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material cash requirements from known contractual and other obligations as of December 31, 2022 were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and interest payments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outstanding debt of $137.0 million with contractual payments due in June 2027. Estimated future interest payments associated with outstanding debt total $37.7 million, with $8.4 million payable within the next 12 months.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obligations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February 2022, Tredegar announced the initiation of a process to terminate and settle its frozen defined benefit pension plan, which could take up to 24 months to complete. In connection therewith, on February 9, 2022, the Company borrowed funds under its revolving credit agreement and contributed a $50 million Special Contribution to the pension plan to reduce its underfunding and as part of a program within the pension plan to hedge or fix the expected future contributions that will be needed by the Company through the settlement process. The Company estimates that, with the Special Contribution, there will be no required minimum contributions to the pension plan until final settlement. Tredegar expects that the final settlement funding will be approximately $28 million but may differ from this expectation based on changes in market factors, including from buyers of pension obligations at the time of settlement.</w:t>
      </w:r>
    </w:p>
    <w:p>
      <w:pPr>
        <w:spacing w:after="0" w:line="6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The plan was designed to restore all or a part of the pension benefits that would have been payable to designated participants from the principal pension plans if it were not for limitations imposed by income tax regulations. The projected benefit obligation relating to this unfunded plan was $1.7 million, of which the Company expects to pay $0.2 million in the next 12 months.</w:t>
      </w:r>
    </w:p>
    <w:p>
      <w:pPr>
        <w:spacing w:after="0" w:line="45"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In addition to providing pension benefits, the Company provides postretirement life insurance and health care benefits for certain groups of employees. As of December 31, 2022, the aggregate benefit obligation for the Company’s other post retirement plans was $5.7 million, of which the Company expects to pay $0.5 million in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commitments</w:t>
      </w:r>
    </w:p>
    <w:p>
      <w:pPr>
        <w:spacing w:after="0" w:line="106"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Projected Capital Expenditures and Depreciation &amp; Amortization</w:t>
      </w:r>
      <w:r>
        <w:rPr>
          <w:rFonts w:ascii="Times New Roman" w:cs="Times New Roman" w:eastAsia="Times New Roman" w:hAnsi="Times New Roman"/>
          <w:sz w:val="18"/>
          <w:szCs w:val="18"/>
          <w:color w:val="auto"/>
        </w:rPr>
        <w:t>” within “</w:t>
      </w:r>
      <w:r>
        <w:rPr>
          <w:rFonts w:ascii="Times New Roman" w:cs="Times New Roman" w:eastAsia="Times New Roman" w:hAnsi="Times New Roman"/>
          <w:sz w:val="18"/>
          <w:szCs w:val="18"/>
          <w:i w:val="1"/>
          <w:iCs w:val="1"/>
          <w:color w:val="auto"/>
        </w:rPr>
        <w:t>Segment Operations Overview</w:t>
      </w:r>
      <w:r>
        <w:rPr>
          <w:rFonts w:ascii="Times New Roman" w:cs="Times New Roman" w:eastAsia="Times New Roman" w:hAnsi="Times New Roman"/>
          <w:sz w:val="18"/>
          <w:szCs w:val="18"/>
          <w:color w:val="auto"/>
        </w:rPr>
        <w:t>” above in this Item 7 for discussion of the Company’s planned investment in capital expenditures in 2023, of which $13.3 million contractual commitments that existed as of December 31,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enters into various operating leases primarily for real estate, office equipment and vehicles. See Note 4 “Leases” to the Consolidated Financial Statements in Item 15 for additional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2022, unrecognized tax benefits on uncertain tax positions were $0.6 million. Tax payments resulting from the successful challenge by the taxing authority on uncertain tax positions taken by Tredegar would possibly result in the payment of estimated interest and penalties of $0.1 million if tax payments were made as a result of a successful challenge by the taxing authority on uncertain tax positions. Due to uncertainties in the timing of potential tax audits, the timing of the resolution of these positions is uncertain. Therefore, the Company is unable to make a reasonably reliable estimate of the timing of payments beyond 12 months. See Note 12 “Income Taxes” to the Consolidated Financial Statements in Item 15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Company has no material off-balance sheet arrangements that have had or are reasonably likely to have a material current or future effect on its financial condition, changes in financial condition, revenues or expenses, results of operations, liquidity, capital expenditures or capital resources.</w:t>
      </w:r>
    </w:p>
    <w:p>
      <w:pPr>
        <w:spacing w:after="0" w:line="27"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third parties in connection with the sale of assets or businesses in which it agrees to indemnify the buyers or third parties involved in the transaction, or the sellers or third parties involved in the transaction agree to indemnify Tredegar, for certain liabilities or risks related to the assets or business. Also, in the ordinary course of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Further, any indemnification payments may be limited or barred by a monetary cap, a time limitation, or a deductible or basket. For these reasons, the Company is unable to estimate the maximum potential amount of the potential future liability under the indemnity provisions of these agreements. Tredegar does, however, accrue for losses for any known contingent liability,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right="200"/>
        <w:spacing w:after="0" w:line="282" w:lineRule="auto"/>
        <w:rPr>
          <w:sz w:val="20"/>
          <w:szCs w:val="20"/>
          <w:color w:val="auto"/>
        </w:rPr>
      </w:pPr>
      <w:r>
        <w:rPr>
          <w:rFonts w:ascii="Times New Roman" w:cs="Times New Roman" w:eastAsia="Times New Roman" w:hAnsi="Times New Roman"/>
          <w:sz w:val="18"/>
          <w:szCs w:val="18"/>
          <w:color w:val="auto"/>
        </w:rPr>
        <w:t>including those that may arise from indemnification provisions, when future payment is probable and the amount is reasonably estimable. The Company discloses contingent liabilities if the probability of loss is reasonably possible and material.</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Critical Accounting Policies and Estimates</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Company to make estimates and assumptions that affect the reported amounts of assets, liabilities, revenues, expenses and related disclosures. Certain accounting policies, as described below, are considered "critical accounting policies" because they are particularly dependent on estimates made by management about matters that are inherently uncertain and could have a material impact on the Company’s consolidated financial statements. Estimates and judgments are based on historical experience, forecasted events and various other assumptions that management believes are reasonable under the circumstances. Actual results could differ significantly from those estimates under different assumptions and conditions. A summary of all of our significant accounting policies is included in Note 1 “Nature of Operations and Summary of Significant Accounting Policies” to the Consolidated Financial Statements in Item 15.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Goodwill</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6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events and circumstances indicated that the Surface Protection reporting unit (“Surface Protection”), which is also the asset group, might be impaired. The Company performed a Step 1 analysis and long-lived impairment analysis for Surface Protection and determined that the fair value of Surface Protection exceeded its carrying value by 18.6%.</w:t>
      </w:r>
    </w:p>
    <w:p>
      <w:pPr>
        <w:spacing w:after="0" w:line="5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estimated the fair value of Surface Protection at September 30, 2022 by: (i) computing a weighted average estimated enterprise value (“EV”) utilizing both the discounted cash flow (the “DCF Method”) and market multiple (the “Market Multiple Method”) methods, (ii) applying adjustments for any surplus or deficient working capital, (iii) adding cash and cash equivalents, and (iv) subtracting interest-bearing debt. The Company’s estimate of Surface Protection’s EV as of September 30, 2022 was determined by weighting the Market Multiple Method by 20% and the DCF Method by 80%. A heavier weighting towards the DCF Method was used since Surface Protection’s projections better reflect recovery from the weak market demand, competitive pricing and cash flows associated with new surface protection products, applications, customers, production efficiencies, and cost savings. Key financial assumptions utilized to determine the fair value of the reporting unit includes revenue growth projections and a weighted average cost of capital assumption. At September 30, 2022, the effect of a ten percent decrease in the revenue growth projections and a one percent increase to the weighted average cost of capital assumption would further decrease the fair value of the reporting unit’s fair value by approximately $5 million and $6 million, respectively.</w:t>
      </w:r>
    </w:p>
    <w:p>
      <w:pPr>
        <w:spacing w:after="0" w:line="5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Customer demand for electronics has continued to deteriorate since the third quarter of 2022, causing manufacturers in the supply chain to experience reduced capacity utilization and inventory corrections. In addition, these depressed market conditions, which are expected to continue through the first half of 2023, are adversely impacting mix through reduced sales to our highest value-added customers and products. Given the uncertain demand for Surface Protections products, it is reasonably possible that the cash flow estimates used in deriving such fair value measurements may change in the future.</w:t>
      </w:r>
    </w:p>
    <w:p>
      <w:pPr>
        <w:spacing w:after="0" w:line="5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As of December 1, 2022, the Company’s reporting units with goodwill were Surface Protection in PE Films and Futura in Aluminum Extrusions. Both of these reporting units have separately identifiable operating net assets (operating assets including goodwill and identifiable intangible assets net of operating liabilities). The Company's Step 0 analyses as of December 1, 2022 of these reporting units concluded that it is not more likely than not that the fair values of each reporting unit was less than its carrying amount. Therefore, the Step 1 quantitative goodwill impairment tests for these reporting units were not necessary as of December 1, 2022. The Surface Protection and Futura reporting units had goodwill in the amounts of $57.3 million and $13.3 million, respectively, at December 31, 2022. See Note 1 “Nature of Operations and Summary of Significant Accounting Policies” to the Consolidated Financial Statements in Item 15 for additional information on the analysis of goodwill impairment.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Pension Benefits</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Tredegar sponsors a noncontributory defined benefit (pension) plan covering certain current and former U.S. employees. The plan is closed to new participants and pay for active plan participants for benefit calculations was frozen as of December 31, 2007.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which is expected to be completed by the end of 2023.</w:t>
      </w:r>
    </w:p>
    <w:p>
      <w:pPr>
        <w:spacing w:after="0" w:line="5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pension plan has resulted in varying amounts of net pension income or expense, as developed from actuarial valuations and the application of GAAP. Inherent in the valuation are key assumptions including discount rates and the expected return on plan assets. Inherent in the application of GAAP includes the amortization of deferred non-cash actuarial gains or losses. Net periodic pension benefit cost under GAAP during 2022, 2021 and 2020 was $14.4 million, $14.0 million and $14.6 million, respectively, including non-cash amortization of net actuarial losses of $13.7 million, $17.0 million and $15.5 million, respectively.</w:t>
      </w:r>
    </w:p>
    <w:p>
      <w:pPr>
        <w:spacing w:after="0" w:line="6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is required to consider current market conditions, including changes in interest rates and plan asset investment returns, in determining actuarial valuation assumptions. Assumptions may differ materially from actual results due to changing market and economic conditions, higher or lower withdrawal rates or longer or shorter life spans of participants. These differences are deferred in accumulated other comprehensive income or loss directly in shareholders’ equity and subsequently amortized in net periodic pension benefit cost. Other comprehensive net actuarial losses reflected directly in shareholders’ equity was $103.6 million, $109.2 million and $149.5 million on a pre-tax basis as of December 31, 2022, 2021 and 2020, respectively, which have resulted in the significant non-cash amortization costs as noted above.</w:t>
      </w:r>
    </w:p>
    <w:p>
      <w:pPr>
        <w:spacing w:after="0" w:line="5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Following the announcement to terminate and settle the pension plan, the Company contributed $50 million to the pension plan and implemented (through consultation with its investment advisors) a liability-matching bond portfolio investment strategy (including a derivative overlay) that hedged the estimated settlement funding gap, which was approximately $24 million (before plan administration costs) at that time. The overall objective of this hedging program is to minimize the volatility of the estimated settlement funding gap such that, as applicable interest rates move up or down causing a decrease or increase in the estimated value of the settlement liability, the value of the matching bond portfolio and derivative overlay decreases or increases by a similar amount.</w:t>
      </w:r>
    </w:p>
    <w:p>
      <w:pPr>
        <w:spacing w:after="0" w:line="66"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discount rate is used to determine the present value of future payments (i.e., the estimated settlement liability). In general, the estimated settlement liability increases as the discount rate decreases and vice versa. The discount rate is the single rate that, when applied to expected benefit payments, provides a present value equal to the present value of expected benefit payments, which prior to the planned termination and settlement was determined by using the AA-rated bond yield curve. Given the anticipated termination and settlement of the pension plan, the Company determined an appropriate discount rate as of December 31, 2022, based on the weighted average of lump sum settlement interest rates and estimated annuity purchase settlement rates. The weighted average discount rate utilized was 5.07%, 2.90% and 2.57% at the end of 2022, 2021 and 2020, respectively, with changes between periods due to changes in market interest rates and in 2022 also the change to a settlement discount rate estimating methodology.</w:t>
      </w:r>
    </w:p>
    <w:p>
      <w:pPr>
        <w:spacing w:after="0" w:line="6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 100 basis point increase in the discount rate assumption would have decreased the projected benefit obligation / estimated settlement liability and the net periodic pension cost for the pension plan by approximately $23 million and $2 million, respectively. A 100 basis point decrease in the discount rate assumption would have increased the projected benefit obligation / estimated settlement liability and the net periodic pension cost for the pension plan by approximately $24 million and $2 million, respectively. In both assumption situations, as a result of the hedging program, the Company would expect a similar overall change in the liability matching bond portfolio and derivative overlay.</w:t>
      </w:r>
    </w:p>
    <w:p>
      <w:pPr>
        <w:spacing w:after="0" w:line="4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 lower expected return on plan assets increases the amount of expense and vice versa. Decreases in the level of actual plan assets will also serve to increase the amount of pension expense. The total return on plan assets (net of fees and plan expenses), which is primarily affected by the change in fair value of plan assets, current year contributions and current year payments to participants, was approximately negative 15.1% in 2022, positive 10.4% in 2021 and positive 10.9% in 2020.</w:t>
      </w:r>
    </w:p>
    <w:p>
      <w:pPr>
        <w:spacing w:after="0" w:line="5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expected long-term rate return of 5.00% used in both 2021 and 2020 were determined at the end of 2020 and 2019 and therefore did not contemplate the liability-driven investment strategy discussed above, however, the expected long-term rate return of 3.05% used in 2022 and 4.99% for 2023 does contemplate the liability-driven investment strategy discussed above. See Note 8 “Retirement Plans and Other Postretirement Benefits” to the Consolidated Financial Statements in Item 15 for more information on expected long-term return on plan assets and asset mix.</w:t>
      </w:r>
    </w:p>
    <w:p>
      <w:pPr>
        <w:spacing w:after="0" w:line="58"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Net periodic benefit cost, which excludes the impact of the expected plan settlement, for 2023 under GAAP is expected to be approximately $14 million, including non-cash amortization of other comprehensive net actuarial losses of approximately $12 million.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has been monitoring the estimated settlement funding gap and the effectiveness of its liability-matching bond portfolio investment strategy through an online tool provided by its investment advisors, which increased to approximately $28 million at December 31, 2022 primarily due to administrative costs incurred by the plan.</w:t>
      </w:r>
    </w:p>
    <w:p>
      <w:pPr>
        <w:spacing w:after="0" w:line="4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the settlement process occurs, the Company expects to recognize a non-cash reclassification adjustment to net income or loss of the entire remaining balance of other comprehensive net actuarial losses reflected directly in shareholders’ equity, which was approximately $104 million on a pre-tax basis at December 31, 2022.</w:t>
      </w:r>
    </w:p>
    <w:p>
      <w:pPr>
        <w:spacing w:after="0" w:line="50" w:lineRule="exact"/>
        <w:rPr>
          <w:sz w:val="20"/>
          <w:szCs w:val="20"/>
          <w:color w:val="auto"/>
        </w:rPr>
      </w:pPr>
    </w:p>
    <w:p>
      <w:pPr>
        <w:ind w:right="960" w:firstLine="405"/>
        <w:spacing w:after="0" w:line="346"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above for further discussion regarding the financial impact of the Company’s pension plans. </w:t>
      </w:r>
      <w:r>
        <w:rPr>
          <w:rFonts w:ascii="Times New Roman" w:cs="Times New Roman" w:eastAsia="Times New Roman" w:hAnsi="Times New Roman"/>
          <w:sz w:val="18"/>
          <w:szCs w:val="18"/>
          <w:b w:val="1"/>
          <w:bCs w:val="1"/>
          <w:u w:val="single" w:color="auto"/>
          <w:color w:val="auto"/>
        </w:rPr>
        <w:t>Income Taxes</w:t>
      </w:r>
    </w:p>
    <w:p>
      <w:pPr>
        <w:spacing w:after="0" w:line="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Current tax liabilities and assets are recognized for the estimated taxes payable or refundable, respectively, on the tax returns for the current year. Deferred tax assets and liabilities are determined based on differences between financial reporting and tax bases of assets and liabilities and are measured using the enacted tax rates and laws that will be in effect when the differences are expected to reverse. Accordingly, accounting for income taxes represents the Company’s best estimate of various events and transactions. Tax laws are often complex and may be subject to differing interpretations by the taxpayer and the relevant governmental taxing authorities. In establishing a provision for income tax expense, Tredegar must make judgments and interpretations about the application of tax laws. The Company must also make estimates about when in the future certain items will affect taxable income in the various taxing jurisdictions.</w:t>
      </w:r>
    </w:p>
    <w:p>
      <w:pPr>
        <w:spacing w:after="0" w:line="5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Tredegar may be required to change its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58" w:lineRule="exact"/>
        <w:rPr>
          <w:sz w:val="20"/>
          <w:szCs w:val="20"/>
          <w:color w:val="auto"/>
        </w:rPr>
      </w:pPr>
    </w:p>
    <w:p>
      <w:pPr>
        <w:ind w:right="1800" w:firstLine="405"/>
        <w:spacing w:after="0" w:line="438" w:lineRule="auto"/>
        <w:rPr>
          <w:sz w:val="20"/>
          <w:szCs w:val="20"/>
          <w:color w:val="auto"/>
        </w:rPr>
      </w:pPr>
      <w:r>
        <w:rPr>
          <w:rFonts w:ascii="Times New Roman" w:cs="Times New Roman" w:eastAsia="Times New Roman" w:hAnsi="Times New Roman"/>
          <w:sz w:val="18"/>
          <w:szCs w:val="18"/>
          <w:color w:val="auto"/>
        </w:rPr>
        <w:t xml:space="preserve">See Note 12 “Income Taxes” to the Consolidated Financial Statements in Item 15 for additional information on income taxes. </w:t>
      </w: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PTA and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regarding interest rate exposures related to borrowings under the Credit Agreement.</w:t>
      </w:r>
    </w:p>
    <w:p>
      <w:pPr>
        <w:spacing w:after="0" w:line="4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2"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10 “Derivatives” to the Consolidated Financial Statements in Item 15 for additional information.</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637540</wp:posOffset>
            </wp:positionV>
            <wp:extent cx="5709285" cy="2202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70928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77470</wp:posOffset>
            </wp:positionV>
            <wp:extent cx="5709285" cy="2477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928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bookmarkStart w:id="32" w:name="page33"/>
    <w:bookmarkEnd w:id="32"/>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products)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36830</wp:posOffset>
            </wp:positionV>
            <wp:extent cx="5768975" cy="254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provided by IHS, Inc. In February 2020, IHS reflected a 32 cents per pound non-market adjustment based</w:t>
      </w:r>
    </w:p>
    <w:p>
      <w:pPr>
        <w:ind w:left="1120" w:right="1160"/>
        <w:spacing w:after="0" w:line="218" w:lineRule="auto"/>
        <w:rPr>
          <w:sz w:val="20"/>
          <w:szCs w:val="20"/>
          <w:color w:val="auto"/>
        </w:rPr>
      </w:pPr>
      <w:r>
        <w:rPr>
          <w:rFonts w:ascii="Times New Roman" w:cs="Times New Roman" w:eastAsia="Times New Roman" w:hAnsi="Times New Roman"/>
          <w:sz w:val="13"/>
          <w:szCs w:val="13"/>
          <w:color w:val="auto"/>
        </w:rPr>
        <w:t>on their estimate of the growth of discounts in prior periods. The 4th quarter 2019 average rate of $0.51 per pound is shown on a pro forma basis as if the non-market adjustment was made in the fourth quarter of 2019.</w:t>
      </w:r>
    </w:p>
    <w:p>
      <w:pPr>
        <w:spacing w:after="0" w:line="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PE Films has index-based pass-through raw material cost arrangements with customers. However, under certain agreements, changes in resin prices are not passed through for a period of 90 days or more.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ectPr>
          <w:pgSz w:w="11900" w:h="16838" w:orient="portrait"/>
          <w:cols w:equalWidth="0" w:num="1">
            <w:col w:w="11200"/>
          </w:cols>
          <w:pgMar w:left="320" w:top="130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type w:val="continuous"/>
        </w:sectPr>
      </w:pPr>
    </w:p>
    <w:bookmarkStart w:id="33" w:name="page34"/>
    <w:bookmarkEnd w:id="33"/>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ind w:left="114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sells to customers in foreign markets through its foreign operations and through exports from U.S. plants. The percentage of sales and total assets for manufacturing operations related to foreign markets for 2022, 2021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Net Sales and Total Assets Related to Foreign 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4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2020</w:t>
            </w:r>
          </w:p>
        </w:tc>
        <w:tc>
          <w:tcPr>
            <w:tcW w:w="1200" w:type="dxa"/>
            <w:vAlign w:val="bottom"/>
            <w:tcBorders>
              <w:top w:val="single" w:sz="8" w:color="auto"/>
              <w:bottom w:val="single" w:sz="8" w:color="auto"/>
            </w:tcBorders>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 of Total</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of Total</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of Total</w:t>
            </w:r>
          </w:p>
        </w:tc>
        <w:tc>
          <w:tcPr>
            <w:tcW w:w="1200" w:type="dxa"/>
            <w:vAlign w:val="bottom"/>
          </w:tcPr>
          <w:p>
            <w:pPr>
              <w:spacing w:after="0"/>
              <w:rPr>
                <w:sz w:val="20"/>
                <w:szCs w:val="20"/>
                <w:color w:val="auto"/>
              </w:rPr>
            </w:pPr>
          </w:p>
        </w:tc>
      </w:tr>
      <w:tr>
        <w:trPr>
          <w:trHeight w:val="256"/>
        </w:trPr>
        <w:tc>
          <w:tcPr>
            <w:tcW w:w="1440" w:type="dxa"/>
            <w:vAlign w:val="bottom"/>
          </w:tcPr>
          <w:p>
            <w:pPr>
              <w:spacing w:after="0"/>
              <w:rPr>
                <w:sz w:val="22"/>
                <w:szCs w:val="22"/>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 Total</w:t>
            </w: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 Total</w:t>
            </w: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Net Sales</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 Total</w:t>
            </w:r>
          </w:p>
        </w:tc>
      </w:tr>
      <w:tr>
        <w:trPr>
          <w:trHeight w:val="169"/>
        </w:trPr>
        <w:tc>
          <w:tcPr>
            <w:tcW w:w="144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tcPr>
          <w:p>
            <w:pPr>
              <w:spacing w:after="0"/>
              <w:rPr>
                <w:sz w:val="14"/>
                <w:szCs w:val="14"/>
                <w:color w:val="auto"/>
              </w:rPr>
            </w:pPr>
          </w:p>
        </w:tc>
        <w:tc>
          <w:tcPr>
            <w:tcW w:w="13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Assets -</w:t>
            </w: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Exports</w:t>
            </w:r>
          </w:p>
        </w:tc>
        <w:tc>
          <w:tcPr>
            <w:tcW w:w="1120" w:type="dxa"/>
            <w:vAlign w:val="bottom"/>
          </w:tcPr>
          <w:p>
            <w:pPr>
              <w:spacing w:after="0"/>
              <w:rPr>
                <w:sz w:val="14"/>
                <w:szCs w:val="14"/>
                <w:color w:val="auto"/>
              </w:rPr>
            </w:pPr>
          </w:p>
        </w:tc>
        <w:tc>
          <w:tcPr>
            <w:tcW w:w="13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Assets -</w:t>
            </w:r>
          </w:p>
        </w:tc>
        <w:tc>
          <w:tcPr>
            <w:tcW w:w="9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tcPr>
          <w:p>
            <w:pPr>
              <w:spacing w:after="0"/>
              <w:rPr>
                <w:sz w:val="14"/>
                <w:szCs w:val="14"/>
                <w:color w:val="auto"/>
              </w:rPr>
            </w:pPr>
          </w:p>
        </w:tc>
        <w:tc>
          <w:tcPr>
            <w:tcW w:w="1200" w:type="dxa"/>
            <w:vAlign w:val="bottom"/>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rPr>
              <w:t>Assets -</w:t>
            </w:r>
          </w:p>
        </w:tc>
      </w:tr>
      <w:tr>
        <w:trPr>
          <w:trHeight w:val="189"/>
        </w:trPr>
        <w:tc>
          <w:tcPr>
            <w:tcW w:w="144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From</w:t>
            </w:r>
          </w:p>
        </w:tc>
        <w:tc>
          <w:tcPr>
            <w:tcW w:w="11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Foreign</w:t>
            </w:r>
          </w:p>
        </w:tc>
        <w:tc>
          <w:tcPr>
            <w:tcW w:w="13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Foreign</w:t>
            </w:r>
          </w:p>
        </w:tc>
        <w:tc>
          <w:tcPr>
            <w:tcW w:w="8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7"/>
              </w:rPr>
              <w:t>From</w:t>
            </w:r>
          </w:p>
        </w:tc>
        <w:tc>
          <w:tcPr>
            <w:tcW w:w="112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Foreign</w:t>
            </w:r>
          </w:p>
        </w:tc>
        <w:tc>
          <w:tcPr>
            <w:tcW w:w="130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Foreign</w:t>
            </w:r>
          </w:p>
        </w:tc>
        <w:tc>
          <w:tcPr>
            <w:tcW w:w="9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From</w:t>
            </w:r>
          </w:p>
        </w:tc>
        <w:tc>
          <w:tcPr>
            <w:tcW w:w="11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Foreign</w:t>
            </w:r>
          </w:p>
        </w:tc>
      </w:tr>
      <w:tr>
        <w:trPr>
          <w:trHeight w:val="230"/>
        </w:trPr>
        <w:tc>
          <w:tcPr>
            <w:tcW w:w="1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Operations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Operations</w:t>
            </w: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U.S.</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Operations</w:t>
            </w:r>
          </w:p>
        </w:tc>
      </w:tr>
      <w:tr>
        <w:trPr>
          <w:trHeight w:val="22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2" w:lineRule="exact"/>
        <w:rPr>
          <w:sz w:val="20"/>
          <w:szCs w:val="20"/>
          <w:color w:val="auto"/>
        </w:rPr>
      </w:pPr>
    </w:p>
    <w:p>
      <w:pPr>
        <w:ind w:left="460" w:hanging="43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percentages for foreign markets are relative to Tredegar’s consolidated net sales and total assets .</w:t>
      </w:r>
    </w:p>
    <w:p>
      <w:pPr>
        <w:spacing w:after="0" w:line="194"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45"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and</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35" w:name="page36"/>
    <w:bookmarkEnd w:id="35"/>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4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estimates annual net costs of R$177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10 “Derivatives” to the Consolidated Financial Statements in Item 15 for more information on outstanding hedging contracts and this hedging program.</w:t>
      </w:r>
    </w:p>
    <w:p>
      <w:pPr>
        <w:spacing w:after="0" w:line="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on PE Films had a favorable impact on EBITDA from ongoing operations in PE Films of $1.1 million in 2022 compared to 2021.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Trends for the Brazilian Real and Chinese Yuan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68580</wp:posOffset>
            </wp:positionV>
            <wp:extent cx="5709285" cy="2966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928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8 is set forth in Item 15 and is hereby incorporated herein by reference.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10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November 1, 2018, the Company filed a Current Report on Form 8-K (the “November 2018 Form 8-K”) to disclose certain material weaknesses in internal control over financial reporting. For further information, see the November 2018 Form 8-K and Item 4. “Controls and Procedures” of the Company’s Quarterly Report on Form 10-Q for the quarterly period ended September 30, 2018.</w:t>
      </w:r>
    </w:p>
    <w:p>
      <w:pPr>
        <w:spacing w:after="0" w:line="41"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continues to revise and execute management’s remediation plan, including the implementation of the new and revised internal controls over financial reporting. The results of management’s testing of the design, implementation and operating effectiveness of controls identified that the Company continued to have material weaknesses in its internal control over financial reporting as of December 31, 2022; however, the material weaknesses existing as of December 31, 2022 were limited to certain discrete items within the previously identified material weaknesses.</w:t>
      </w:r>
    </w:p>
    <w:p>
      <w:pPr>
        <w:spacing w:after="0" w:line="5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10-K,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December 31, 2022.</w:t>
      </w:r>
    </w:p>
    <w:p>
      <w:pPr>
        <w:spacing w:after="0" w:line="45"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December 31, 2022,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4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Report on Internal Control Over Financial Reporting</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48" w:lineRule="exact"/>
        <w:rPr>
          <w:sz w:val="20"/>
          <w:szCs w:val="20"/>
          <w:color w:val="auto"/>
        </w:rPr>
      </w:pPr>
    </w:p>
    <w:p>
      <w:pPr>
        <w:ind w:left="660" w:right="3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18"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7" w:name="page38"/>
    <w:bookmarkEnd w:id="37"/>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the Company’s internal control over financial reporting using the criteria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(the “2013 COSO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Based on management’s assessment, the Company’s Chief Executive Officer and Chief Financial Officer concluded that the Company did not maintain effective internal control over financial reporting as of December 31, 2022. The Company did not sufficiently attract, develop, and retain competent resources to fulfill internal control responsibilities and did not have an effective information and communication process that identified and assessed the source of and controls necessary to ensure the reliability of information used in financial reporting. As a consequence of these material weaknesses, the Company did not effectively design, implement and operate process-level controls across its financial reporting processes.</w:t>
      </w:r>
    </w:p>
    <w:p>
      <w:pPr>
        <w:spacing w:after="0" w:line="50"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While these material weaknesses did not result in material misstatements of the Company’s consolidated financial statements as of and for the year ended December 31, 2022,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2022.</w:t>
      </w:r>
    </w:p>
    <w:p>
      <w:pPr>
        <w:spacing w:after="0" w:line="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which audited the 2022 consolidated financial statements included in this Form 10-K, has expressed an adverse opinion on the operating effectiveness of the Company's internal control over financial reporting. KPMG LLP’s report appears on page 42 of this Form 10-K.</w:t>
      </w:r>
    </w:p>
    <w:p>
      <w:pPr>
        <w:spacing w:after="0" w:line="5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Remediation Plan and Efforts to Address the Identified Material Weaknesses</w:t>
      </w:r>
    </w:p>
    <w:p>
      <w:pPr>
        <w:spacing w:after="0" w:line="9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With the oversight of the Audit Committee of the Board of Directors (the “Audit Committee”), the Company commenced remediation efforts in the first quarter of 2019 pursuant to the original six step remediation plan that was designed with the assistance of management’s outside consultant, an internationally recognized accounting firm. As of December 31, 2022, the Company continues to revise and execute management’s remediation plan to implement new and revised internal controls over financial reporting. Since 2019, significant resources have been invested in the remediation efforts principally related to:</w:t>
      </w:r>
    </w:p>
    <w:p>
      <w:pPr>
        <w:spacing w:after="0" w:line="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assistance from management’s outside consultant;</w:t>
      </w:r>
    </w:p>
    <w:p>
      <w:pPr>
        <w:spacing w:after="0" w:line="10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internal controls for various antiquated information technology systems that lead to highly manual processes supporting financial reporting objectives;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additional resources with technical internal control over financial reporting expertise;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execution of training programs for management on relevant internal control over financial reporting matters.</w:t>
      </w:r>
    </w:p>
    <w:p>
      <w:pPr>
        <w:spacing w:after="0" w:line="104" w:lineRule="exact"/>
        <w:rPr>
          <w:sz w:val="20"/>
          <w:szCs w:val="20"/>
          <w:color w:val="auto"/>
        </w:rPr>
      </w:pPr>
    </w:p>
    <w:p>
      <w:pPr>
        <w:ind w:right="400" w:firstLine="405"/>
        <w:spacing w:after="0" w:line="258" w:lineRule="auto"/>
        <w:rPr>
          <w:sz w:val="20"/>
          <w:szCs w:val="20"/>
          <w:color w:val="auto"/>
        </w:rPr>
      </w:pPr>
      <w:r>
        <w:rPr>
          <w:rFonts w:ascii="Times New Roman" w:cs="Times New Roman" w:eastAsia="Times New Roman" w:hAnsi="Times New Roman"/>
          <w:sz w:val="18"/>
          <w:szCs w:val="18"/>
          <w:color w:val="auto"/>
        </w:rPr>
        <w:t>In addition, the Aluminum Extrusions business commenced the implementation of a new Board-approved enterprise resource planning and manufacturing execution systems (“ERP/MES”) in the first quarter of 2022, which is expected to cost approximately $30 million over a two-year time span. The implementation will benefit the Aluminum Extrusion internal control environment by standardizing process-level controls and general information technology controls and significantly reduce the manual processes across the organization by replacing various antiquated information technology systems.</w:t>
      </w:r>
    </w:p>
    <w:p>
      <w:pPr>
        <w:spacing w:after="0" w:line="4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While progress has been made since 2019, including the remediation of a significant number of process-level control deficiencies throughout our financial reporting processes, the Company experienced significant turnover in positions relevant to its internal control over financial reporting during 2021 and 2022 that impacted the effectiveness of prior training programs and management’s ability to implement control activities that operated for a sufficient period of time to allow management, through testing, to conclude that the control activities were operating effectively during 2022. To remediate the material weaknesses described above, the Company, with the oversight of the Audit Committee and the assistance of management’s outside consultant, has continued to revise its remediation strategy with the following remediation steps:</w:t>
      </w:r>
    </w:p>
    <w:p>
      <w:pPr>
        <w:spacing w:after="0" w:line="66" w:lineRule="exact"/>
        <w:rPr>
          <w:sz w:val="20"/>
          <w:szCs w:val="20"/>
          <w:color w:val="auto"/>
        </w:rPr>
      </w:pPr>
    </w:p>
    <w:p>
      <w:pPr>
        <w:ind w:left="660" w:right="5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train and retain individuals with appropriate skills and experience related to designing, operating and documenting internal control over financial reporting;</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controls as needed as the Company remediates control deficiencies identified;</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targeted training program to educate control owners on the principles and requirements of internal control activities associated with the material weaknesses above including, but not limited to;</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reliability of the underlying information used in the performance of internal control activities;</w:t>
      </w:r>
    </w:p>
    <w:p>
      <w:pPr>
        <w:spacing w:after="0" w:line="103"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adequate documentary evidence for internal control activities, including the retention of evidence to support the precision of review and evidence of review procedures performed to demonstrate effective design, implementation and operation of such controls; and</w:t>
      </w:r>
    </w:p>
    <w:p>
      <w:pPr>
        <w:spacing w:after="0" w:line="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timely and consistent performance of the controls as designed.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8" w:name="page39"/>
    <w:bookmarkEnd w:id="38"/>
    <w:p>
      <w:pPr>
        <w:ind w:firstLine="405"/>
        <w:spacing w:after="0" w:line="254" w:lineRule="auto"/>
        <w:rPr>
          <w:sz w:val="20"/>
          <w:szCs w:val="20"/>
          <w:color w:val="auto"/>
        </w:rPr>
      </w:pPr>
      <w:r>
        <w:rPr>
          <w:rFonts w:ascii="Times New Roman" w:cs="Times New Roman" w:eastAsia="Times New Roman" w:hAnsi="Times New Roman"/>
          <w:sz w:val="18"/>
          <w:szCs w:val="18"/>
          <w:color w:val="auto"/>
        </w:rPr>
        <w:t>The material weaknesses cannot be considered remediated until the applicable controls have operated for a sufficient period of time and management has concluded, through testing, that these controls are operating effectively. The Company is committed to the improvement of its internal control over financial reporting and management continues to work with its outside consultant to assist in those efforts, as necessary. The Company continues to monitor the impact of employee turnover and other external factors on its remediation plan and its assessment of internal control over financial reporting. The Company cannot assure you when it will remediate the identified material weaknesses, nor can it be certain whether additional actions will be required. Moreover, the Company cannot assure you that additional material weaknesses will not arise in the future. See Item 1A. “Risk Factors” of this Form 10-K for risks and uncertainties associated with management’s report on internal control over financial reporting as of and for the year ended December 31, 2022.</w:t>
      </w:r>
    </w:p>
    <w:p>
      <w:pPr>
        <w:spacing w:after="0" w:line="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implementing certain changes in its internal controls to remediate the material weaknesses described above. Except as noted above with respect to the completion of certain steps in the remediation plan, there has been no change in the Company’s internal control over financial reporting during the quarter ended December 31, 2022, that has materially affected, or is reasonably likely to materially affect, its internal control over financial reporting (as defined in Rules 13a-15(f) and 15d-15(f) under the Exchange Act).</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10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concerning directors and persons nominated to become directors of Tredegar to be included in the Proxy Statement under the headings “Proposal 1: Election of Directors” and “Tredegar’s Board of Directors” is incorporated herein by reference.</w:t>
      </w:r>
    </w:p>
    <w:p>
      <w:pPr>
        <w:spacing w:after="0" w:line="27" w:lineRule="exact"/>
        <w:rPr>
          <w:sz w:val="20"/>
          <w:szCs w:val="20"/>
          <w:color w:val="auto"/>
        </w:rPr>
      </w:pPr>
    </w:p>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concerning corporate governance to be included in the Proxy Statement under the headings “Board Meetings, Meetings of Independent Directors and Board Committees” and “Corporate Governance and Risk Oversight” is incorporated herein by reference.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are the names, ages and titles of the Company’s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Age</w:t>
            </w: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Steitz</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Andrew Edwards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 Donnelly</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r>
    </w:tbl>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M. Steitz. </w:t>
      </w:r>
      <w:r>
        <w:rPr>
          <w:rFonts w:ascii="Times New Roman" w:cs="Times New Roman" w:eastAsia="Times New Roman" w:hAnsi="Times New Roman"/>
          <w:sz w:val="18"/>
          <w:szCs w:val="18"/>
          <w:color w:val="auto"/>
        </w:rPr>
        <w:t>Mr. Steitz was elected President and Chief Executive Officer effective March 19, 2019. He previously served as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Addivant Corporation, a leading global supplier of antioxidants, intermediates, inhibitors, modifiers, UV stabilizers and other additives to the plastic and rubber industries, from March 2015 until January 2019, as President and Chief Operating Officer of PQ Corporation, a leading worldwide producer of specialty inorganic performance chemicals and catalysts, from October 2013 until March 2015, as President and Chief Executive Officer of Avantor Performance Materials, a global supplier of ultra-high-purity life sciences materials with strict regulatory and performance specifications, from September 2012 until September 2013, as President and Chief Operating Officer of Albemarle Corporation, a global specialty chemicals company, from March 2012 until August 2012, and as Chief Operating Officer and Executive Vice President of Albemarle from April 2007 until March 2012.</w:t>
      </w:r>
    </w:p>
    <w:p>
      <w:pPr>
        <w:spacing w:after="0" w:line="6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 Andrew Edwards. </w:t>
      </w:r>
      <w:r>
        <w:rPr>
          <w:rFonts w:ascii="Times New Roman" w:cs="Times New Roman" w:eastAsia="Times New Roman" w:hAnsi="Times New Roman"/>
          <w:sz w:val="18"/>
          <w:szCs w:val="18"/>
          <w:color w:val="auto"/>
        </w:rPr>
        <w:t>Mr. Edwards was named Executive Vice President and Chief Financial Officer effective August 6, 2020. Mr. Edwards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Financial Officer from July 20, 2015 until August 2020. He previously served as the Chief Financial Officer of United Sporting Companies, Inc., a wholesale distributor of outdoor sporting goods, from February 2013 until July 2015 and as Vice President, Controller and Chief Accounting Officer of Owens &amp; Minor, Inc., a distributor of acute medical products, from April 2010 to February 2013 and as Acting Chief Financial Officer of Owens &amp; Minor, Inc. from March 2012 to February 2013. Mr. Edwards also served as Vice President, Finance, of Owens &amp; Minor, Inc. from December 2009 until April 2010. Mr. Edwards previously served as the Company’s Vice President, Chief Financial Officer and Treasurer from August 2003 to December 2009 and as the Company’s Vice President, Finance from November 1998 to August 2003. Mr. Edwards also served as the Company’s Treasurer from May 1997 to December 2009 and as the Company’s Controller from October 1992 until July 2000.</w:t>
      </w:r>
    </w:p>
    <w:p>
      <w:pPr>
        <w:spacing w:after="0" w:line="5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Kevin C. Donnelly</w:t>
      </w:r>
      <w:r>
        <w:rPr>
          <w:rFonts w:ascii="Times New Roman" w:cs="Times New Roman" w:eastAsia="Times New Roman" w:hAnsi="Times New Roman"/>
          <w:sz w:val="18"/>
          <w:szCs w:val="18"/>
          <w:color w:val="auto"/>
        </w:rPr>
        <w:t>. Mr. Donnelly was elected Vice President, General Counsel and Corporate Secretary effective January 1, 2021. He joined Tredegar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and served as its Associate General Counsel from 2013 to 2020. Prior to joining Tredegar, Mr. Donnelly was an associate at Hunton &amp; Williams LLP (now Hunton Andrews Kurth LLP). He received a B.A. degree from the University of Richmond and a J.D. from the University of Virginia.</w:t>
      </w:r>
    </w:p>
    <w:p>
      <w:pPr>
        <w:spacing w:after="0" w:line="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Tredegar has a Code of Conduct that applies to all of its directors, officers and employees (including its chief executive officer, chief financial officer and principal accounting officer) and has posted the Code of Conduct on its website. All amendments to or waivers from any provision of the Company’s Code of Conduct applicable to the chief executive officer, chief financial officer and principal accounting officer will be disclosed on the Company’s website. The Company’s internet address is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1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“Compensation of Directors,” “Compensation Discussion and Analysis,” “Executive Compensation Committee Report” and “Compensation of Executive Officers” is incorporated herein by reference.</w:t>
      </w:r>
    </w:p>
    <w:p>
      <w:pPr>
        <w:spacing w:after="0" w:line="104" w:lineRule="exact"/>
        <w:rPr>
          <w:sz w:val="20"/>
          <w:szCs w:val="20"/>
          <w:color w:val="auto"/>
        </w:rPr>
      </w:pPr>
    </w:p>
    <w:p>
      <w:pPr>
        <w:ind w:left="820" w:right="540" w:hanging="971"/>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105" w:lineRule="exact"/>
        <w:rPr>
          <w:sz w:val="20"/>
          <w:szCs w:val="20"/>
          <w:color w:val="auto"/>
        </w:rPr>
      </w:pPr>
    </w:p>
    <w:p>
      <w:pPr>
        <w:ind w:right="680" w:firstLine="405"/>
        <w:spacing w:after="0" w:line="266"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 “Equity Compensation Plan Information”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“Certain Relationships and Related Transactions,” “Tredegar’s Board of Directors” and “Board Meetings, Meetings of Independent Directors and Board Committees” is incorporated herein by reference.</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ACCOUNTING FEES AND SERVICES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Richmond, Virginia, Audit Firm ID: 185.</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incorporated herein by reference:</w:t>
      </w:r>
    </w:p>
    <w:p>
      <w:pPr>
        <w:spacing w:after="0" w:line="90" w:lineRule="exact"/>
        <w:rPr>
          <w:sz w:val="20"/>
          <w:szCs w:val="20"/>
          <w:color w:val="auto"/>
        </w:rPr>
      </w:pPr>
    </w:p>
    <w:p>
      <w:pPr>
        <w:ind w:left="820" w:hanging="40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accounting fees and services to be included in the Proxy Statement under the heading “Audit and Non-Audit Fees;” and</w:t>
      </w:r>
    </w:p>
    <w:p>
      <w:pPr>
        <w:spacing w:after="0" w:line="10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Audit Committee’s procedures for pre-approving certain audit and non-audit services to be included in the Proxy Statement under the heading “Board Meetings, Meetings of Non-Management Directors and Board Committees—Audit Committee Matters.”</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9" w:right="479" w:bottom="1440" w:gutter="0" w:footer="0" w:header="0"/>
        </w:sectPr>
      </w:pPr>
    </w:p>
    <w:bookmarkStart w:id="41" w:name="page42"/>
    <w:bookmarkEnd w:id="4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9"/>
              </w:rPr>
              <w:t>(a)</w:t>
            </w:r>
          </w:p>
        </w:tc>
        <w:tc>
          <w:tcPr>
            <w:tcW w:w="67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List of documents filed as a part of the report:</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7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60" w:type="dxa"/>
            <w:vAlign w:val="bottom"/>
            <w:gridSpan w:val="7"/>
          </w:tcPr>
          <w:p>
            <w:pPr>
              <w:jc w:val="center"/>
              <w:ind w:right="1700"/>
              <w:spacing w:after="0"/>
              <w:rPr>
                <w:sz w:val="20"/>
                <w:szCs w:val="20"/>
                <w:color w:val="auto"/>
              </w:rPr>
            </w:pPr>
            <w:r>
              <w:rPr>
                <w:rFonts w:ascii="Times New Roman" w:cs="Times New Roman" w:eastAsia="Times New Roman" w:hAnsi="Times New Roman"/>
                <w:sz w:val="18"/>
                <w:szCs w:val="18"/>
                <w:color w:val="auto"/>
                <w:w w:val="99"/>
              </w:rPr>
              <w:t>Tredegar Corporation</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9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4"/>
                <w:szCs w:val="24"/>
                <w:color w:val="auto"/>
              </w:rPr>
            </w:pPr>
          </w:p>
        </w:tc>
        <w:tc>
          <w:tcPr>
            <w:tcW w:w="6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Auditors’ Opinions:</w:t>
            </w:r>
          </w:p>
        </w:tc>
        <w:tc>
          <w:tcPr>
            <w:tcW w:w="15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740" w:type="dxa"/>
            <w:vAlign w:val="bottom"/>
            <w:gridSpan w:val="12"/>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Opinion on Internal Control Over Financial Reporting</w:t>
            </w:r>
          </w:p>
        </w:tc>
        <w:tc>
          <w:tcPr>
            <w:tcW w:w="3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Borders>
              <w:bottom w:val="single" w:sz="8" w:color="0000FF"/>
            </w:tcBorders>
            <w:gridSpan w:val="7"/>
            <w:vMerge w:val="continue"/>
          </w:tcPr>
          <w:p>
            <w:pPr>
              <w:spacing w:after="0"/>
              <w:rPr>
                <w:sz w:val="18"/>
                <w:szCs w:val="18"/>
                <w:color w:val="auto"/>
              </w:rPr>
            </w:pPr>
          </w:p>
        </w:tc>
        <w:tc>
          <w:tcPr>
            <w:tcW w:w="3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4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740" w:type="dxa"/>
            <w:vAlign w:val="bottom"/>
            <w:gridSpan w:val="12"/>
            <w:vMerge w:val="continue"/>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720" w:type="dxa"/>
            <w:vAlign w:val="bottom"/>
            <w:gridSpan w:val="3"/>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(Loss)</w:t>
            </w:r>
          </w:p>
        </w:tc>
        <w:tc>
          <w:tcPr>
            <w:tcW w:w="44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Borders>
              <w:bottom w:val="single" w:sz="8" w:color="0000FF"/>
            </w:tcBorders>
            <w:gridSpan w:val="5"/>
            <w:vMerge w:val="continue"/>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FF"/>
            </w:tcBorders>
            <w:gridSpan w:val="9"/>
            <w:vMerge w:val="continue"/>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Borders>
              <w:bottom w:val="single" w:sz="8" w:color="0000FF"/>
            </w:tcBorders>
            <w:gridSpan w:val="4"/>
            <w:vMerge w:val="continue"/>
          </w:tcPr>
          <w:p>
            <w:pPr>
              <w:spacing w:after="0"/>
              <w:rPr>
                <w:sz w:val="18"/>
                <w:szCs w:val="18"/>
                <w:color w:val="auto"/>
              </w:rPr>
            </w:pPr>
          </w:p>
        </w:tc>
        <w:tc>
          <w:tcPr>
            <w:tcW w:w="640" w:type="dxa"/>
            <w:vAlign w:val="bottom"/>
            <w:gridSpan w:val="2"/>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tcBorders>
              <w:bottom w:val="single" w:sz="8" w:color="0000FF"/>
            </w:tcBorders>
            <w:gridSpan w:val="6"/>
            <w:vMerge w:val="continue"/>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1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00" w:right="6859" w:hanging="675"/>
        <w:spacing w:after="0" w:line="284" w:lineRule="auto"/>
        <w:tabs>
          <w:tab w:leader="none" w:pos="10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tbl>
      <w:tblPr>
        <w:tblLayout w:type="fixed"/>
        <w:tblInd w:w="720" w:type="dxa"/>
        <w:tblCellMar>
          <w:top w:w="0" w:type="dxa"/>
          <w:left w:w="0" w:type="dxa"/>
          <w:bottom w:w="0" w:type="dxa"/>
          <w:right w:w="0" w:type="dxa"/>
        </w:tblCellMar>
      </w:tblPr>
      <w:tr>
        <w:trPr>
          <w:trHeight w:val="19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color w:val="0000FF"/>
              </w:rPr>
              <w:t>Exhibit Index</w:t>
            </w:r>
          </w:p>
        </w:tc>
        <w:tc>
          <w:tcPr>
            <w:tcW w:w="6980" w:type="dxa"/>
            <w:vAlign w:val="bottom"/>
            <w:vMerge w:val="restart"/>
          </w:tcPr>
          <w:p>
            <w:pPr>
              <w:spacing w:after="0"/>
              <w:rPr>
                <w:sz w:val="16"/>
                <w:szCs w:val="16"/>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42" w:name="page43"/>
    <w:bookmarkEnd w:id="4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Tredegar Corporation and subsidiaries (the Company) as of December 31, 2022 and 2021, the related consolidated statements of income (loss), comprehensive income (loss), cash flows, and shareholders’ equity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16, 2023 expressed an adverse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Goodwill impairment in the Surface Protection reporting unit</w:t>
      </w:r>
    </w:p>
    <w:p>
      <w:pPr>
        <w:spacing w:after="0" w:line="254" w:lineRule="exact"/>
        <w:rPr>
          <w:sz w:val="20"/>
          <w:szCs w:val="20"/>
          <w:color w:val="auto"/>
        </w:rPr>
      </w:pPr>
    </w:p>
    <w:p>
      <w:pPr>
        <w:ind w:left="420" w:right="100"/>
        <w:spacing w:after="0" w:line="255" w:lineRule="auto"/>
        <w:rPr>
          <w:sz w:val="20"/>
          <w:szCs w:val="20"/>
          <w:color w:val="auto"/>
        </w:rPr>
      </w:pPr>
      <w:r>
        <w:rPr>
          <w:rFonts w:ascii="Times New Roman" w:cs="Times New Roman" w:eastAsia="Times New Roman" w:hAnsi="Times New Roman"/>
          <w:sz w:val="18"/>
          <w:szCs w:val="18"/>
          <w:color w:val="auto"/>
        </w:rPr>
        <w:t>As discussed in Notes 1 and 5 to the consolidated financial statements, the Company’s goodwill balance as of December 31, 2022 was $70.6 million, including $57.3 million related to the Surface Protection reporting unit. The Company assesses goodwill for impairment when events or circumstances indicate that the carrying value may not be recoverable, or, at a minimum, on an annual basis (December 1st of each year). During the three months ended September 30, 2022, events and circumstances indicated that the Surface Protection reporting unit might be impaired. The Company performed a quantitative impairment test of the Surface Protection reporting unit as of September 30, 2022, and concluded that no impairment existed. Management estimated the fair value of the Surface Protection reporting unit based on a weighted average enterprise value utilizing the discounted cash flow and market multiple methods.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left="420" w:right="60"/>
        <w:spacing w:after="0" w:line="256" w:lineRule="auto"/>
        <w:rPr>
          <w:sz w:val="20"/>
          <w:szCs w:val="20"/>
          <w:color w:val="auto"/>
        </w:rPr>
      </w:pPr>
      <w:r>
        <w:rPr>
          <w:rFonts w:ascii="Times New Roman" w:cs="Times New Roman" w:eastAsia="Times New Roman" w:hAnsi="Times New Roman"/>
          <w:sz w:val="18"/>
          <w:szCs w:val="18"/>
          <w:color w:val="auto"/>
        </w:rPr>
        <w:t>We identified the assessment of goodwill impairment in the Surface Protection reporting unit as a critical audit matter. The estimation of fair value of the reporting unit is complex and includes estimation uncertainties that required a higher level of subjective auditor judgment. Specifically, the discount rate and the revenue growth projections used in the discounted cash flow method required subjective and challenging auditor judgment as they represented subjective determinations of current and future market and economic conditions. Additionally, the audit effort associated with the discount rate and the revenue growth projections required specialized skills and knowledge. Changes to those assumptions could have had a significant effect on the Company’s estimate of the fair value of the reporting unit.</w:t>
      </w:r>
    </w:p>
    <w:p>
      <w:pPr>
        <w:spacing w:after="0" w:line="214" w:lineRule="exact"/>
        <w:rPr>
          <w:sz w:val="20"/>
          <w:szCs w:val="20"/>
          <w:color w:val="auto"/>
        </w:rPr>
      </w:pPr>
    </w:p>
    <w:p>
      <w:pPr>
        <w:ind w:left="420" w:right="80"/>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performed sensitivity analyses over the Company’s discount rate and the revenue growth projections to assess their impact on the determination of the fair value of the Surface Protection reporting unit. We compared the revenue growth projections used in the discounted cash flow model to underlying business strategies and growth plans of the Company. In addition, we involved valuation professionals with specialized skills and knowledge, who assisted in:</w:t>
      </w:r>
    </w:p>
    <w:p>
      <w:pPr>
        <w:spacing w:after="0" w:line="207" w:lineRule="exact"/>
        <w:rPr>
          <w:sz w:val="20"/>
          <w:szCs w:val="20"/>
          <w:color w:val="auto"/>
        </w:rPr>
      </w:pPr>
    </w:p>
    <w:p>
      <w:pPr>
        <w:ind w:left="820" w:right="100" w:hanging="407"/>
        <w:spacing w:after="0" w:line="261"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discount rate, by comparing it to a discount rate that was independently developed using publicly available third-party market data for comparable entities</w:t>
      </w:r>
    </w:p>
    <w:p>
      <w:pPr>
        <w:ind w:left="820" w:hanging="407"/>
        <w:spacing w:after="0" w:line="260"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revenue growth projections by comparing them to projections that were independently developed using external market and industry data.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Tredegar Corporation and subsidiaries' (the Company) internal control over financial reporting as of December 31, 2022,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2022,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(loss), comprehensive income (loss), cash flows, and shareholders’ equity for each of the years in the three-year period ended December 31, 2022, and the related notes (collectively, the consolidated financial statements), and our report dated March 16, 2023 expressed an unqualified opinion on those consolidated financial statements.</w:t>
      </w:r>
    </w:p>
    <w:p>
      <w:pPr>
        <w:spacing w:after="0" w:line="19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related to the Company not sufficiently attracting, developing, and retaining competent resources to fulfill internal control responsibilities and not having an effective information and communication process that identified and assessed the source of and controls necessary to ensure the reliability of information used in financial reporting. As a consequence, the Company did not effectively design, implement and operate process-level controls across its financial reporting processes. The material weaknesses have been identified and included in management’s assessment. The material weaknesses were considered in determining the nature, timing, and extent of audit tests applied in our audit of the 2022 consolidated financial statements, and this report does not affect our report on those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29"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2"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19,232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84,544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103,312</w:t>
            </w: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recoverable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127,771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88,569</w:t>
            </w: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10,304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r>
      <w:tr>
        <w:trPr>
          <w:trHeight w:val="230"/>
        </w:trPr>
        <w:tc>
          <w:tcPr>
            <w:tcW w:w="8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242,584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236,413</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4,832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71,129</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69,406</w:t>
            </w:r>
          </w:p>
        </w:tc>
      </w:tr>
      <w:tr>
        <w:trPr>
          <w:trHeight w:val="229"/>
        </w:trPr>
        <w:tc>
          <w:tcPr>
            <w:tcW w:w="8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455,960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424,368</w:t>
            </w:r>
          </w:p>
        </w:tc>
      </w:tr>
      <w:tr>
        <w:trPr>
          <w:trHeight w:val="223"/>
        </w:trPr>
        <w:tc>
          <w:tcPr>
            <w:tcW w:w="8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531,921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498,311</w:t>
            </w:r>
          </w:p>
        </w:tc>
      </w:tr>
      <w:tr>
        <w:trPr>
          <w:trHeight w:val="230"/>
        </w:trPr>
        <w:tc>
          <w:tcPr>
            <w:tcW w:w="8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(345,510)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(327,930)</w:t>
            </w:r>
          </w:p>
        </w:tc>
      </w:tr>
      <w:tr>
        <w:trPr>
          <w:trHeight w:val="223"/>
        </w:trPr>
        <w:tc>
          <w:tcPr>
            <w:tcW w:w="8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186,411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170,381</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14,021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11,690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70,608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13,900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30"/>
        </w:trPr>
        <w:tc>
          <w:tcPr>
            <w:tcW w:w="8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542,093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114,938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123,760</w:t>
            </w: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31,603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r>
      <w:tr>
        <w:trPr>
          <w:trHeight w:val="230"/>
        </w:trPr>
        <w:tc>
          <w:tcPr>
            <w:tcW w:w="8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8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149,713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168,548</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12,738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137,000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80808"/>
              </w:rPr>
              <w:t>Pension and other postretirement benefit obligations,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35,046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78,265</w:t>
            </w:r>
          </w:p>
        </w:tc>
      </w:tr>
      <w:tr>
        <w:trPr>
          <w:trHeight w:val="230"/>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5,834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23"/>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340,331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338,862</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Contingencies (Note 18)</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150,000,000 shares;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Issued and outstanding— 34,000,642 shares in 2022 and 33,736,629 in 2021 (including restricted stock)</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58,824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55,174</w:t>
            </w:r>
          </w:p>
        </w:tc>
      </w:tr>
      <w:tr>
        <w:trPr>
          <w:trHeight w:val="230"/>
        </w:trPr>
        <w:tc>
          <w:tcPr>
            <w:tcW w:w="8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Common stock held in trust for savings restoration plan (113,316 shares in 2022 and 108,433 in 2021)</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(86,079)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(85,792)</w:t>
            </w:r>
          </w:p>
        </w:tc>
      </w:tr>
      <w:tr>
        <w:trPr>
          <w:trHeight w:val="229"/>
        </w:trPr>
        <w:tc>
          <w:tcPr>
            <w:tcW w:w="8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8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(59,036)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(64,613)</w:t>
            </w:r>
          </w:p>
        </w:tc>
      </w:tr>
      <w:tr>
        <w:trPr>
          <w:trHeight w:val="229"/>
        </w:trPr>
        <w:tc>
          <w:tcPr>
            <w:tcW w:w="8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292,721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281,187</w:t>
            </w:r>
          </w:p>
        </w:tc>
      </w:tr>
      <w:tr>
        <w:trPr>
          <w:trHeight w:val="223"/>
        </w:trPr>
        <w:tc>
          <w:tcPr>
            <w:tcW w:w="83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201,762</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r>
      <w:tr>
        <w:trPr>
          <w:trHeight w:val="230"/>
        </w:trPr>
        <w:tc>
          <w:tcPr>
            <w:tcW w:w="8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542,093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per-share data)</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938,564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826,455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755,290</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935</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20,376</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(67,294)</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939,499</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846,831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687,996</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764,042</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649,690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558,967</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34,982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28,232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78,790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74,964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6,214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2,520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14,569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14,160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4,990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175"/>
        </w:trPr>
        <w:tc>
          <w:tcPr>
            <w:tcW w:w="68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622</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906,729</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779,610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713,042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32,770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67,221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4,389</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28,381</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57,937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28,455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57,826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0.84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6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0.84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0.84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6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0.84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33,402</w:t>
            </w:r>
          </w:p>
        </w:tc>
        <w:tc>
          <w:tcPr>
            <w:tcW w:w="0" w:type="dxa"/>
            <w:vAlign w:val="bottom"/>
          </w:tcPr>
          <w:p>
            <w:pPr>
              <w:spacing w:after="0"/>
              <w:rPr>
                <w:sz w:val="1"/>
                <w:szCs w:val="1"/>
                <w:color w:val="auto"/>
              </w:rPr>
            </w:pPr>
          </w:p>
        </w:tc>
      </w:tr>
      <w:tr>
        <w:trPr>
          <w:trHeight w:val="238"/>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33,826</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 w:lineRule="exact"/>
        <w:rPr>
          <w:sz w:val="20"/>
          <w:szCs w:val="20"/>
          <w:color w:val="auto"/>
        </w:rPr>
      </w:pPr>
    </w:p>
    <w:p>
      <w:pPr>
        <w:jc w:val="both"/>
        <w:ind w:left="7260"/>
        <w:spacing w:after="0"/>
        <w:tabs>
          <w:tab w:leader="none" w:pos="8780" w:val="left"/>
          <w:tab w:leader="none" w:pos="10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color w:val="auto"/>
        </w:rPr>
        <w:t>2021</w:t>
      </w:r>
      <w:r>
        <w:rPr>
          <w:sz w:val="20"/>
          <w:szCs w:val="20"/>
          <w:color w:val="auto"/>
        </w:rPr>
        <w:tab/>
      </w:r>
      <w:r>
        <w:rPr>
          <w:rFonts w:ascii="Times New Roman" w:cs="Times New Roman" w:eastAsia="Times New Roman" w:hAnsi="Times New Roman"/>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Net income (loss)</w:t>
      </w:r>
      <w:r>
        <w:rPr>
          <w:sz w:val="20"/>
          <w:szCs w:val="20"/>
          <w:color w:val="auto"/>
        </w:rPr>
        <w:tab/>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520" w:right="500"/>
        <w:spacing w:after="0" w:line="253" w:lineRule="auto"/>
        <w:rPr>
          <w:sz w:val="20"/>
          <w:szCs w:val="20"/>
          <w:color w:val="auto"/>
        </w:rPr>
      </w:pPr>
      <w:r>
        <w:rPr>
          <w:rFonts w:ascii="Times New Roman" w:cs="Times New Roman" w:eastAsia="Times New Roman" w:hAnsi="Times New Roman"/>
          <w:sz w:val="17"/>
          <w:szCs w:val="17"/>
          <w:color w:val="auto"/>
        </w:rPr>
        <w:t>Unrealized foreign currency translation adjustment (net of tax expense of $290 in 2022, net of tax benefit of $365 in 2021 and net of tax benefit of $897 in 2020)</w:t>
      </w:r>
    </w:p>
    <w:p>
      <w:pPr>
        <w:spacing w:after="0" w:line="2" w:lineRule="exact"/>
        <w:rPr>
          <w:sz w:val="20"/>
          <w:szCs w:val="20"/>
          <w:color w:val="auto"/>
        </w:rPr>
      </w:pPr>
    </w:p>
    <w:p>
      <w:pPr>
        <w:ind w:left="520" w:right="360"/>
        <w:spacing w:after="0" w:line="237" w:lineRule="auto"/>
        <w:rPr>
          <w:sz w:val="20"/>
          <w:szCs w:val="20"/>
          <w:color w:val="auto"/>
        </w:rPr>
      </w:pPr>
      <w:r>
        <w:rPr>
          <w:rFonts w:ascii="Times New Roman" w:cs="Times New Roman" w:eastAsia="Times New Roman" w:hAnsi="Times New Roman"/>
          <w:sz w:val="18"/>
          <w:szCs w:val="18"/>
          <w:color w:val="auto"/>
        </w:rPr>
        <w:t>Reclassification of foreign currency translation loss realized on the sale of Personal Care Films</w:t>
      </w:r>
    </w:p>
    <w:p>
      <w:pPr>
        <w:spacing w:after="0" w:line="10" w:lineRule="exact"/>
        <w:rPr>
          <w:sz w:val="20"/>
          <w:szCs w:val="20"/>
          <w:color w:val="auto"/>
        </w:rPr>
      </w:pPr>
    </w:p>
    <w:p>
      <w:pPr>
        <w:ind w:left="520" w:right="200"/>
        <w:spacing w:after="0" w:line="237" w:lineRule="auto"/>
        <w:rPr>
          <w:sz w:val="20"/>
          <w:szCs w:val="20"/>
          <w:color w:val="auto"/>
        </w:rPr>
      </w:pPr>
      <w:r>
        <w:rPr>
          <w:rFonts w:ascii="Times New Roman" w:cs="Times New Roman" w:eastAsia="Times New Roman" w:hAnsi="Times New Roman"/>
          <w:sz w:val="18"/>
          <w:szCs w:val="18"/>
          <w:color w:val="auto"/>
        </w:rPr>
        <w:t>Derivative financial instruments adjustment (net of tax benefit of $336 in 2022, net of tax benefit of $351 in 2021 and net of tax expense of $790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Pension &amp; other postretirement benefit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720" w:right="260"/>
        <w:spacing w:after="0" w:line="234" w:lineRule="auto"/>
        <w:rPr>
          <w:sz w:val="20"/>
          <w:szCs w:val="20"/>
          <w:color w:val="auto"/>
        </w:rPr>
      </w:pPr>
      <w:r>
        <w:rPr>
          <w:rFonts w:ascii="Times New Roman" w:cs="Times New Roman" w:eastAsia="Times New Roman" w:hAnsi="Times New Roman"/>
          <w:sz w:val="18"/>
          <w:szCs w:val="18"/>
          <w:color w:val="auto"/>
        </w:rPr>
        <w:t>Net gains (losses) and prior service costs (net of tax benefit of $1,400 in 2022, net of tax expense of $5,212 in 2021 and net of tax benefit of $4,228 in 2020)</w:t>
      </w:r>
    </w:p>
    <w:p>
      <w:pPr>
        <w:spacing w:after="0" w:line="10" w:lineRule="exact"/>
        <w:rPr>
          <w:sz w:val="20"/>
          <w:szCs w:val="20"/>
          <w:color w:val="auto"/>
        </w:rPr>
      </w:pPr>
    </w:p>
    <w:p>
      <w:pPr>
        <w:ind w:left="720" w:right="380"/>
        <w:spacing w:after="0" w:line="226" w:lineRule="auto"/>
        <w:rPr>
          <w:sz w:val="20"/>
          <w:szCs w:val="20"/>
          <w:color w:val="auto"/>
        </w:rPr>
      </w:pPr>
      <w:r>
        <w:rPr>
          <w:rFonts w:ascii="Times New Roman" w:cs="Times New Roman" w:eastAsia="Times New Roman" w:hAnsi="Times New Roman"/>
          <w:sz w:val="18"/>
          <w:szCs w:val="18"/>
          <w:color w:val="auto"/>
        </w:rPr>
        <w:t>Amortization of prior service costs and net gains or losses (net of tax expense of $2,965 in 2022, net of tax expense of $3,676 in 2021 and net of tax expense of $3,937 in 2020)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28,455</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57,826</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(75,444)</w:t>
            </w:r>
          </w:p>
        </w:tc>
      </w:tr>
      <w:tr>
        <w:trPr>
          <w:trHeight w:val="648"/>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r>
      <w:tr>
        <w:trPr>
          <w:trHeight w:val="41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418"/>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(3,381)</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648"/>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(5,064)</w:t>
            </w:r>
          </w:p>
        </w:tc>
        <w:tc>
          <w:tcPr>
            <w:tcW w:w="5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18,720</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r>
      <w:tr>
        <w:trPr>
          <w:trHeight w:val="592"/>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10,641</w:t>
            </w:r>
          </w:p>
        </w:tc>
        <w:tc>
          <w:tcPr>
            <w:tcW w:w="5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13,186</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r>
    </w:tbl>
    <w:p>
      <w:pPr>
        <w:spacing w:after="0" w:line="1" w:lineRule="exact"/>
        <w:rPr>
          <w:sz w:val="20"/>
          <w:szCs w:val="20"/>
          <w:color w:val="auto"/>
        </w:rPr>
      </w:pPr>
    </w:p>
    <w:p>
      <w:pPr>
        <w:sectPr>
          <w:pgSz w:w="11900" w:h="16838" w:orient="portrait"/>
          <w:cols w:equalWidth="0" w:num="2">
            <w:col w:w="6880" w:space="720"/>
            <w:col w:w="3640"/>
          </w:cols>
          <w:pgMar w:left="320" w:top="72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3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28,900</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19,247</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30,364</w:t>
            </w: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86,726</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3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8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28,455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57,826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(75,444)</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23,882</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22,080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28,940</w:t>
            </w:r>
          </w:p>
        </w:tc>
      </w:tr>
      <w:tr>
        <w:trPr>
          <w:trHeight w:val="230"/>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2,520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9"/>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Goodwill impairment</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r>
      <w:tr>
        <w:trPr>
          <w:trHeight w:val="229"/>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2,098</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230"/>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r>
      <w:tr>
        <w:trPr>
          <w:trHeight w:val="229"/>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14,602</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r>
      <w:tr>
        <w:trPr>
          <w:trHeight w:val="230"/>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3,619</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29"/>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loss on investment in kaléo</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r>
      <w:tr>
        <w:trPr>
          <w:trHeight w:val="229"/>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sale of divested businesses</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52,326</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18,569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(37,771)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30"/>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1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(6,423)</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29"/>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30"/>
        </w:trPr>
        <w:tc>
          <w:tcPr>
            <w:tcW w:w="5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(14,916)</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29"/>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1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(50,660)</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870</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3"/>
        </w:trPr>
        <w:tc>
          <w:tcPr>
            <w:tcW w:w="5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(20,844)</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70,583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74,373</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(23,355)</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1,406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47,062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on sale of divested businesses</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56,236</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assets and other</w:t>
            </w:r>
          </w:p>
        </w:tc>
        <w:tc>
          <w:tcPr>
            <w:tcW w:w="1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(35,459)</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24,450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32,881</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17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313,500</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75,500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162,250</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(249,500)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(70,250)</w:t>
            </w: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(16,974)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(216,049)</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5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3"/>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45,385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(125,592)</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(11,289)</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18,675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31,422</w:t>
            </w: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payments</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37"/>
        </w:trPr>
        <w:tc>
          <w:tcPr>
            <w:tcW w:w="5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Income tax payments, net</w:t>
            </w: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10,814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12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for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Accumulated Other</w:t>
            </w:r>
          </w:p>
        </w:tc>
        <w:tc>
          <w:tcPr>
            <w:tcW w:w="240" w:type="dxa"/>
            <w:vAlign w:val="bottom"/>
          </w:tcPr>
          <w:p>
            <w:pPr>
              <w:spacing w:after="0"/>
              <w:rPr>
                <w:sz w:val="17"/>
                <w:szCs w:val="17"/>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4"/>
                <w:szCs w:val="14"/>
                <w:color w:val="auto"/>
              </w:rPr>
            </w:pPr>
          </w:p>
        </w:tc>
        <w:tc>
          <w:tcPr>
            <w:tcW w:w="11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rPr>
              <w:t>Comprehensive</w:t>
            </w:r>
          </w:p>
        </w:tc>
        <w:tc>
          <w:tcPr>
            <w:tcW w:w="12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per-share data)</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Restoration Plan</w:t>
            </w:r>
          </w:p>
        </w:tc>
        <w:tc>
          <w:tcPr>
            <w:tcW w:w="18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 (Loss)</w:t>
            </w:r>
          </w:p>
        </w:tc>
        <w:tc>
          <w:tcPr>
            <w:tcW w:w="24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33,365,039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45,514</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530,478</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376,749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 loss realized on the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Personal Care Films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($6.45 per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33,457,176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($0.48 per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upon exercise of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33,736,629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28,455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10,641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10,641</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($0.50 per 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4,046</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34,000,642</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58,824</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292,721</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(147,595)</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201,762</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SUMMARY OF SIGNIFICANT ACCOUNTING POLICIES</w:t>
      </w:r>
    </w:p>
    <w:p>
      <w:pPr>
        <w:spacing w:after="0" w:line="10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Nature of Operations. </w:t>
      </w:r>
      <w:r>
        <w:rPr>
          <w:rFonts w:ascii="Times New Roman" w:cs="Times New Roman" w:eastAsia="Times New Roman" w:hAnsi="Times New Roman"/>
          <w:sz w:val="17"/>
          <w:szCs w:val="17"/>
          <w:color w:val="auto"/>
        </w:rPr>
        <w:t>Tredegar Corporation and subsidiaries (collectively “Tredegar,” “the Company,” “we,” “us” or “our”) is an industrial manufacturer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three primary businesses: custom aluminum extrusions for the North American building &amp; construction, automotive and specialty end-use markets; surface protection films for high-technology applications in the global electronics industry and polyethylene overwrap films used in bathroom tissue and paper towels; and polyester-based films for use in packaging applications that have specialized properties primarily for the Latin American and the United States (“U.S.”) flexible packaging markets. The Company’s business segments are Aluminum Extrusions (also referred to as Bonnell Aluminum), PE Films, and Flexible Packaging Films (also referred to as Terphane). More information on the Company’s business segments is provided in Note 13.</w:t>
      </w:r>
    </w:p>
    <w:p>
      <w:pPr>
        <w:spacing w:after="0" w:line="37"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 the Surface Protection component of PE Films. Commencing in the third quarter of 2020, all historical results for Personal Care Films have been presented as discontinued operations.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this transaction, see Note 15.</w:t>
      </w:r>
    </w:p>
    <w:p>
      <w:pPr>
        <w:spacing w:after="0" w:line="10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Principles of Consolidation. </w:t>
      </w:r>
      <w:r>
        <w:rPr>
          <w:rFonts w:ascii="Times New Roman" w:cs="Times New Roman" w:eastAsia="Times New Roman" w:hAnsi="Times New Roman"/>
          <w:sz w:val="18"/>
          <w:szCs w:val="18"/>
          <w:color w:val="auto"/>
        </w:rPr>
        <w:t>The consolidated financial statements include the accounts and operations of the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prepared in accordance with U.S. generally accepted accounting principles (“GAAP”). Intercompany balances and transactions have been eliminated in consolidation. Certain amounts for the prior years have been reclassified to conform to current year presentation.</w:t>
      </w:r>
    </w:p>
    <w:p>
      <w:pPr>
        <w:spacing w:after="0" w:line="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Fiscal Year End. </w:t>
      </w:r>
      <w:r>
        <w:rPr>
          <w:rFonts w:ascii="Times New Roman" w:cs="Times New Roman" w:eastAsia="Times New Roman" w:hAnsi="Times New Roman"/>
          <w:sz w:val="17"/>
          <w:szCs w:val="17"/>
          <w:color w:val="auto"/>
        </w:rPr>
        <w:t>The Company operates on a calendar fiscal year except for the Aluminum Extrusions segment, which operates on a 52/53-week fiscal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basis. References to Aluminum Extrusions for 2022, 2021 and 2020 relate to the 52-week fiscal years ended December 25, 2022, December 26, 2021 and December 27, 2020, respectively. The Company does not believe the impact of reporting the results of this segment in this manner is material to the consolidated financial results. The Company may fund or receive cash from the Aluminum Extrusions segment based on Aluminum Extrusion’s cash flows from operations during the intervening period from Aluminum Extrusion’s fiscal year end to the Company’s calendar year end. There was no intercompany funding with Aluminum Extrusions between December 25, 2022 and December 31, 2022 nor between December 27, 2021 and December 31, 2021.</w:t>
      </w:r>
    </w:p>
    <w:p>
      <w:pPr>
        <w:spacing w:after="0" w:line="4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liabilities, revenue, expenses and disclosure of contingent assets and liabilities (if any). On an ongoing basis, the Company evaluates its estimates, including those related to provisions for transaction and credit losses, income taxes, pension, and the valuation of goodwill and intangible assets, among others. Tredegar bases its estimates on historical experience and various other assumptions which the Company believes to be reasonable under the circumstances. Actual results could differ from those estimates.</w:t>
      </w:r>
    </w:p>
    <w:p>
      <w:pPr>
        <w:spacing w:after="0" w:line="5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the U.S., where the local currency is the functional currency,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translated into U.S. Dollars using exchange rates in effect at the period end for assets and liabilities and average exchange rates during each reporting period for results of operations. Adjustments resulting from the translation of these financial statements are reflected as a separate component of shareholders’ equity. There are no operating subsidiaries located outside the U.S. where the U.S. Dollar is the functional currency. Transaction and remeasurement gains or losses included in income were losses of $0.4 million, losses of $0.5 million and gains of $0.6 million in 2022, 2021 and 2020, respectively. These amounts do not include the effects between reporting periods that exchange rate changes have on income of the locations outside the U.S. that result from translation into U.S. Dollars.</w:t>
      </w:r>
    </w:p>
    <w:p>
      <w:pPr>
        <w:spacing w:after="0" w:line="4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and cash equivalents consist of cash on hand in excess of daily operating requirements and highly liquid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original maturities of three months or less. At December 31, 2022 and 2021, Tredegar had cash and cash equivalents of $19.2 million and $30.5 million, respectively, including funds held in locations outside the U.S. of $10.3 million and $16.4 million, respectively.</w:t>
      </w:r>
    </w:p>
    <w:p>
      <w:pPr>
        <w:spacing w:after="0" w:line="53"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Company’s policy permits investment of excess cash in marketable securities that have the highest credit ratings and maturities of less than one year. The primary objectives of the policy are safety of principal and liquidity.</w:t>
      </w:r>
    </w:p>
    <w:p>
      <w:pPr>
        <w:spacing w:after="0" w:line="3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and Other Receivables, net. </w:t>
      </w:r>
      <w:r>
        <w:rPr>
          <w:rFonts w:ascii="Times New Roman" w:cs="Times New Roman" w:eastAsia="Times New Roman" w:hAnsi="Times New Roman"/>
          <w:sz w:val="18"/>
          <w:szCs w:val="18"/>
          <w:color w:val="auto"/>
        </w:rPr>
        <w:t>Accounts receivable are stated at the amount invoiced to customers less allowances for doubtful accounts.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 are non-interest bearing and arise from the sale of product to customers under typical industry trade terms. Notes receivable are immaterial. Past due amounts are determined based on established terms and charged-off when deemed uncollectible. The allowance for doubtful accounts is determined based on an assessment of probable losses taking into account past due amounts, customer credit profile, historical experience and current economic conditions. For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2" w:name="page53"/>
    <w:bookmarkEnd w:id="52"/>
    <w:p>
      <w:pPr>
        <w:ind w:right="60"/>
        <w:spacing w:after="0" w:line="258" w:lineRule="auto"/>
        <w:rPr>
          <w:sz w:val="20"/>
          <w:szCs w:val="20"/>
          <w:color w:val="auto"/>
        </w:rPr>
      </w:pPr>
      <w:r>
        <w:rPr>
          <w:rFonts w:ascii="Times New Roman" w:cs="Times New Roman" w:eastAsia="Times New Roman" w:hAnsi="Times New Roman"/>
          <w:sz w:val="18"/>
          <w:szCs w:val="18"/>
          <w:color w:val="auto"/>
        </w:rPr>
        <w:t>receivables that do not have a specific allowance, the loss rate is computed by segment to apply to the remaining receivables balance, using each segment’s historic loss rate. Other receivables include value-added taxes related to certain foreign subsidiaries and other miscellaneous receivables due within one year. For certain customers, the Company has arrangements in place with financial institutions whereby certain customer receivables are sold to the financial institution at a discount and without recourse. Upon sale, the associated receivable is unrecognized and the discount is recognized. For more information on accounts receivable and other receivables, net, see Note 2.</w:t>
      </w:r>
    </w:p>
    <w:p>
      <w:pPr>
        <w:spacing w:after="0" w:line="4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market, with cost determined using the last in, first out (“LIFO”) method, the weighted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or the first in, first out (“FIFO”) method. Cost elements included in work-in-process and finished goods inventories are raw materials, direct labor and manufacturing overhead. Finished goods, work-in-process, raw materials and supplies, stores and other inventory are reviewed to determine if inventory quantities are in excess of forecasted usage or if they have become obsolete.</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Accounts include costs of assets constructed or purchased, related delivery and installation costs and interest incurred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capital projects during their construction periods. Expenditures for renewals and betterments also are capitalized, but expenditures for repairs and maintenance are expensed as incurred. The cost and accumulated depreciation applicable to assets retired or sold are removed from the respective accounts, and gains or losses thereon are included in income. Capital expenditures for property, plant and equipment include capitalized interest. Capitalized interest included in capital expenditures for property, plant and equipment was immaterial. Depreciation is computed primarily by the straight-line method based on the estimated useful lives of the assets that generally range from 5 to 40 years for buildings and land improvements and 2 to 20 years for machinery and equipment.</w:t>
      </w:r>
    </w:p>
    <w:p>
      <w:pPr>
        <w:spacing w:after="0" w:line="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Identifiable Intangibles. </w:t>
      </w:r>
      <w:r>
        <w:rPr>
          <w:rFonts w:ascii="Times New Roman" w:cs="Times New Roman" w:eastAsia="Times New Roman" w:hAnsi="Times New Roman"/>
          <w:sz w:val="18"/>
          <w:szCs w:val="18"/>
          <w:color w:val="auto"/>
        </w:rPr>
        <w:t>The excess of the purchase price over the fair value of identifiable net assets of acquired companies is allocated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5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2022, events and circumstances indicated that the Surface Protection reporting unit (“Surface Protection”), which is also the asset group, might be impaired. The Company performed a Step 1 analysis and long-lived impairment analysis for Surface Protection and determined that the fair value of Surface Protection exceeded its carrying value by 18.6%. Customer demand for electronics has continued to deteriorate since the third quarter of 2022, causing manufacturers in the supply chain to experience reduced capacity utilization and inventory corrections. In addition, these depressed market conditions, which are expected to continue through the first half of 2023, are adversely impacting mix through reduced sales to our highest value-added customers and products. Given the uncertain demand for Surface Protections products, it is reasonably possible that the cash flow estimates used in deriving such fair value measurements may change in the future.</w:t>
      </w:r>
    </w:p>
    <w:p>
      <w:pPr>
        <w:spacing w:after="0" w:line="67"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As of December 1, 2022, the Company’s reporting units with goodwill were Surface Protection in PE Films and Futura in Aluminum Extrusions. Both of these reporting units have separately identifiable operating net assets (operating assets including goodwill and identifiable intangible assets net of operating liabilities). The Company's Step 0 analyses as of December 1, 2022 of these reporting units concluded that it is not more likely than not that the fair values of each reporting unit was less than its carrying amount. Therefore, the Step 1 quantitative goodwill impairment tests for these reporting units were not necessary as of December 1, 2022.</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2022, Surface Protection had goodwill of $57.3 million and long-lived identifiable assets of $29.3 million.</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three months of 2020, the Company performed goodwill impairment tests and recognized a goodwill impairment charge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$13.7 million ($10.5 million after taxes), which represented the entire amount of goodwill associated with Aluminum Extrusions’ AACOA reporting unit. The operations of the AACOA reporting unit, which includes the Niles, Michigan and Elkhart, Indiana facilities, were expected to be severely impacted by COVID-19, with over 80% of the aluminum extrusions manufactured at these facilities sold to customers that make consumer durable products, such as recreational boating and power sports vehicles, and to customers serving the building and construction and automotive markets.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goodwill and identifiable intangibles, see Note 5.</w:t>
      </w:r>
    </w:p>
    <w:p>
      <w:pPr>
        <w:spacing w:after="0" w:line="100"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Company reviews long-lived assets for possible impairment when events indicate that an impairment may exist.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assets that are held and used in operations, if events indicate that an asset may be impaired, the Company estimates the future unlevered pre-tax cash flows expected to result from the use of the asset and its eventual disposition. Assets are grouped for this purpose at the lowest level for which there are identifiable and independent cash flows.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t>If the sum of these undiscounted pre-tax cash flows is less than the carrying amount of the asset group, an impairment loss is calculated. Measurement of the impairment loss is the amount by which the carrying amount exceeds the estimated fair value of the asset group. As of December 31, 2022 and 2021, no events were identified that indicated long-lived assets may be impaired.</w:t>
      </w:r>
    </w:p>
    <w:p>
      <w:pPr>
        <w:spacing w:after="0" w:line="41"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Assets that are held for sale are reported at the lower of their carrying amount or estimated fair value less cost to sell, with an impairment loss recognized for any write-down required.</w:t>
      </w:r>
    </w:p>
    <w:p>
      <w:pPr>
        <w:spacing w:after="0" w:line="3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Costs and Postretirement Benefit Costs Other than Pensions. </w:t>
      </w:r>
      <w:r>
        <w:rPr>
          <w:rFonts w:ascii="Times New Roman" w:cs="Times New Roman" w:eastAsia="Times New Roman" w:hAnsi="Times New Roman"/>
          <w:sz w:val="18"/>
          <w:szCs w:val="18"/>
          <w:color w:val="auto"/>
        </w:rPr>
        <w:t>Pension costs and postretirement benefit costs other than pensions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accrued over the period employees provided service to Tredegar. Liabilities and expenses for pension plans and other postretirement benefits are determined using actuarial methodologies and incorporate significant assumptions, including the rate used to discount the future estimated liability, the long-term rate of return on plan assets, and several assumptions relating to the employee workforce. The Company recognizes the funded status of its pension and other postretirement plans in the accompanying consolidated balance sheets. Tredegar’s policy is to fund its pension plans at amounts not less than the minimum requirements of the Employee Retirement Income Security Act (“ERISA”) of 1974 and to fund postretirement benefits other than pensions when claims are incurred.</w:t>
      </w:r>
    </w:p>
    <w:p>
      <w:pPr>
        <w:spacing w:after="0" w:line="6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February 10, 2022, Tredegar announced the initiation of a process to terminate and settle its frozen defined benefit pension plan, which could take up to 24 months to complete. In connection therewith, on February 9, 2022, the Company contributed $50 million to the pension plan (the “Special Contribution”). As a result, the Company expects there will be no required minimum contributions to the pension plan until final settlement. As the settlement process occurs, the Company expects to recognize a non-cash reclassification adjustment to net income or loss of other comprehensive net actuarial losses associated with the pension plan currently reflected directly in shareholders’ equity. Other comprehensive net actuarial losses associated with the pension plan were approximately $104 million on a pre-tax basis as of December 31, 2022.</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disclosure regarding Tredegar’s pension costs and postretirement benefit costs other than pensions is included in Note 8.</w:t>
      </w:r>
    </w:p>
    <w:p>
      <w:pPr>
        <w:spacing w:after="0" w:line="10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Company’s revenue is primarily generated from the sale of finished products to customers. Those sales predominantly contain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at the destination specified in the agreement with the customer.</w:t>
      </w:r>
    </w:p>
    <w:p>
      <w:pPr>
        <w:spacing w:after="0" w:line="5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Sales revenue is recognized in an amount that reflects the consideration the Company expects to be entitled to in exchange for that finished product. The Company offers various discounts, rebates and allowances to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sales returns and customer sales volume, thus represents variable consideration.</w:t>
      </w:r>
    </w:p>
    <w:p>
      <w:pPr>
        <w:spacing w:after="0" w:line="45"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Amounts billed to customers related to freight are classified as sales revenue and the cost of freight is classified as a separate line in the accompanying consolidated statements of income. Taxes assessed by a governmental authority that are both imposed on and concurrent with a specific revenue-producing transaction between Tredegar and its customers (such as value-added taxes) are accounted for on a net basis and therefore excluded from revenues. See Note 13 for disaggregation of revenue by segment and type. See Note 2 for a table showing accounts and other receivables, net of allowance for bad debts.</w:t>
      </w:r>
    </w:p>
    <w:p>
      <w:pPr>
        <w:spacing w:after="0" w:line="62"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Revenue expected to be recognized in any future period related to remaining performance obligations, excluding i) revenue pertaining to contracts that have an original expected duration of one year or less, ii) contracts where revenue is recognized as invoiced and iii) variable consideration related to unsatisfied performance obligations, is not expected to materially impact the Company’s financial results.</w:t>
      </w:r>
    </w:p>
    <w:p>
      <w:pPr>
        <w:spacing w:after="0" w:line="5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&amp; Development (“R&amp;D”) Costs. </w:t>
      </w:r>
      <w:r>
        <w:rPr>
          <w:rFonts w:ascii="Times New Roman" w:cs="Times New Roman" w:eastAsia="Times New Roman" w:hAnsi="Times New Roman"/>
          <w:sz w:val="18"/>
          <w:szCs w:val="18"/>
          <w:color w:val="auto"/>
        </w:rPr>
        <w:t>R&amp;D costs are expensed as incurred and include primarily salaries, wages, employee benefits,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facility costs and the cost of materials consumed relating to R&amp;D efforts. R&amp;D costs include a reasonable allocation of indirect costs.</w:t>
      </w:r>
    </w:p>
    <w:p>
      <w:pPr>
        <w:spacing w:after="0" w:line="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At inception, the Company determines if an arrangement contains a lease and whether that lease meets the classification criteria of a finance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 The Company has elected to not record short-term leases with an original lease term of one year or less in the consolidated balance sheet. To the extent such leases contain renewal options that the Company intends to exercise, the related Right-of-Use (“ROU”) asset and lease liability are included in the consolidated balance sheet. Some of the Company’s lease arrangements contain lease components (e.g., minimum rent payments) and non-lease components (e.g., maintenance, labor charges, etc.). The Company generally accounts for the lease and non-lease components as a single lease component.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w:t>
      </w:r>
    </w:p>
    <w:p>
      <w:pPr>
        <w:spacing w:after="0" w:line="4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“Right-of-use lease assets”, “Lease liabilities - short-term” and “Lease liabilities - long-term” on the consolidated balance sheets. These assets and liabilities are recognized at the commencement date based on the present value of remaining lease payments over the lease term using the Company’s secured incremental borrowing rates, adjusted for term and geographic location using country-based swap rates. As a result of the Company’s review of new and existing lease contracts, there were no instances where the Company could readily determine a rate implicit in the lease.</w:t>
      </w:r>
    </w:p>
    <w:p>
      <w:pPr>
        <w:spacing w:after="0" w:line="58"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Variable lease expense is recognized in the period in which the obligation for those payments is incurred. Depending upon the specific use of the ROU asset, lease expense is included in the “Cost of goods sold”, “Freight”, “Selling, general and administrative”, and “Research and development” line items on the consolidated statements of income. Lease income is not material to the results of operations for the years ended December 31, 2022 and 2021, respectively. Additional disclosure regarding Tredegar’s leases is included in Note 4.</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recognized during the period in which transactions enter into the determination of income for financial reporting purposes,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deferred income taxes being provided at enacted statutory tax rates on the differences between the financial reporting and tax bases of assets and liabilities (see Note 12). Tredegar’s policy is to accrue U.S. federal income taxes to the extent required under GAAP on unremitted earnings of all foreign subsidiaries where required. However, due to changes in the taxation of dividends under the Tax Cuts and Jobs Act (the “TCJA”) enacted by the U.S. government in December 2017, Tredegar only records U.S. federal income taxes on unremitted earnings of its foreign subsidiaries where Tredegar cannot take steps to eliminate any potential tax on future distributions from its foreign subsidiaries. Because of the accumulation of significant losses related to foreign currency translations at Terphane Limitada, there were no unrecorded deferred income tax liabilities associated with U.S. federal income taxes and foreign withholding taxes on Terphane Limitada’s undistributed earnings as of December 31, 2022 and December 31, 2021.</w:t>
      </w:r>
    </w:p>
    <w:p>
      <w:pPr>
        <w:spacing w:after="0" w:line="5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 The benefit of an uncertain tax position is included in the accompanying financial statements when the Company determines that it is more likely than not that the position will be sustained, based on the technical merits of the position, if the taxing authority examines the position and the dispute is litigated. This determination is made on the basis of all the facts, circumstances and information available as of the reporting date.</w:t>
      </w:r>
    </w:p>
    <w:p>
      <w:pPr>
        <w:spacing w:after="0" w:line="62"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Earnings Per Share. </w:t>
      </w:r>
      <w:r>
        <w:rPr>
          <w:rFonts w:ascii="Times New Roman" w:cs="Times New Roman" w:eastAsia="Times New Roman" w:hAnsi="Times New Roman"/>
          <w:sz w:val="17"/>
          <w:szCs w:val="17"/>
          <w:color w:val="auto"/>
        </w:rPr>
        <w:t>Basic earnings per share is computed using the weighted average number of shares of common stock outstanding. Diluted earnings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 share is computed using the weighted average common and potentially dilutive common equivalent shares outstanding, determined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80" w:type="dxa"/>
            <w:vAlign w:val="bottom"/>
            <w:tcBorders>
              <w:top w:val="single" w:sz="8" w:color="auto"/>
              <w:bottom w:val="single" w:sz="8" w:color="auto"/>
            </w:tcBorders>
            <w:shd w:val="clear" w:color="auto" w:fill="CCEEFF"/>
          </w:tcPr>
          <w:p>
            <w:pPr>
              <w:spacing w:after="0"/>
              <w:rPr>
                <w:sz w:val="22"/>
                <w:szCs w:val="22"/>
                <w:color w:val="auto"/>
              </w:rPr>
            </w:pPr>
          </w:p>
        </w:tc>
        <w:tc>
          <w:tcPr>
            <w:tcW w:w="196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33,805,530</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33,562,684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33,402,147</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attributable to stock options and restricted stock</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20,900</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107,566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33,826,430</w:t>
            </w: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33,670,250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33,402,147</w:t>
            </w:r>
          </w:p>
        </w:tc>
      </w:tr>
    </w:tbl>
    <w:p>
      <w:pPr>
        <w:spacing w:after="0" w:line="157"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using the average market price during the related period. The average out-of-the-money options to purchase shares that were excluded from the calculation of incremental shares attributable to stock options and restricted stock were 2,760,983 and 1,582,222 for the year ended December 31, 2022 and 2021, respectively. The Company had a net loss from continuing operations for the year ended December 31, 2020, so there is no dilutive impact for such shares. If the Company had reported net income from continuing operations for the year ended December 31, 2020, average out-of-the-money options to purchase shares that were excluded from the calculation of incremental shares attributable to stock options and restricted stock were 1,212,375.</w:t>
      </w:r>
    </w:p>
    <w:p>
      <w:pPr>
        <w:spacing w:after="0" w:line="6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Employee Compensation Plans. </w:t>
      </w:r>
      <w:r>
        <w:rPr>
          <w:rFonts w:ascii="Times New Roman" w:cs="Times New Roman" w:eastAsia="Times New Roman" w:hAnsi="Times New Roman"/>
          <w:sz w:val="18"/>
          <w:szCs w:val="18"/>
          <w:color w:val="auto"/>
        </w:rPr>
        <w:t>The cost of all share-based payments is recognized using the calculated fair value at the grant date,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of any later modification, over the requisite service period under the graded-vesting method. See Note 11 for additional information.</w:t>
      </w:r>
    </w:p>
    <w:p>
      <w:pPr>
        <w:spacing w:after="0" w:line="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Tredegar uses derivative financial instruments for the purpose of hedging aluminum price volatility and currency exchange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exposures that exist as part of transactions associated with ongoing business operations. The Company’s derivative financial instruments are designated as and qualify as cash flow hedges and are recognized in the accompanying balance sheet at fair value. A change in the fair value of the derivative that is highly effective and that is designated and qualifies as a cash flow hedge is recorded in other comprehensive income. Gains and losses reported in other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right="460"/>
        <w:spacing w:after="0" w:line="266" w:lineRule="auto"/>
        <w:rPr>
          <w:sz w:val="20"/>
          <w:szCs w:val="20"/>
          <w:color w:val="auto"/>
        </w:rPr>
      </w:pPr>
      <w:r>
        <w:rPr>
          <w:rFonts w:ascii="Times New Roman" w:cs="Times New Roman" w:eastAsia="Times New Roman" w:hAnsi="Times New Roman"/>
          <w:sz w:val="18"/>
          <w:szCs w:val="18"/>
          <w:color w:val="auto"/>
        </w:rPr>
        <w:t>comprehensive income (loss) are reclassified to earnings in the periods in which earnings are affected by the variability of cash flows of the hedged transaction. Such gains and losses are reported in the same line as the underlying hedged item, and the cash flows related to financial instruments are classified in the consolidated statements of cash flows in a manner consistent with those of the transactions being hedged.</w:t>
      </w:r>
    </w:p>
    <w:p>
      <w:pPr>
        <w:spacing w:after="0" w:line="4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policy requires that it formally document all relationships between hedging instruments and hedged items, as well as its risk management objective and strategy for undertaking various hedge transactions. The Company also uses regression analysis, unless the hedge qualifies for other methods of assessing effectiveness, to formally assess (both at the hedge’s inception and on an ongoing basis) whether the derivatives that are used in hedging transactions have been highly effective in offsetting changes in the fair value or cash flows of hedged items and whether those derivatives may be expected to remain highly effective in future periods. When it is determined that a derivative is not (or has ceased to be) highly effective as a hedge, the Company discontinues hedge accounting prospectively.</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policy, Tredegar does not engage in speculative or leveraged transactions, nor does it hold or issue financial instruments for trading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 of the utilization of derivative hedging instruments is included in Note 10.</w:t>
      </w:r>
    </w:p>
    <w:p>
      <w:pPr>
        <w:spacing w:after="0" w:line="8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Comprehensive income (loss) is defined as net income or loss as adjusted by other comprehensive income or loss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comprehensive income (loss) includes changes in foreign currency translation adjustments, unrealized gains and losses on derivative financial instruments, prior service costs and net gains or losses from pension and other postretirement benefit plans arising during the period and amortization of these prior service costs and net gain or loss adjustments, all recorded net of deferred income taxes.</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Foreign Currency</w:t>
            </w:r>
          </w:p>
        </w:tc>
        <w:tc>
          <w:tcPr>
            <w:tcW w:w="2040" w:type="dxa"/>
            <w:vAlign w:val="bottom"/>
            <w:tcBorders>
              <w:top w:val="single" w:sz="8" w:color="auto"/>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Derivative</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1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Total Accumulated Other</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15"/>
                <w:szCs w:val="15"/>
                <w:color w:val="auto"/>
              </w:rPr>
            </w:pPr>
          </w:p>
        </w:tc>
        <w:tc>
          <w:tcPr>
            <w:tcW w:w="1560" w:type="dxa"/>
            <w:vAlign w:val="bottom"/>
            <w:gridSpan w:val="2"/>
            <w:vMerge w:val="continue"/>
            <w:shd w:val="clear" w:color="auto" w:fill="CCEEFF"/>
          </w:tcPr>
          <w:p>
            <w:pPr>
              <w:spacing w:after="0"/>
              <w:rPr>
                <w:sz w:val="15"/>
                <w:szCs w:val="15"/>
                <w:color w:val="auto"/>
              </w:rPr>
            </w:pPr>
          </w:p>
        </w:tc>
        <w:tc>
          <w:tcPr>
            <w:tcW w:w="2040" w:type="dxa"/>
            <w:vAlign w:val="bottom"/>
            <w:gridSpan w:val="2"/>
            <w:vMerge w:val="continue"/>
            <w:shd w:val="clear" w:color="auto" w:fill="CCEEFF"/>
          </w:tcPr>
          <w:p>
            <w:pPr>
              <w:spacing w:after="0"/>
              <w:rPr>
                <w:sz w:val="15"/>
                <w:szCs w:val="15"/>
                <w:color w:val="auto"/>
              </w:rPr>
            </w:pPr>
          </w:p>
        </w:tc>
        <w:tc>
          <w:tcPr>
            <w:tcW w:w="1820" w:type="dxa"/>
            <w:vAlign w:val="bottom"/>
            <w:gridSpan w:val="2"/>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Postretirement Benefit</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Comprehensive Income</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(Loss)</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(100,663)</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(197,651)</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4,228</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25,295</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8,724</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15,296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25,295</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6,856</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11,359</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16,514</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19,247</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23,932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18,720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13,186</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31,906</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(7,717)</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(6,981)</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13,606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710</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(2,965)</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(1,751)</w:t>
            </w:r>
          </w:p>
        </w:tc>
        <w:tc>
          <w:tcPr>
            <w:tcW w:w="240" w:type="dxa"/>
            <w:vAlign w:val="bottom"/>
          </w:tcPr>
          <w:p>
            <w:pPr>
              <w:spacing w:after="0"/>
              <w:rPr>
                <w:sz w:val="15"/>
                <w:szCs w:val="15"/>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10,641</w:t>
            </w:r>
          </w:p>
        </w:tc>
        <w:tc>
          <w:tcPr>
            <w:tcW w:w="160" w:type="dxa"/>
            <w:vAlign w:val="bottom"/>
          </w:tcPr>
          <w:p>
            <w:pPr>
              <w:spacing w:after="0"/>
              <w:rPr>
                <w:sz w:val="15"/>
                <w:szCs w:val="15"/>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8,890</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5,577</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(86,079)</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(147,595)</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8 for additional details.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“Reference Rate Reform (Topic 848)”, which provides optional expedients and exceptions for applying GAAP to contracts, hedging relationships and other transactions affected by the discontinuation of the London Interbank Offered Rate or by another reference rate expected to be discontinued because of reference rate reform. The guidance was effective beginning March 12, 2020 and can be applied prospectively through December 31, 2024. In January 2021, the FASB issued ASU 2021-01, which clarified the scope and application of the original guidance. In the second quarter of 2022, the Company adopted ASU 2020-04, which did not have a material impact on the Company’s consolidated financial statements.</w:t>
      </w:r>
    </w:p>
    <w:p>
      <w:pPr>
        <w:spacing w:after="0" w:line="66"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September 2022, the FASB issued ASU 2022-04 “Liabilities - Supplier Finance Programs (Subtopic 405-50)”, which requires that a buyer in a supplier finance program disclose sufficient information about the program to allow users of the financial statements to understand the program’s nature, activity during the period, changes from period to period and potential magnitude. The guidance is effective for fiscal years beginning after December 15, 2022, including interim periods within those fiscal years, except for the amendment on roll forward information, which is effective for fiscal years beginning after December 15, 2023. In the fourth quarter of 2022, the Company adopted ASU 2022-04, which did not have a material impact on the Company’s consolidated financial statements. See Note 17 for more details.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2022 and 2021, accounts receivable and other receivables, net, include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83,667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102,090</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accounts and notes receivable</w:t>
            </w:r>
          </w:p>
        </w:tc>
        <w:tc>
          <w:tcPr>
            <w:tcW w:w="2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3,874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2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87,541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105,048</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2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2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84,544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103,312</w:t>
            </w:r>
          </w:p>
        </w:tc>
      </w:tr>
    </w:tbl>
    <w:p>
      <w:pPr>
        <w:spacing w:after="0" w:line="144"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allowance for doubtful accounts for the three years ended December 31, 2022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21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1,926</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settlements</w:t>
            </w:r>
          </w:p>
        </w:tc>
        <w:tc>
          <w:tcPr>
            <w:tcW w:w="2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2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729"/>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8"/>
        </w:trPr>
        <w:tc>
          <w:tcPr>
            <w:tcW w:w="48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29"/>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34,686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15,604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58,262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w:t>
            </w:r>
          </w:p>
        </w:tc>
      </w:tr>
      <w:tr>
        <w:trPr>
          <w:trHeight w:val="230"/>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2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19,219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30"/>
        </w:trPr>
        <w:tc>
          <w:tcPr>
            <w:tcW w:w="4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127,771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88,569</w:t>
            </w:r>
          </w:p>
        </w:tc>
      </w:tr>
    </w:tbl>
    <w:p>
      <w:pPr>
        <w:spacing w:after="0" w:line="15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Inventories stated on the LIFO basis amounted to $25.3 million at December 31, 2022 and $18.8 million at December 31, 2021, which were below replacement costs by $15.6 million at December 31, 2022 and $27.5 million at December 31, 2021. Inventories stated on the weighted average cost basis were $62.9 million and $30.9 million at December 31, 2022 and 2021, respectively, while inventories stated on the FIFO method amounted to $39.5 million and $38.9 million at December 31, 2022 and 2021,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Tredegar has various operating lease agreements with remaining terms up to 10 years, including leases of real estate, office equipment and vehicles. As of December 31, 2022 and 2021, the Company had no finance lease agreements. Some leases include options to purchase the leased asset, terminate the agreement or extend the term of the agreement for one or more years. These options are included in the lease term when it is reasonably certain that the option will be exercised.</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maturity analysis of the Company’s operating leases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Future Lease Payments</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r>
    </w:tbl>
    <w:p>
      <w:pPr>
        <w:spacing w:after="0" w:line="15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lease costs, related cash flow and other information for the years ended December 31, 2022 and 2021. These costs are primarily related to long-term operating leases, but also include amounts for variable leases and short-term leases.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94"/>
        </w:trPr>
        <w:tc>
          <w:tcPr>
            <w:tcW w:w="60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w:t>
            </w:r>
          </w:p>
        </w:tc>
        <w:tc>
          <w:tcPr>
            <w:tcW w:w="12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 years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4.27 %</w:t>
            </w:r>
          </w:p>
        </w:tc>
        <w:tc>
          <w:tcPr>
            <w:tcW w:w="10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72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IDENTIFIABLE INTANGIBLE ASSETS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reconciliation of goodwill at December 31, 2022 and 2021 is as follows: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jc w:val="right"/>
              <w:ind w:right="190"/>
              <w:spacing w:after="0" w:line="179" w:lineRule="exact"/>
              <w:rPr>
                <w:sz w:val="20"/>
                <w:szCs w:val="20"/>
                <w:color w:val="auto"/>
              </w:rPr>
            </w:pPr>
            <w:r>
              <w:rPr>
                <w:rFonts w:ascii="Times New Roman" w:cs="Times New Roman" w:eastAsia="Times New Roman" w:hAnsi="Times New Roman"/>
                <w:sz w:val="18"/>
                <w:szCs w:val="18"/>
                <w:b w:val="1"/>
                <w:bCs w:val="1"/>
                <w:color w:val="auto"/>
              </w:rPr>
              <w:t>Aluminum</w:t>
            </w:r>
          </w:p>
        </w:tc>
        <w:tc>
          <w:tcPr>
            <w:tcW w:w="220" w:type="dxa"/>
            <w:vAlign w:val="bottom"/>
          </w:tcPr>
          <w:p>
            <w:pPr>
              <w:spacing w:after="0"/>
              <w:rPr>
                <w:sz w:val="15"/>
                <w:szCs w:val="15"/>
                <w:color w:val="auto"/>
              </w:rPr>
            </w:pPr>
          </w:p>
        </w:tc>
        <w:tc>
          <w:tcPr>
            <w:tcW w:w="10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PE Films</w:t>
            </w:r>
            <w:r>
              <w:rPr>
                <w:rFonts w:ascii="Times New Roman" w:cs="Times New Roman" w:eastAsia="Times New Roman" w:hAnsi="Times New Roman"/>
                <w:sz w:val="23"/>
                <w:szCs w:val="23"/>
                <w:b w:val="1"/>
                <w:bCs w:val="1"/>
                <w:color w:val="auto"/>
                <w:w w:val="99"/>
                <w:vertAlign w:val="superscript"/>
              </w:rPr>
              <w:t>(a)</w:t>
            </w:r>
          </w:p>
        </w:tc>
        <w:tc>
          <w:tcPr>
            <w:tcW w:w="500" w:type="dxa"/>
            <w:vAlign w:val="bottom"/>
          </w:tcPr>
          <w:p>
            <w:pPr>
              <w:spacing w:after="0"/>
              <w:rPr>
                <w:sz w:val="15"/>
                <w:szCs w:val="15"/>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9"/>
              </w:rPr>
              <w:t>Extrusions</w:t>
            </w:r>
            <w:r>
              <w:rPr>
                <w:rFonts w:ascii="Times New Roman" w:cs="Times New Roman" w:eastAsia="Times New Roman" w:hAnsi="Times New Roman"/>
                <w:sz w:val="23"/>
                <w:szCs w:val="23"/>
                <w:b w:val="1"/>
                <w:bCs w:val="1"/>
                <w:color w:val="auto"/>
                <w:w w:val="99"/>
                <w:vertAlign w:val="superscript"/>
              </w:rPr>
              <w:t>(a)</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57,338</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67,708</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Out-of-period adjustment</w:t>
            </w: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2021</w:t>
            </w:r>
          </w:p>
        </w:tc>
        <w:tc>
          <w:tcPr>
            <w:tcW w:w="1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13,270</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57,338</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57,338</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The goodwill of Aluminum Extrusions and PE Films is carried by the Futura and Surface Protection reporting units, respectively.</w:t>
      </w:r>
    </w:p>
    <w:p>
      <w:pPr>
        <w:spacing w:after="0" w:line="95"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During the fourth quarter of 2021, the Company recorded an out-of-period adjustment in connection with the original valuation of intangible assets and goodwill related to the acquisition of Futura in February 2017. This adjustment resulted in a reclassification of $2.9 million from acquired customer relationship intangible assets to goodwill and a $0.9 million decrease to accumulated amortization and amortization expense as of and for the period ended December 31, 2021.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8"/>
          <w:szCs w:val="18"/>
          <w:color w:val="auto"/>
        </w:rPr>
        <w:t>A reconciliation of identifiable intangibles at December 31, 2022 and 2021 is as follows: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Proprietary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Trade Names</w:t>
            </w: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value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26,549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13,394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43,669</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(15,467)</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(31,979)</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at December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11,082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11,690</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carrying value at December 31, 2021</w:t>
            </w:r>
            <w:r>
              <w:rPr>
                <w:rFonts w:ascii="Times New Roman" w:cs="Times New Roman" w:eastAsia="Times New Roman" w:hAnsi="Times New Roman"/>
                <w:sz w:val="23"/>
                <w:szCs w:val="23"/>
                <w:color w:val="auto"/>
                <w:vertAlign w:val="superscript"/>
              </w:rPr>
              <w:t>(a)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43,585</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bl>
    <w:p>
      <w:pPr>
        <w:ind w:left="360" w:right="1000" w:hanging="246"/>
        <w:spacing w:after="0" w:line="245" w:lineRule="auto"/>
        <w:tabs>
          <w:tab w:leader="none" w:pos="3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$2.9 million gross reclassification from customer relationship intangible assets to goodwill offset by a $0.9 million decrease to accumulated amortization as a result of the out-of-period adjustment.</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over the next five years is expected to be as follows: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500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4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r>
      <w:tr>
        <w:trPr>
          <w:trHeight w:val="237"/>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6,103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Payrolls, related taxes and medical and other benefits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5,916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 liability</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2,298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utilities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Workers’ compensation and disabilities</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rebates</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3,593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30"/>
        </w:trPr>
        <w:tc>
          <w:tcPr>
            <w:tcW w:w="6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31,603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w:t>
            </w:r>
          </w:p>
        </w:tc>
      </w:tr>
    </w:tbl>
    <w:p>
      <w:pPr>
        <w:spacing w:after="0" w:line="144" w:lineRule="exact"/>
        <w:rPr>
          <w:sz w:val="20"/>
          <w:szCs w:val="20"/>
          <w:color w:val="auto"/>
        </w:rPr>
      </w:pPr>
    </w:p>
    <w:p>
      <w:pPr>
        <w:ind w:right="80" w:firstLine="405"/>
        <w:spacing w:after="0" w:line="241" w:lineRule="auto"/>
        <w:rPr>
          <w:sz w:val="20"/>
          <w:szCs w:val="20"/>
          <w:color w:val="auto"/>
        </w:rPr>
      </w:pPr>
      <w:r>
        <w:rPr>
          <w:rFonts w:ascii="Times New Roman" w:cs="Times New Roman" w:eastAsia="Times New Roman" w:hAnsi="Times New Roman"/>
          <w:sz w:val="18"/>
          <w:szCs w:val="18"/>
          <w:color w:val="auto"/>
        </w:rPr>
        <w:t>In the fourth quarter of 2021, the Company changed its vacation policy such that effective January 1, 2022 substantially all U.S. employees earn their vacation for the current year on a monthly basis throughout the year and forfeit any unused vacation at the end of the year, with the exception of a partial rollover allowance subject to a cap or where forfeiture is prohibited by applicable state or local law or a collective bargaining agreement. Under the previous policy, vacation was granted at the beginning of the year in advance of work being performed for the subsequent year. As a result of this policy change, the Company recorded in the fourth quarter of 2021 a reduction of $3.9 million to accrued expenses and a decrease to selling, general, and administrative expense ($1.3 million) and cost of goods sold ($2.6 million) within the consolidated statements of income.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7. DEBT AND CREDIT AGREEMENTS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(the “Credit Agreement”) that replaced its existing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million five-year, secured revolving credit facility that was due to expire on June 28, 2024. The Credit Agreement is a five-year, revolving,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that permits aggregate borrowings of $375 million and matures on June 29, 2027.</w:t>
      </w:r>
    </w:p>
    <w:p>
      <w:pPr>
        <w:spacing w:after="0" w:line="8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Secured Overnight Financing Rate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57"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$137.0 million of the outstanding debt was principally priced at an interest rate equal to the Adjusted Term SOFR Rate plus the applicable credit spread of 162.5 basis points. Prior to the Credit Agreement, the interest rate on borrowings was based on London Inter-Bank Offered Rate plus an applicable credit spread.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90" w:lineRule="exact"/>
        <w:rPr>
          <w:rFonts w:ascii="Times New Roman" w:cs="Times New Roman" w:eastAsia="Times New Roman" w:hAnsi="Times New Roman"/>
          <w:sz w:val="18"/>
          <w:szCs w:val="18"/>
          <w:color w:val="auto"/>
        </w:rPr>
      </w:pPr>
    </w:p>
    <w:p>
      <w:pPr>
        <w:ind w:left="820" w:right="140" w:hanging="407"/>
        <w:spacing w:after="0" w:line="261"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04" w:lineRule="exact"/>
        <w:rPr>
          <w:sz w:val="20"/>
          <w:szCs w:val="20"/>
          <w:color w:val="auto"/>
        </w:rPr>
      </w:pPr>
    </w:p>
    <w:p>
      <w:pPr>
        <w:ind w:left="820" w:right="440" w:hanging="407"/>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EBITDA (as defined in Credit Agreement "Credit EBITDA"); and</w:t>
      </w:r>
    </w:p>
    <w:p>
      <w:pPr>
        <w:spacing w:after="0" w:line="2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Credit EBITDA to interest expense.</w:t>
      </w:r>
    </w:p>
    <w:p>
      <w:pPr>
        <w:spacing w:after="0" w:line="10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Credit Agreement is secured by substantially all assets of the Company and its domestic subsidiaries, including equity in certain material first-tier foreign subsidiaries. At December 31, 2022, based upon the most restrictive covenant within the Credit Agreement, available credit under the Credit Agreement was approximately $201 million. Tredegar was in compliance with all of its debt covenants as of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PLANS AND OTHER POSTRETIREMENT BENEFITS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Tredegar sponsors a noncontributory defined benefit (pension) plan covering certain current and former U.S. employees. The plan for salaried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hourly employees currently in effect is based on a formula using the participant’s years of service and compensation or using the participant’s years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a dollar amount. The plan is closed to new participants and pay for active plan participants for benefit calculations was frozen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As of January 31, 2018, the plan no longer accrued benefits associated with crediting employees for service, thereby freezing all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the plan.</w:t>
      </w:r>
    </w:p>
    <w:p>
      <w:pPr>
        <w:spacing w:after="0" w:line="85"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Tredegar also has a non-qualified supplemental pension plan covering certain employees. Effective December 31, 2005, further participation in this plan was terminated and benefit accruals for existing participants were frozen. The plan was designed to restore all or a part of the pension benefits that would have been payable to designated participants from the principal pension plans if it were not for limitations imposed by income tax regulations. The projected benefit obligation relating to this unfunded plan was $1.7 million and $2.1 million at December 31, 2022 and December 31, 2021, respectively. Pension expense recognized for this plan was $0.1 million in 2022, 2021 and 2020. This information has been included in the pension benefit tables below.</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In addition to providing pension benefits, the Company provides postretirement life insurance and health care benefits for certain groups of employees. Tredegar and retirees share in the cost of postretirement health care benefits, with employees hired on or before January 1, 1993, receiving a fixed subsidy to cover a portion of their health care premiums. The Company eliminated prescription drug coverage for Medicare-eligible retirees as of January 1, 2006. Consequently, Tredegar is not eligible for any federal subsidies.</w:t>
      </w:r>
    </w:p>
    <w:p>
      <w:pPr>
        <w:spacing w:after="0" w:line="4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Pension and other postretirement benefit liabilities related to Personal Care Films have been retained by the Company. Pension expense recognized for participation by these former employees in the Company’s plans is not material for the years ended December 31, 2022, 2021, and 2020.</w:t>
      </w:r>
    </w:p>
    <w:p>
      <w:pPr>
        <w:spacing w:after="0" w:line="4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changes in benefit obligations and plan assets in 2022 and 2021, and reconcile the funded status to prepaid or accrued cost at December 31, 2022 and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Other Post-</w:t>
            </w:r>
          </w:p>
        </w:tc>
        <w:tc>
          <w:tcPr>
            <w:tcW w:w="920" w:type="dxa"/>
            <w:vAlign w:val="bottom"/>
            <w:tcBorders>
              <w:top w:val="single" w:sz="8" w:color="auto"/>
            </w:tcBorders>
          </w:tcPr>
          <w:p>
            <w:pPr>
              <w:spacing w:after="0"/>
              <w:rPr>
                <w:sz w:val="17"/>
                <w:szCs w:val="17"/>
                <w:color w:val="auto"/>
              </w:rPr>
            </w:pPr>
          </w:p>
        </w:tc>
      </w:tr>
      <w:tr>
        <w:trPr>
          <w:trHeight w:val="243"/>
        </w:trPr>
        <w:tc>
          <w:tcPr>
            <w:tcW w:w="5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60" w:type="dxa"/>
            <w:vAlign w:val="bottom"/>
            <w:tcBorders>
              <w:bottom w:val="single" w:sz="8" w:color="auto"/>
              <w:right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Pension Benefits</w:t>
            </w:r>
          </w:p>
        </w:tc>
        <w:tc>
          <w:tcPr>
            <w:tcW w:w="3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Retirement Benefits</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316,169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336,159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7,370</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8,945</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8,398</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actuarial (gains) losses related to the following: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Discount rate change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(61,519)</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(12,512)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5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Retirement rate assumptions and mortality table adjustments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554</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5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(16,994)</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(16,803)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248,114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316,169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5,726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assets at fair value,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244,612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233,075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(59,683)</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23,131</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50,184</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5,209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(16,994)</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(16,803)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5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Plan assets at fair value,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218,119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244,612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Funded status of the plans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(29,995)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(71,557)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5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29,815</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71,376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5,237</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29,995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71,557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5,726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851"/>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60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assumptions used in accounting for the pension and other post-retirement benefits, and the components of net periodic benefit cost: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Other Post-</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Retirement Benefits</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178"/>
        </w:trPr>
        <w:tc>
          <w:tcPr>
            <w:tcW w:w="368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determine benefit obligations: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5.07 %</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4.99 %</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n/a</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84"/>
        </w:trPr>
        <w:tc>
          <w:tcPr>
            <w:tcW w:w="36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determine net periodic benefit cost: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3.05 %</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5.00 %</w:t>
            </w:r>
          </w:p>
        </w:tc>
        <w:tc>
          <w:tcPr>
            <w:tcW w:w="34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n/a</w:t>
            </w:r>
          </w:p>
        </w:tc>
        <w:tc>
          <w:tcPr>
            <w:tcW w:w="300" w:type="dxa"/>
            <w:vAlign w:val="bottom"/>
          </w:tcPr>
          <w:p>
            <w:pPr>
              <w:spacing w:after="0"/>
              <w:rPr>
                <w:sz w:val="19"/>
                <w:szCs w:val="19"/>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8,945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8,398</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10,156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(8,174)</w:t>
            </w:r>
          </w:p>
        </w:tc>
        <w:tc>
          <w:tcPr>
            <w:tcW w:w="32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(11,316)</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(11,004)</w:t>
            </w:r>
          </w:p>
        </w:tc>
        <w:tc>
          <w:tcPr>
            <w:tcW w:w="340" w:type="dxa"/>
            <w:vAlign w:val="bottom"/>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costs and gains</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13,746</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(140)</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 losses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17,003</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15,494</w:t>
            </w: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14,517</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14,085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14,646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periodic benefit cost is determined using assumptions at the beginning of each year. Funded status is determined using assumptions at the end of each year. The amount of the accumulated benefit obligation is the same as the projected benefit obligation. At December 31, 2022, the effect of a 1% change in the health care cost trend rate assumptions would not impact the post-retirement obligation.</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benefit payments over the next five years and in the aggregate for 2028—2032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Pension</w:t>
            </w: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Other Post-</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Retirement</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7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Benefits</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Benefits</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18,701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18,971</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19,047</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18,666</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18,600</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3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88,847</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remaining duration of benefit payments for the pension plan is about 9.6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pre-tax amounts recorded in 2022, 2021 and 2020 in accumulated other comprehensive income consist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Pension Benefits</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3300" w:type="dxa"/>
            <w:vAlign w:val="bottom"/>
            <w:tcBorders>
              <w:top w:val="single" w:sz="8" w:color="auto"/>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Other Post-Retirement Benefits</w:t>
            </w:r>
          </w:p>
        </w:tc>
      </w:tr>
      <w:tr>
        <w:trPr>
          <w:trHeight w:val="223"/>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103,998</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109,893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150,267</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373"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Pension expense is expected to be approximately $14 million in 2023. The amounts in accumulated other comprehensive income, before related deferred income taxes, that are expected to be recognized as components of net periodic cost during 2023 are approximately $12 million of cost for the pension plan and approximately $0.2 million of benefit for other post-retirement plans.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color w:val="auto"/>
        </w:rPr>
        <w:t>The percentage composition of assets held by pension plans at December 31, 2022, 2021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color w:val="auto"/>
        </w:rPr>
        <w:t>% Composition of Plan Assets</w:t>
      </w:r>
    </w:p>
    <w:p>
      <w:pPr>
        <w:spacing w:after="0" w:line="2"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color w:val="auto"/>
        </w:rPr>
        <w:t>at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19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income mutual fund</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13.9 %</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25.3 %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Large/mid-capitalization equity securities</w:t>
            </w:r>
          </w:p>
        </w:tc>
        <w:tc>
          <w:tcPr>
            <w:tcW w:w="1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28.1</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Small-capitalization equity securities</w:t>
            </w:r>
          </w:p>
        </w:tc>
        <w:tc>
          <w:tcPr>
            <w:tcW w:w="1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International and emerging market equity securities</w:t>
            </w: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9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54.8</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equity and hedge funds</w:t>
            </w:r>
          </w:p>
        </w:tc>
        <w:tc>
          <w:tcPr>
            <w:tcW w:w="1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4.8</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69.9</w:t>
            </w:r>
          </w:p>
        </w:tc>
        <w:tc>
          <w:tcPr>
            <w:tcW w:w="1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11.4</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100.0 %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17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Following the announcement to terminate and settle the pension plan, the Company contributed $50 million to the pension plan and implemented (through consultation with its investment advisors) a liability-matching bond portfolio investment strategy (including a derivative overlay) that hedged the estimated settlement funding gap, which was approximately $24 million (before plan administration costs) at that time. The overall objective of this hedging program is to minimize the volatility of the estimated settlement funding gap such that, as applicable interest rates move up or down causing a decrease or increase in the estimated value of the settlement liability, the value of the matching bond portfolio and derivative overlay decreases or increases by a similar amount.</w:t>
      </w:r>
    </w:p>
    <w:p>
      <w:pPr>
        <w:spacing w:after="0" w:line="5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 lower expected return on plan assets increases the amount of expense and vice versa. Decreases in the level of actual plan assets will also serve to increase the amount of pension expense. The total return on plan assets (net of fees and plan expenses), which is primarily affected by the change in fair value of plan assets, current year contributions and current year payments to participants, was approximately negative 15.1% in 2022, positive 10.4% in 2021 and positive 10.9% in 2020.</w:t>
      </w:r>
    </w:p>
    <w:p>
      <w:pPr>
        <w:spacing w:after="0" w:line="5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expected long-term rate return of 5.00% used in both 2021 and 2020 were determined at the end of 2020 and 2019 and therefore did not contemplate the liability-driven investment strategy discussed above, however, the expected long-term rate return of 3.05% used in 2022 and 4.99% for 2023 does contemplate the liability-driven investment strategy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firstLine="405"/>
        <w:spacing w:after="0" w:line="261" w:lineRule="auto"/>
        <w:rPr>
          <w:sz w:val="20"/>
          <w:szCs w:val="20"/>
          <w:color w:val="auto"/>
        </w:rPr>
      </w:pPr>
      <w:r>
        <w:rPr>
          <w:rFonts w:ascii="Times New Roman" w:cs="Times New Roman" w:eastAsia="Times New Roman" w:hAnsi="Times New Roman"/>
          <w:sz w:val="18"/>
          <w:szCs w:val="18"/>
          <w:color w:val="auto"/>
        </w:rPr>
        <w:t>Estimates of the fair value of assets held by the Company’s pension plan are provided by unaffiliated third parties. Investments in collective investment trusts, private equity, hedge funds and certain international equity securities are measured at net asset value, which is a practical expedient for measuring fair value. These assets are therefore excluded from the fair value hierarchy for each of the years presented. At December 31, 2022 and 2021, the pension plan assets are categorized by level within the fair value measurement hierarchy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Quoted Prices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Significant</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in Active</w:t>
            </w:r>
          </w:p>
        </w:tc>
        <w:tc>
          <w:tcPr>
            <w:tcW w:w="320" w:type="dxa"/>
            <w:vAlign w:val="bottom"/>
          </w:tcPr>
          <w:p>
            <w:pPr>
              <w:spacing w:after="0"/>
              <w:rPr>
                <w:sz w:val="15"/>
                <w:szCs w:val="15"/>
                <w:color w:val="auto"/>
              </w:rPr>
            </w:pPr>
          </w:p>
        </w:tc>
        <w:tc>
          <w:tcPr>
            <w:tcW w:w="132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136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Markets for</w:t>
            </w:r>
          </w:p>
        </w:tc>
        <w:tc>
          <w:tcPr>
            <w:tcW w:w="320" w:type="dxa"/>
            <w:vAlign w:val="bottom"/>
          </w:tcPr>
          <w:p>
            <w:pPr>
              <w:spacing w:after="0"/>
              <w:rPr>
                <w:sz w:val="16"/>
                <w:szCs w:val="16"/>
                <w:color w:val="auto"/>
              </w:rPr>
            </w:pPr>
          </w:p>
        </w:tc>
        <w:tc>
          <w:tcPr>
            <w:tcW w:w="132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260" w:type="dxa"/>
            <w:vAlign w:val="bottom"/>
          </w:tcPr>
          <w:p>
            <w:pPr>
              <w:spacing w:after="0"/>
              <w:rPr>
                <w:sz w:val="16"/>
                <w:szCs w:val="16"/>
                <w:color w:val="auto"/>
              </w:rPr>
            </w:pP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5"/>
                <w:szCs w:val="15"/>
                <w:color w:val="auto"/>
              </w:rPr>
            </w:pPr>
          </w:p>
        </w:tc>
        <w:tc>
          <w:tcPr>
            <w:tcW w:w="14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Identical Assets</w:t>
            </w:r>
          </w:p>
        </w:tc>
        <w:tc>
          <w:tcPr>
            <w:tcW w:w="32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rPr>
              <w:t>Inputs</w:t>
            </w:r>
          </w:p>
        </w:tc>
        <w:tc>
          <w:tcPr>
            <w:tcW w:w="260" w:type="dxa"/>
            <w:vAlign w:val="bottom"/>
          </w:tcPr>
          <w:p>
            <w:pPr>
              <w:spacing w:after="0"/>
              <w:rPr>
                <w:sz w:val="15"/>
                <w:szCs w:val="15"/>
                <w:color w:val="auto"/>
              </w:rPr>
            </w:pPr>
          </w:p>
        </w:tc>
        <w:tc>
          <w:tcPr>
            <w:tcW w:w="13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(a)</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24,796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mutual fund</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30,284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Private equity and hedge funds</w:t>
            </w:r>
            <w:r>
              <w:rPr>
                <w:rFonts w:ascii="Times New Roman" w:cs="Times New Roman" w:eastAsia="Times New Roman" w:hAnsi="Times New Roman"/>
                <w:sz w:val="23"/>
                <w:szCs w:val="23"/>
                <w:color w:val="auto"/>
                <w:vertAlign w:val="superscript"/>
              </w:rPr>
              <w:t>(b)</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10,250</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55,080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10,250</w:t>
            </w: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Collective investment trust</w:t>
            </w:r>
            <w:r>
              <w:rPr>
                <w:rFonts w:ascii="Times New Roman" w:cs="Times New Roman" w:eastAsia="Times New Roman" w:hAnsi="Times New Roman"/>
                <w:sz w:val="23"/>
                <w:szCs w:val="23"/>
                <w:color w:val="auto"/>
                <w:vertAlign w:val="superscript"/>
              </w:rPr>
              <w:t>(c)</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152,389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Private equity and hedge funds</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measured at net asset value</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152,530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sold and interest receivable</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plan assets, December 31, 2022</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218,119</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Large/mid-capitalization equity securities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68,739</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Small-capitalization equity securities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16,588</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and emerging market equity securities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25,174</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9,306</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52,539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Contracts with insurance companies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(d)</w:t>
            </w: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6,868</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133,618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plan assets, December 31, 2021</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both"/>
        <w:ind w:left="260" w:right="360" w:hanging="234"/>
        <w:spacing w:after="0" w:line="219" w:lineRule="auto"/>
        <w:tabs>
          <w:tab w:leader="none" w:pos="23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represents investments in cash and cash equivalents, which includes: 1.) cash held in the plan used for investments in U.S. Treasury futures which are entered into to minimize the volatility of the estimated settlement funding gap; and 2.) short term money market fund in which the amortized cost approximates fair value. These investments are highly liquid and therefore are classified as level 1 securities.</w:t>
      </w:r>
    </w:p>
    <w:p>
      <w:pPr>
        <w:ind w:left="260" w:right="40" w:hanging="234"/>
        <w:spacing w:after="0" w:line="211" w:lineRule="auto"/>
        <w:tabs>
          <w:tab w:leader="none" w:pos="2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market value of the Company’s ownership in private equity and hedge funds which are probable of being sold for an amount different from the net asset value per share in connection with the expected termination of the pension plan.</w:t>
      </w:r>
    </w:p>
    <w:p>
      <w:pPr>
        <w:ind w:left="260" w:right="140" w:hanging="234"/>
        <w:spacing w:after="0" w:line="211" w:lineRule="auto"/>
        <w:tabs>
          <w:tab w:leader="none" w:pos="23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collective investment trust contains liability hedging fixed income investments and are valued at the net asset value of the collective investment trust. The net asset value is used as a practical expedient to estimate fair value. The net asset value is based on the fair value of the underlying investments held by the fund less its liabilities.</w:t>
      </w:r>
    </w:p>
    <w:p>
      <w:pPr>
        <w:ind w:left="260" w:hanging="234"/>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investments in certain commodity funds measured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9. OTHER INCOME (EXPENSE), NET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Gain (loss) on investment in kaléo</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12,780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0" w:type="dxa"/>
            <w:vAlign w:val="bottom"/>
          </w:tcPr>
          <w:p>
            <w:pPr>
              <w:spacing w:after="0"/>
              <w:rPr>
                <w:sz w:val="1"/>
                <w:szCs w:val="1"/>
                <w:color w:val="auto"/>
              </w:rPr>
            </w:pPr>
          </w:p>
        </w:tc>
      </w:tr>
      <w:tr>
        <w:trPr>
          <w:trHeight w:val="176"/>
        </w:trPr>
        <w:tc>
          <w:tcPr>
            <w:tcW w:w="6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 non-income taxes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resulting from a favorable decision by Brazil’s Supreme Court regarding the calculation of</w:t>
            </w:r>
          </w:p>
        </w:tc>
        <w:tc>
          <w:tcPr>
            <w:tcW w:w="380" w:type="dxa"/>
            <w:vAlign w:val="bottom"/>
          </w:tcPr>
          <w:p>
            <w:pPr>
              <w:spacing w:after="0"/>
              <w:rPr>
                <w:sz w:val="16"/>
                <w:szCs w:val="16"/>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such tax</w:t>
            </w: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8,486</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Bright View Technologies</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32"/>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20,376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60" w:right="580" w:hanging="334"/>
        <w:spacing w:after="0" w:line="223" w:lineRule="auto"/>
        <w:tabs>
          <w:tab w:leader="none" w:pos="2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2022, additional cash consideration of $1.4 million was received related to customary post-closing adjustments. The gain in 2021 includes a $0.3 million dividend received from kaléo in the first quarter of 2021. See Note 16 for additional information.</w:t>
      </w:r>
    </w:p>
    <w:p>
      <w:pPr>
        <w:ind w:left="360" w:right="140" w:hanging="334"/>
        <w:spacing w:after="0" w:line="231" w:lineRule="auto"/>
        <w:tabs>
          <w:tab w:leader="none" w:pos="26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operating under COVID-19 conditions include employee overtime expenses associated with absenteeism, personal protective equipment supplies and facility maintenance.</w:t>
      </w:r>
    </w:p>
    <w:p>
      <w:pPr>
        <w:spacing w:after="0" w:line="163" w:lineRule="exact"/>
        <w:rPr>
          <w:sz w:val="20"/>
          <w:szCs w:val="20"/>
          <w:color w:val="auto"/>
        </w:rPr>
      </w:pPr>
    </w:p>
    <w:p>
      <w:pPr>
        <w:ind w:right="180" w:firstLine="405"/>
        <w:spacing w:after="0" w:line="281" w:lineRule="auto"/>
        <w:rPr>
          <w:sz w:val="20"/>
          <w:szCs w:val="20"/>
          <w:color w:val="auto"/>
        </w:rPr>
      </w:pPr>
      <w:r>
        <w:rPr>
          <w:rFonts w:ascii="Times New Roman" w:cs="Times New Roman" w:eastAsia="Times New Roman" w:hAnsi="Times New Roman"/>
          <w:sz w:val="17"/>
          <w:szCs w:val="17"/>
          <w:color w:val="auto"/>
        </w:rPr>
        <w:t>In May 2021, the Brazil Supreme Court ruled in a leading case related to the amount of Brazilian value-added tax to exclude from the calculation of unemployment/social security insurance non-income taxes (“PIS/COFINS”). As a result, in the second quarter of 2021, the Company recorded a pre-tax gain of $8.5 million for certain excess PIS/COFINS paid from 2003 to 2021, that included applicable interest, which the Company applied to required Brazilian federal tax payments during 2021. The pre-tax gain was recorded in “Other income (expense), net” in the consolidated statements of income.</w:t>
      </w:r>
    </w:p>
    <w:p>
      <w:pPr>
        <w:spacing w:after="0" w:line="43"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In December 2020, the Company entered into a definitive agreement and completed the sale of Bright View Technologies, which resulted in the recognition of a pre-tax loss of $2.3 million ($1.8 million after-tax).</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 as part of ongoing business operations (primarily in Flexible Packaging Films). These derivative financial instruments are designated as and qualify as cash flow hedges and are recognized in the consolidated balance sheet at fair value. The fair value of derivative instruments recorded on the consolidated balance sheets are based upon Level 2 inputs.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and the notional amount of aluminum futures contracts that hedged future purchases of aluminum to meet fixed-price forward sales contract obligations was $30.7 million (20.3 million pounds of aluminum) at December 31, 2022 and $22.1 million (14.9 million pounds of aluminum) at December 31, 2021.</w:t>
      </w:r>
    </w:p>
    <w:p>
      <w:pPr>
        <w:spacing w:after="0" w:line="6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derivative contract fair values (Level 2) in the consolidated balance sheets as of December 31, 2022 and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December 31, 2022</w:t>
            </w:r>
          </w:p>
        </w:tc>
        <w:tc>
          <w:tcPr>
            <w:tcW w:w="288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6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5"/>
                <w:szCs w:val="15"/>
                <w:color w:val="auto"/>
              </w:rPr>
            </w:pPr>
          </w:p>
        </w:tc>
        <w:tc>
          <w:tcPr>
            <w:tcW w:w="16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&amp;</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6"/>
                <w:szCs w:val="16"/>
                <w:color w:val="auto"/>
              </w:rPr>
            </w:pP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&amp;</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1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00" w:type="dxa"/>
            <w:vAlign w:val="bottom"/>
          </w:tcPr>
          <w:p>
            <w:pPr>
              <w:spacing w:after="0"/>
              <w:rPr>
                <w:sz w:val="16"/>
                <w:szCs w:val="16"/>
                <w:color w:val="auto"/>
              </w:rPr>
            </w:pP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(liability)</w:t>
            </w:r>
          </w:p>
        </w:tc>
        <w:tc>
          <w:tcPr>
            <w:tcW w:w="1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w:t>
            </w:r>
          </w:p>
        </w:tc>
        <w:tc>
          <w:tcPr>
            <w:tcW w:w="1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6" w:name="page67"/>
    <w:bookmarkEnd w:id="66"/>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is annual net costs of R$177 million Brazilian Real ("R$").</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Terphane Ltda. has the following outstanding foreign exchange average forward rate contracts to purchase Brazilian Real and sell U.S. Dollars: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0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 Forward Rate</w:t>
            </w:r>
          </w:p>
        </w:tc>
        <w:tc>
          <w:tcPr>
            <w:tcW w:w="25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9"/>
              </w:rPr>
              <w:t>Estimated % of Terphane</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8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Ltda. R$ Operating Cost</w:t>
            </w: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Contracted on USD/BRL</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R$ Equivalent Amount (000s)</w:t>
            </w: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Applicable Month</w:t>
            </w:r>
          </w:p>
        </w:tc>
        <w:tc>
          <w:tcPr>
            <w:tcW w:w="23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$1,728</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5.4310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R$9,385</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Jan-23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5.4657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R$9,959</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$1,921</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5.4995</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R$10,565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$1,903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5.5379</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R$10,539</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$1,873</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5.5753</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R$10,443</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May-23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5.6118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R$10,820</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Jun-23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$2,154</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5.6378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R$12,144</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Jul-23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5.6831</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R$11,480</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Aug-23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$2,071</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5.7174</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R$11,841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5.7556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R$11,586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5.7836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R$11,671</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Nov-23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5.8312</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R$10,414</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5.7360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R$3,780</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Jan-24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5.7562</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R$3,793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5.7774</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R$3,807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5.8000</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R$3,822</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5.8207</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R$3,836</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May-24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5.8419</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R$3,850</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Jun-24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5.8636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R$3,864</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Jul-24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5.8872</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R$3,880</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Aug-24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5.9118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R$3,896</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5.9350</w:t>
            </w:r>
          </w:p>
        </w:tc>
        <w:tc>
          <w:tcPr>
            <w:tcW w:w="2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R$3,911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5.9581</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R$3,926</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Nov-24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$659</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5.9813</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R$3,942</w:t>
            </w: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Dec-24</w:t>
            </w:r>
          </w:p>
        </w:tc>
        <w:tc>
          <w:tcPr>
            <w:tcW w:w="2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$31,145</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5.6880</w:t>
            </w:r>
          </w:p>
        </w:tc>
        <w:tc>
          <w:tcPr>
            <w:tcW w:w="254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R$177,154</w:t>
            </w:r>
          </w:p>
        </w:tc>
        <w:tc>
          <w:tcPr>
            <w:tcW w:w="190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0" w:firstLine="405"/>
        <w:spacing w:after="0" w:line="289" w:lineRule="auto"/>
        <w:rPr>
          <w:sz w:val="20"/>
          <w:szCs w:val="20"/>
          <w:color w:val="auto"/>
        </w:rPr>
      </w:pPr>
      <w:r>
        <w:rPr>
          <w:rFonts w:ascii="Times New Roman" w:cs="Times New Roman" w:eastAsia="Times New Roman" w:hAnsi="Times New Roman"/>
          <w:sz w:val="17"/>
          <w:szCs w:val="17"/>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consolidated statements of income.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7" w:name="page68"/>
    <w:bookmarkEnd w:id="67"/>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consolidated balance sheets as of December 31, 2022 and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80" w:type="dxa"/>
            <w:vAlign w:val="bottom"/>
            <w:tcBorders>
              <w:top w:val="single" w:sz="8" w:color="auto"/>
            </w:tcBorders>
          </w:tcPr>
          <w:p>
            <w:pPr>
              <w:spacing w:after="0"/>
              <w:rPr>
                <w:sz w:val="22"/>
                <w:szCs w:val="22"/>
                <w:color w:val="auto"/>
              </w:rPr>
            </w:pPr>
          </w:p>
        </w:tc>
        <w:tc>
          <w:tcPr>
            <w:tcW w:w="254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December 31, 2022</w:t>
            </w:r>
          </w:p>
        </w:tc>
        <w:tc>
          <w:tcPr>
            <w:tcW w:w="3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7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8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00" w:type="dxa"/>
            <w:vAlign w:val="bottom"/>
          </w:tcPr>
          <w:p>
            <w:pPr>
              <w:spacing w:after="0"/>
              <w:rPr>
                <w:sz w:val="15"/>
                <w:szCs w:val="15"/>
                <w:color w:val="auto"/>
              </w:rPr>
            </w:pPr>
          </w:p>
        </w:tc>
        <w:tc>
          <w:tcPr>
            <w:tcW w:w="88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7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8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781</w:t>
            </w:r>
          </w:p>
        </w:tc>
        <w:tc>
          <w:tcPr>
            <w:tcW w:w="100" w:type="dxa"/>
            <w:vAlign w:val="bottom"/>
          </w:tcPr>
          <w:p>
            <w:pPr>
              <w:spacing w:after="0"/>
              <w:rPr>
                <w:sz w:val="16"/>
                <w:szCs w:val="16"/>
                <w:color w:val="auto"/>
              </w:rPr>
            </w:pP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8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84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84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8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8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asset (liability)</w:t>
            </w:r>
          </w:p>
        </w:tc>
        <w:tc>
          <w:tcPr>
            <w:tcW w:w="1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811</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4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pre-tax effect on net income (loss) from continuing operations and other comprehensive income (loss) of derivative instruments classified as cash flow hedges and described in the previous paragraphs for years ended December 31, 2022, 2021, and 2020 is summarized in the tables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240" w:type="dxa"/>
            <w:vAlign w:val="bottom"/>
            <w:tcBorders>
              <w:top w:val="single" w:sz="8" w:color="auto"/>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9"/>
              </w:rPr>
              <w:t>Aluminum Futures Contracts</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3"/>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w:t>
            </w: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5"/>
        </w:trPr>
        <w:tc>
          <w:tcPr>
            <w:tcW w:w="7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into net income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310"/>
              <w:spacing w:after="0" w:line="176" w:lineRule="exact"/>
              <w:rPr>
                <w:sz w:val="20"/>
                <w:szCs w:val="20"/>
                <w:color w:val="auto"/>
              </w:rPr>
            </w:pPr>
            <w:r>
              <w:rPr>
                <w:rFonts w:ascii="Times New Roman" w:cs="Times New Roman" w:eastAsia="Times New Roman" w:hAnsi="Times New Roman"/>
                <w:sz w:val="18"/>
                <w:szCs w:val="18"/>
                <w:color w:val="auto"/>
                <w:w w:val="98"/>
              </w:rPr>
              <w:t>Cost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Cost of</w:t>
            </w:r>
          </w:p>
        </w:tc>
        <w:tc>
          <w:tcPr>
            <w:tcW w:w="18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Cost of</w:t>
            </w: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120" w:type="dxa"/>
            <w:vAlign w:val="bottom"/>
          </w:tcPr>
          <w:p>
            <w:pPr>
              <w:spacing w:after="0"/>
              <w:rPr>
                <w:sz w:val="20"/>
                <w:szCs w:val="20"/>
                <w:color w:val="auto"/>
              </w:rPr>
            </w:pPr>
          </w:p>
        </w:tc>
        <w:tc>
          <w:tcPr>
            <w:tcW w:w="10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goods sold</w:t>
            </w:r>
          </w:p>
        </w:tc>
        <w:tc>
          <w:tcPr>
            <w:tcW w:w="18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goods sold</w:t>
            </w:r>
          </w:p>
        </w:tc>
        <w:tc>
          <w:tcPr>
            <w:tcW w:w="0" w:type="dxa"/>
            <w:vAlign w:val="bottom"/>
          </w:tcPr>
          <w:p>
            <w:pPr>
              <w:spacing w:after="0"/>
              <w:rPr>
                <w:sz w:val="1"/>
                <w:szCs w:val="1"/>
                <w:color w:val="auto"/>
              </w:rPr>
            </w:pPr>
          </w:p>
        </w:tc>
      </w:tr>
      <w:tr>
        <w:trPr>
          <w:trHeight w:val="180"/>
        </w:trPr>
        <w:tc>
          <w:tcPr>
            <w:tcW w:w="7540" w:type="dxa"/>
            <w:vAlign w:val="bottom"/>
            <w:gridSpan w:val="5"/>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Amount of pre-tax gain (loss) reclassified from accumulated other comprehensive income to net income</w:t>
            </w:r>
          </w:p>
        </w:tc>
        <w:tc>
          <w:tcPr>
            <w:tcW w:w="4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gridSpan w:val="2"/>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78"/>
        </w:trPr>
        <w:tc>
          <w:tcPr>
            <w:tcW w:w="43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Amount of pre-tax gain (loss) recognized in other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3,269</w:t>
            </w: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184"/>
        </w:trPr>
        <w:tc>
          <w:tcPr>
            <w:tcW w:w="4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40" w:type="dxa"/>
            <w:vAlign w:val="bottom"/>
          </w:tcPr>
          <w:p>
            <w:pPr>
              <w:spacing w:after="0"/>
              <w:rPr>
                <w:sz w:val="16"/>
                <w:szCs w:val="16"/>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Cost of</w:t>
            </w:r>
          </w:p>
        </w:tc>
        <w:tc>
          <w:tcPr>
            <w:tcW w:w="9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Cost of</w:t>
            </w:r>
          </w:p>
        </w:tc>
        <w:tc>
          <w:tcPr>
            <w:tcW w:w="180" w:type="dxa"/>
            <w:vAlign w:val="bottom"/>
          </w:tcPr>
          <w:p>
            <w:pPr>
              <w:spacing w:after="0"/>
              <w:rPr>
                <w:sz w:val="16"/>
                <w:szCs w:val="16"/>
                <w:color w:val="auto"/>
              </w:rPr>
            </w:pPr>
          </w:p>
        </w:tc>
        <w:tc>
          <w:tcPr>
            <w:tcW w:w="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comprehensive income into net income (effective portion)</w:t>
            </w: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goods sold</w:t>
            </w: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admin</w:t>
            </w:r>
          </w:p>
        </w:tc>
        <w:tc>
          <w:tcPr>
            <w:tcW w:w="13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goods sold</w:t>
            </w: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admin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goods sold</w:t>
            </w:r>
          </w:p>
        </w:tc>
        <w:tc>
          <w:tcPr>
            <w:tcW w:w="18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 of pre-tax gain (loss) reclassified from</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accumulated other comprehensive income to net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61 $</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1,378</w:t>
            </w:r>
          </w:p>
        </w:tc>
        <w:tc>
          <w:tcPr>
            <w:tcW w:w="9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gridSpan w:val="2"/>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expects $2.0 million of unrealized after-tax net losses on aluminum and foreign currency derivative contracts reported in accumulated other comprehensive income (loss) to be reclassified to earnings within the next 12 months. For the years ended December 31, 2022, 2021 and 2020, net gains or losses realized, from previously unrealized net gains or losses on hedges that had been discontinued, were not material.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OPTION AND STOCK AWARD PLANS</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one stock-based compensation plan that permits the grants of stock options, stock appreciation rights (“SARs”), stock, restricted stock, and stock unit awards. Awards available for grant totaled 681,479 shares at December 31, 2022. Stock options may be granted to purchase a specified number of shares of common stock at a price no lower than the fair market value on the date of grant and for a term not to exceed 10 years. Stock options granted by</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8" w:name="page69"/>
    <w:bookmarkEnd w:id="68"/>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 2022, 2021 and 2020 vest after 2 years and have a 7-year life or vest after 3 years and have a 5-year life. Stock options exercisable totaled 2,719,919 and 1,762,190 shares at December 31, 2022 and 2021, respectively.</w:t>
      </w:r>
    </w:p>
    <w:p>
      <w:pPr>
        <w:spacing w:after="0" w:line="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December 1, 2020, Tredegar’s Board of Directors declared a special cash dividend of $200 million, or $5.97 per share, on the Company’s common stock (the “Special Dividend”). The Special Dividend was payable on December 18, 2020 and had an ex-dividend date of December 21, 2020. All stock option awards that were outstanding at the time of the Special Dividend were modified pursuant to the nondiscretionary anti-dilution provisions in the related stock-based compensation plan. SARs that were outstanding at the time of the Special Dividend were also modified pursuant to the nondiscretionary anti-dilution provisions in the related SARs grant agreements. The modifications included increasing the number of outstanding stock options and SARs as well as reducing the exercise prices of all outstanding stock options and SARS. The modification did not result in additional stock-based compensation expense. No other terms or conditions of outstanding awards were modified.</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2022, 2021 and 2020, and changes during those years,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8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169"/>
        </w:trPr>
        <w:tc>
          <w:tcPr>
            <w:tcW w:w="4080" w:type="dxa"/>
            <w:vAlign w:val="bottom"/>
          </w:tcPr>
          <w:p>
            <w:pPr>
              <w:spacing w:after="0"/>
              <w:rPr>
                <w:sz w:val="14"/>
                <w:szCs w:val="14"/>
                <w:color w:val="auto"/>
              </w:rPr>
            </w:pPr>
          </w:p>
        </w:tc>
        <w:tc>
          <w:tcPr>
            <w:tcW w:w="22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Weighted</w:t>
            </w:r>
          </w:p>
        </w:tc>
      </w:tr>
      <w:tr>
        <w:trPr>
          <w:trHeight w:val="243"/>
        </w:trPr>
        <w:tc>
          <w:tcPr>
            <w:tcW w:w="40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1,628,903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638,074</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Modification for special cash dividend</w:t>
            </w:r>
            <w:r>
              <w:rPr>
                <w:rFonts w:ascii="Times New Roman" w:cs="Times New Roman" w:eastAsia="Times New Roman" w:hAnsi="Times New Roman"/>
                <w:sz w:val="23"/>
                <w:szCs w:val="23"/>
                <w:color w:val="auto"/>
                <w:vertAlign w:val="superscript"/>
              </w:rPr>
              <w:t>(a)</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701,535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30"/>
        </w:trPr>
        <w:tc>
          <w:tcPr>
            <w:tcW w:w="40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Forfeited and expired</w:t>
            </w:r>
            <w:r>
              <w:rPr>
                <w:rFonts w:ascii="Times New Roman" w:cs="Times New Roman" w:eastAsia="Times New Roman" w:hAnsi="Times New Roman"/>
                <w:sz w:val="23"/>
                <w:szCs w:val="23"/>
                <w:color w:val="auto"/>
                <w:vertAlign w:val="superscript"/>
              </w:rPr>
              <w:t>(a)</w:t>
            </w:r>
          </w:p>
        </w:tc>
        <w:tc>
          <w:tcPr>
            <w:tcW w:w="2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(141,074)</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at December 31, 2020</w:t>
            </w:r>
            <w:r>
              <w:rPr>
                <w:rFonts w:ascii="Times New Roman" w:cs="Times New Roman" w:eastAsia="Times New Roman" w:hAnsi="Times New Roman"/>
                <w:sz w:val="23"/>
                <w:szCs w:val="23"/>
                <w:color w:val="auto"/>
                <w:vertAlign w:val="superscript"/>
              </w:rPr>
              <w:t>(a)</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2,827,438</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388,822</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(22,611)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(67,705)</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3,125,944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(17,203)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14.47</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15.33</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3,108,741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r>
    </w:tbl>
    <w:p>
      <w:pPr>
        <w:ind w:left="260" w:right="580" w:hanging="234"/>
        <w:spacing w:after="0" w:line="245" w:lineRule="auto"/>
        <w:tabs>
          <w:tab w:leader="none" w:pos="23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exercise price per share reflects the reduction to the exercise prices of outstanding stock options impacted by the modification due to the anti-dilution provisions in the stock-based compensation plan.</w:t>
      </w:r>
    </w:p>
    <w:p>
      <w:pPr>
        <w:spacing w:after="0" w:line="160"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options-pricing model for valuing Tredegar stock options originally granted in 2021 and 2020, and the related estimated fair values at the date of grant, were as follows, no options were granted in 2022:</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762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volatility percentage</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period (years)</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6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Weighted average exercise price at date of grant (also weighted average market price at date of grant)</w:t>
            </w:r>
            <w:r>
              <w:rPr>
                <w:rFonts w:ascii="Times New Roman" w:cs="Times New Roman" w:eastAsia="Times New Roman" w:hAnsi="Times New Roman"/>
                <w:sz w:val="23"/>
                <w:szCs w:val="23"/>
                <w:color w:val="auto"/>
                <w:vertAlign w:val="superscript"/>
              </w:rPr>
              <w:t>(a)</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16.37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14.41</w:t>
            </w:r>
          </w:p>
        </w:tc>
      </w:tr>
      <w:tr>
        <w:trPr>
          <w:trHeight w:val="324"/>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weighted average fair value of options per share at date of grant</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fair value of stock options granted (in thousands)</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2,165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70034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 w:lineRule="exact"/>
        <w:rPr>
          <w:sz w:val="20"/>
          <w:szCs w:val="20"/>
          <w:color w:val="auto"/>
        </w:rPr>
      </w:pPr>
    </w:p>
    <w:p>
      <w:pPr>
        <w:ind w:left="380" w:right="180" w:hanging="253"/>
        <w:spacing w:after="0" w:line="232" w:lineRule="auto"/>
        <w:tabs>
          <w:tab w:leader="none" w:pos="35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2020, the weighted average exercise price for outstanding stock option awards granted in 2020 were modified to $10.75. As the anti-dilution provisions in the stock-based compensation plan were structured to equitably adjust the award’s fair value before and after the modification, there is no resulting incremental fair value.</w:t>
      </w:r>
    </w:p>
    <w:p>
      <w:pPr>
        <w:spacing w:after="0" w:line="16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dividend yield is the actual dividend yield on Tredegar’s common stock at the date of grant, which the Company believes is a reasonable estimate of the expected yield during the holding period. The expected volatility is based on the historical volatility of Tredegar’s common stock using a sequential period of historical data equal to the expected holding period of the option. The Company has no reason to believe that future volatility for this period is likely to differ from the past. The assumed risk-free interest rate is based on observed interest rates for U.S. Treasury debt securities appropriate for the expected holding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left="42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stock options outstanding and exercisable at December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780" w:type="dxa"/>
            <w:vAlign w:val="bottom"/>
            <w:tcBorders>
              <w:top w:val="single" w:sz="8" w:color="auto"/>
              <w:bottom w:val="single" w:sz="8" w:color="auto"/>
              <w:right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4060" w:type="dxa"/>
            <w:vAlign w:val="bottom"/>
            <w:tcBorders>
              <w:top w:val="single" w:sz="8" w:color="auto"/>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Options Exercisable at December 31, 2022</w:t>
            </w:r>
          </w:p>
        </w:tc>
      </w:tr>
      <w:tr>
        <w:trPr>
          <w:trHeight w:val="237"/>
        </w:trPr>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Weighted Average</w:t>
            </w:r>
          </w:p>
        </w:tc>
        <w:tc>
          <w:tcPr>
            <w:tcW w:w="2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0"/>
        </w:trPr>
        <w:tc>
          <w:tcPr>
            <w:tcW w:w="800" w:type="dxa"/>
            <w:vAlign w:val="bottom"/>
          </w:tcPr>
          <w:p>
            <w:pPr>
              <w:spacing w:after="0"/>
              <w:rPr>
                <w:sz w:val="24"/>
                <w:szCs w:val="24"/>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Range of</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Remaining</w:t>
            </w:r>
          </w:p>
        </w:tc>
        <w:tc>
          <w:tcPr>
            <w:tcW w:w="22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Exercise</w:t>
            </w:r>
          </w:p>
        </w:tc>
        <w:tc>
          <w:tcPr>
            <w:tcW w:w="260" w:type="dxa"/>
            <w:vAlign w:val="bottom"/>
          </w:tcPr>
          <w:p>
            <w:pPr>
              <w:spacing w:after="0"/>
              <w:rPr>
                <w:sz w:val="24"/>
                <w:szCs w:val="24"/>
                <w:color w:val="auto"/>
              </w:rPr>
            </w:pPr>
          </w:p>
        </w:tc>
        <w:tc>
          <w:tcPr>
            <w:tcW w:w="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2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174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Price</w:t>
            </w:r>
          </w:p>
        </w:tc>
        <w:tc>
          <w:tcPr>
            <w:tcW w:w="124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Intrinsic Value</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Exercise Price</w:t>
            </w: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23"/>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10.75</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16.37</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2,939,509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2,550,687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25.94</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169,232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years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169,232</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9"/>
              </w:rPr>
              <w:t>Total</w:t>
            </w:r>
          </w:p>
        </w:tc>
        <w:tc>
          <w:tcPr>
            <w:tcW w:w="9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3,108,741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years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2,719,919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total intrinsic value of stock options exercised was $0.2 million in 2021. There were no stock options exercised in 2022 and 2020. The grant-date fair value of stock option-based awards vested in 2022, 2021, and 2020 was $5.4 million, $3.5 million, and $3.0 million, respectively. As of December 31, 2022, the unrecognized compensation cost for continuing operations related to stock option-based awards was $0.2 million. This cost is expected to be recognized over the remaining weighted average period of 0.2 years.</w:t>
      </w:r>
    </w:p>
    <w:p>
      <w:pPr>
        <w:spacing w:after="0" w:line="4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Restricted stock grants ordinarily vest three years from the date of grant based upon continued employment. The fair value of restricted stock awards is estimated as of the grant date using the closing stock price on that date. Stock unit awards vest upon the achievement of certain performance targets. The following table summarizes additional information about unvested restricted stock outstanding at December 31, 2022, 2021 and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4180" w:type="dxa"/>
            <w:vAlign w:val="bottom"/>
            <w:tcBorders>
              <w:top w:val="single" w:sz="8" w:color="auto"/>
            </w:tcBorders>
            <w:gridSpan w:val="5"/>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Maximum Unvested Restricted Stock Units Issuable</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1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Upon Satisfaction of Certain Performance Criteria</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14"/>
                <w:szCs w:val="14"/>
                <w:color w:val="auto"/>
              </w:rPr>
            </w:pPr>
          </w:p>
        </w:tc>
        <w:tc>
          <w:tcPr>
            <w:tcW w:w="14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6"/>
              </w:rPr>
              <w:t>Weighted Avg.</w:t>
            </w:r>
          </w:p>
        </w:tc>
        <w:tc>
          <w:tcPr>
            <w:tcW w:w="220" w:type="dxa"/>
            <w:vAlign w:val="bottom"/>
          </w:tcPr>
          <w:p>
            <w:pPr>
              <w:spacing w:after="0"/>
              <w:rPr>
                <w:sz w:val="14"/>
                <w:szCs w:val="14"/>
                <w:color w:val="auto"/>
              </w:rPr>
            </w:pPr>
          </w:p>
        </w:tc>
        <w:tc>
          <w:tcPr>
            <w:tcW w:w="1260" w:type="dxa"/>
            <w:vAlign w:val="bottom"/>
            <w:tcBorders>
              <w:right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Grant Date</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4"/>
                <w:szCs w:val="14"/>
                <w:color w:val="auto"/>
              </w:rPr>
            </w:pPr>
          </w:p>
        </w:tc>
        <w:tc>
          <w:tcPr>
            <w:tcW w:w="14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6"/>
              </w:rPr>
              <w:t>Weighted Avg.</w:t>
            </w:r>
          </w:p>
        </w:tc>
        <w:tc>
          <w:tcPr>
            <w:tcW w:w="220" w:type="dxa"/>
            <w:vAlign w:val="bottom"/>
          </w:tcPr>
          <w:p>
            <w:pPr>
              <w:spacing w:after="0"/>
              <w:rPr>
                <w:sz w:val="14"/>
                <w:szCs w:val="14"/>
                <w:color w:val="auto"/>
              </w:rPr>
            </w:pPr>
          </w:p>
        </w:tc>
        <w:tc>
          <w:tcPr>
            <w:tcW w:w="12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Grant Date</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6"/>
              </w:rPr>
              <w:t>Fair Value</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Grant Date</w:t>
            </w:r>
          </w:p>
        </w:tc>
        <w:tc>
          <w:tcPr>
            <w:tcW w:w="22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Fair Value/Share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Fair Value/Share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285,935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5,224</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155,138</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34,275</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234,979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3,919</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112,502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200,073</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14,669</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335,800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5,473</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50,718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301,969</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11.88</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(144,317)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15.10</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(18,474)</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(50,718)</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1,366</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474,978</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6,564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the unrecognized compensation cost for continuing operations related to non-vested restricted stock awards was $3.2 million. This cost is expected to be recognized over the remaining weighted average period of 1.6 years.</w:t>
      </w:r>
    </w:p>
    <w:p>
      <w:pPr>
        <w:spacing w:after="0" w:line="4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SARs granted by the Company in 2021 and 2020 vest after 2 years and have a 7-year life. There were no SARs granted in 2022. SARs may be settled in cash upon exercise and therefore are classified as liabilities and included in accrued expenses in the consolidated balance sheet. The fair value of these liability awards is remeasured at each reporting period until the date of settlement. Increases and decreases in stock-based compensation expense is recognized over the vesting period, or immediately, for vested awards.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ind w:left="420"/>
        <w:spacing w:after="0"/>
        <w:rPr>
          <w:sz w:val="20"/>
          <w:szCs w:val="20"/>
          <w:color w:val="auto"/>
        </w:rPr>
      </w:pPr>
      <w:r>
        <w:rPr>
          <w:rFonts w:ascii="Times New Roman" w:cs="Times New Roman" w:eastAsia="Times New Roman" w:hAnsi="Times New Roman"/>
          <w:sz w:val="18"/>
          <w:szCs w:val="18"/>
          <w:color w:val="auto"/>
        </w:rPr>
        <w:t>A summary of SARs outstanding at December 31, 2022, 2021 and 2020, and changes during those years, is presented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06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178"/>
        </w:trPr>
        <w:tc>
          <w:tcPr>
            <w:tcW w:w="4140" w:type="dxa"/>
            <w:vAlign w:val="bottom"/>
          </w:tcPr>
          <w:p>
            <w:pPr>
              <w:spacing w:after="0"/>
              <w:rPr>
                <w:sz w:val="15"/>
                <w:szCs w:val="15"/>
                <w:color w:val="auto"/>
              </w:rPr>
            </w:pPr>
          </w:p>
        </w:tc>
        <w:tc>
          <w:tcPr>
            <w:tcW w:w="246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10"/>
              <w:spacing w:after="0" w:line="177" w:lineRule="exact"/>
              <w:rPr>
                <w:sz w:val="20"/>
                <w:szCs w:val="20"/>
                <w:color w:val="auto"/>
              </w:rPr>
            </w:pPr>
            <w:r>
              <w:rPr>
                <w:rFonts w:ascii="Times New Roman" w:cs="Times New Roman" w:eastAsia="Times New Roman" w:hAnsi="Times New Roman"/>
                <w:sz w:val="18"/>
                <w:szCs w:val="18"/>
                <w:color w:val="auto"/>
              </w:rPr>
              <w:t>Weighted</w:t>
            </w:r>
          </w:p>
        </w:tc>
      </w:tr>
      <w:tr>
        <w:trPr>
          <w:trHeight w:val="234"/>
        </w:trPr>
        <w:tc>
          <w:tcPr>
            <w:tcW w:w="4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SARs</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Range</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2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(a)</w:t>
            </w: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387,252</w:t>
            </w:r>
          </w:p>
        </w:tc>
        <w:tc>
          <w:tcPr>
            <w:tcW w:w="3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Modification for special cash dividend</w:t>
            </w:r>
          </w:p>
        </w:tc>
        <w:tc>
          <w:tcPr>
            <w:tcW w:w="2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71,402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(82,214)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2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376,440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164,464</w:t>
            </w:r>
          </w:p>
        </w:tc>
        <w:tc>
          <w:tcPr>
            <w:tcW w:w="3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16.37</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(9,260)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521,601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(22,914)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498,687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10.75</w:t>
            </w:r>
          </w:p>
        </w:tc>
        <w:tc>
          <w:tcPr>
            <w:tcW w:w="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w:t>
            </w:r>
          </w:p>
        </w:tc>
      </w:tr>
    </w:tbl>
    <w:p>
      <w:pPr>
        <w:ind w:left="260" w:right="600" w:hanging="234"/>
        <w:spacing w:after="0" w:line="273" w:lineRule="auto"/>
        <w:tabs>
          <w:tab w:leader="none" w:pos="23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SARs exercise price per share reflects the reduction to the exercise prices of outstanding SARs as a results of the modification to the awards pursuant to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6"/>
          <w:szCs w:val="16"/>
          <w:color w:val="auto"/>
        </w:rPr>
        <w:t xml:space="preserve"> nondiscretionary anti-dilution provisions in the related SAR</w:t>
      </w:r>
      <w:r>
        <w:rPr>
          <w:rFonts w:ascii="Times New Roman" w:cs="Times New Roman" w:eastAsia="Times New Roman" w:hAnsi="Times New Roman"/>
          <w:sz w:val="17"/>
          <w:szCs w:val="17"/>
          <w:color w:val="auto"/>
        </w:rPr>
        <w:t>s</w:t>
      </w:r>
      <w:r>
        <w:rPr>
          <w:rFonts w:ascii="Times New Roman" w:cs="Times New Roman" w:eastAsia="Times New Roman" w:hAnsi="Times New Roman"/>
          <w:sz w:val="16"/>
          <w:szCs w:val="16"/>
          <w:color w:val="auto"/>
        </w:rPr>
        <w:t xml:space="preserve"> grant agreements.</w:t>
      </w:r>
    </w:p>
    <w:p>
      <w:pPr>
        <w:spacing w:after="0" w:line="144" w:lineRule="exact"/>
        <w:rPr>
          <w:sz w:val="20"/>
          <w:szCs w:val="20"/>
          <w:color w:val="auto"/>
        </w:rPr>
      </w:pPr>
    </w:p>
    <w:p>
      <w:pPr>
        <w:jc w:val="both"/>
        <w:ind w:right="640" w:firstLine="405"/>
        <w:spacing w:after="0" w:line="266" w:lineRule="auto"/>
        <w:rPr>
          <w:sz w:val="20"/>
          <w:szCs w:val="20"/>
          <w:color w:val="auto"/>
        </w:rPr>
      </w:pPr>
      <w:r>
        <w:rPr>
          <w:rFonts w:ascii="Times New Roman" w:cs="Times New Roman" w:eastAsia="Times New Roman" w:hAnsi="Times New Roman"/>
          <w:sz w:val="18"/>
          <w:szCs w:val="18"/>
          <w:color w:val="auto"/>
        </w:rPr>
        <w:t>The grant-date fair value of SARs awards vested in 2022, 2021 and 2020 was $0.5 million, $0.1 million and $0.6 million, respectively. As of December 31, 2022, the unrecognized compensation cost for continuing operations was immaterial. This cost is expected to be recognized over the remaining weighted average period of 0.2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and income tax expense (benefit) for continuing operations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3,185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22,885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w:t>
            </w:r>
          </w:p>
        </w:tc>
      </w:tr>
      <w:tr>
        <w:trPr>
          <w:trHeight w:val="230"/>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29,585</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44,336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r>
      <w:tr>
        <w:trPr>
          <w:trHeight w:val="230"/>
        </w:trPr>
        <w:tc>
          <w:tcPr>
            <w:tcW w:w="5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32,770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67,221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(25,046)</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5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3,071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13,521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3"/>
        </w:trPr>
        <w:tc>
          <w:tcPr>
            <w:tcW w:w="5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3,845</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15,517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1,057</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1,504</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23"/>
        </w:trPr>
        <w:tc>
          <w:tcPr>
            <w:tcW w:w="5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30"/>
        </w:trPr>
        <w:tc>
          <w:tcPr>
            <w:tcW w:w="5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9,284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r>
      <w:tr>
        <w:trPr>
          <w:trHeight w:val="850"/>
        </w:trPr>
        <w:tc>
          <w:tcPr>
            <w:tcW w:w="5040" w:type="dxa"/>
            <w:vAlign w:val="bottom"/>
          </w:tcPr>
          <w:p>
            <w:pPr>
              <w:spacing w:after="0"/>
              <w:rPr>
                <w:sz w:val="24"/>
                <w:szCs w:val="24"/>
                <w:color w:val="auto"/>
              </w:rPr>
            </w:pPr>
          </w:p>
        </w:tc>
        <w:tc>
          <w:tcPr>
            <w:tcW w:w="20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ind w:left="420"/>
        <w:spacing w:after="0"/>
        <w:rPr>
          <w:sz w:val="20"/>
          <w:szCs w:val="20"/>
          <w:color w:val="auto"/>
        </w:rPr>
      </w:pPr>
      <w:r>
        <w:rPr>
          <w:rFonts w:ascii="Times New Roman" w:cs="Times New Roman" w:eastAsia="Times New Roman" w:hAnsi="Times New Roman"/>
          <w:sz w:val="18"/>
          <w:szCs w:val="18"/>
          <w:color w:val="auto"/>
        </w:rPr>
        <w:t>The significant differences between the U.S. federal statutory rate and the effective income tax rate related to continuing operations are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4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6,882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(5,260)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differences</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8,269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4,554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on foreign branch income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1,390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other</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contingency accruals and tax settlements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for capital loss carryforwards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variation on intercompany loans</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1,374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received deduction net of foreign withholding tax</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related to prior year tax provision</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(763)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Prodepe tax incentive</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(1,489)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Brazilian tax incentive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(3,873)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(7,019)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(4,787)</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5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 (benefit) at effective income tax rate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4,389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9,284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(8,213)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bl>
    <w:p>
      <w:pPr>
        <w:spacing w:after="0" w:line="17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2022 was $4.4 million compared to $9.3 million for the year ended December 31, 2021. The effective tax rates for the years ended December 31, 2022 and 2021 were 13.4% and 13.8%, respectively. The change in effective tax rate is primarily attributed to a discrete tax benefit recorded in the first quarter of 2022 resulting from the implementation of new U.S. tax regulations associated with foreign tax credits published by the U.S. Treasury and Internal Revenue Service (“IRS”) on January 4, 2022. These regulations overhaul various components of the foreign tax credit regime including the determination of creditable foreign taxes and limit the amount of foreign taxes that are creditable against U.S. income taxes. This discrete benefit was partially offset by an increase to the effective tax rate as the result of the Brazilian income tax no longer being creditable in the U.S. for the foreseeable future. Lastly, the effective tax rate changed due to foreign rate differences pertaining to the Company’s foreign operations and the benefit from tax incentives in Brazil.</w:t>
      </w:r>
    </w:p>
    <w:p>
      <w:pPr>
        <w:spacing w:after="0" w:line="57"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Income taxes in 2021 are primarily due to the strong earnings of Terphane Ltda, which are included in Tredegar’s U.S. consolidated tax return and, the tax impact of the local statutory tax rates of Tredegar’s foreign subsidiaries being higher than the current U.S. tax rate of 21%, the benefit of tax incentives in Brazil and the release of the valuation allowance for capital loss carryforwards.</w:t>
      </w:r>
    </w:p>
    <w:p>
      <w:pPr>
        <w:spacing w:after="0" w:line="5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Income taxes in 2020 were primarily impacted by the tax impact of Terphane Ltda. being included in Tredegar’s U.S. consolidated tax return as a foreign branch, the tax impact of the local statutory tax rates of Tredegar’s foreign subsidiaries being higher than the current US tax rate of 21%, the benefit of tax incentives in Brazil, and by claims for prior years’ U.S. research and development tax credits.</w:t>
      </w:r>
    </w:p>
    <w:p>
      <w:pPr>
        <w:spacing w:after="0" w:line="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Tredegar accrues U.S. federal income taxes on unremitted earnings of all foreign subsidiaries where required. However, due to changes in the taxation of dividends under TCJA, Tredegar will only record U.S. federal income taxes on unremitted earnings of its foreign subsidiaries where Tredegar cannot take steps to eliminate any potential tax on future distributions from its foreign subsidiaries. Because of the accumulation of significant losses related to foreign currency translations at Terphane Ltda., there were no deferred income tax liabilities associated with the U.S. federal income taxes and foreign withholding taxes on Terphane Ltda.’s undistributed earnings as of December 31, 2022 and 2021. Beginning January 1, 2022, the TCJA eliminated the option to deduct research and development expenditures in the current year and requires taxpayers to capitalize such expenses as a result of amendments to Internal Revenue Code (“IRC”) Section 174. As a result of this provision of the TCJA, deferred tax assets related to capitalized research expenses pursuant to the amended IRC Section 174 increased by a net $4.8 million.</w:t>
      </w:r>
    </w:p>
    <w:p>
      <w:pPr>
        <w:spacing w:after="0" w:line="5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Brazilian federal statutory income tax rate is a composite of 34.0% (25.0% of income tax and 9.0% of social contribution on income). Terphane’s manufacturing facility in Brazil is the beneficiary of certain income tax incentives that allow for a reduction in the statutory Brazilian federal income tax rate levied on the operating profit of its products. These incentives produce a current tax rate of 15.25% for Terphane (6.25% of income tax and 9.0% social contribution on income). The incentives were originally granted for a 10-year period commencing January 1, 2015 and expiring at the end of 2024.</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2" w:name="page73"/>
    <w:bookmarkEnd w:id="72"/>
    <w:p>
      <w:pPr>
        <w:ind w:right="100"/>
        <w:spacing w:after="0" w:line="282" w:lineRule="auto"/>
        <w:rPr>
          <w:sz w:val="20"/>
          <w:szCs w:val="20"/>
          <w:color w:val="auto"/>
        </w:rPr>
      </w:pPr>
      <w:r>
        <w:rPr>
          <w:rFonts w:ascii="Times New Roman" w:cs="Times New Roman" w:eastAsia="Times New Roman" w:hAnsi="Times New Roman"/>
          <w:sz w:val="18"/>
          <w:szCs w:val="18"/>
          <w:color w:val="auto"/>
        </w:rPr>
        <w:t>Terphane Brazil has been granted an additional three years of tax incentives through the end of 2027. The benefit from the tax incentives was $3.9 million, $7.0 million and $4.8 million in 2022, 2021 and 2020, respectively.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income tax liabilities and deferred income tax assets at December 31, 2022 and 2021,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goodwill and identifiable intangibles</w:t>
            </w: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10,533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14,950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Foregone tax credits on foreign branch income</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719</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leased assets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7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722</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3"/>
        </w:trPr>
        <w:tc>
          <w:tcPr>
            <w:tcW w:w="7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30,071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31,200</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7,535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benefits</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7,558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capital losses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3,952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write-offs, divestitures and environmental accruals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benefit on U.S. federal, state and foreign NOL and credit carryforwards</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24,914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33,922</w:t>
            </w:r>
          </w:p>
        </w:tc>
      </w:tr>
      <w:tr>
        <w:trPr>
          <w:trHeight w:val="230"/>
        </w:trPr>
        <w:tc>
          <w:tcPr>
            <w:tcW w:w="7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Section 174 Capitalized R&amp;D expenditures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4,874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basis remaining for installment sale - kaléo</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999</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7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 adjustment</w:t>
            </w:r>
          </w:p>
        </w:tc>
        <w:tc>
          <w:tcPr>
            <w:tcW w:w="1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1,224</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3"/>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57,778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59,575</w:t>
            </w:r>
          </w:p>
        </w:tc>
      </w:tr>
      <w:tr>
        <w:trPr>
          <w:trHeight w:val="230"/>
        </w:trPr>
        <w:tc>
          <w:tcPr>
            <w:tcW w:w="7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13,807</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w:t>
            </w:r>
          </w:p>
        </w:tc>
      </w:tr>
      <w:tr>
        <w:trPr>
          <w:trHeight w:val="223"/>
        </w:trPr>
        <w:tc>
          <w:tcPr>
            <w:tcW w:w="7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43,971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46,923</w:t>
            </w: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29"/>
        </w:trPr>
        <w:tc>
          <w:tcPr>
            <w:tcW w:w="7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liabilities (noncurrent)</w:t>
            </w:r>
          </w:p>
        </w:tc>
        <w:tc>
          <w:tcPr>
            <w:tcW w:w="1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bl>
    <w:p>
      <w:pPr>
        <w:spacing w:after="0" w:line="15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Except as noted below, the Company believes that it is more likely than not that future taxable income will exceed future tax-deductible amounts thereby resulting in the realization of deferred income tax assets. The Company has estimated gross federal, state and foreign tax credits and net operating loss carryforwards of $24.9 million and $33.9 million at December 31, 2022 and 2021, respectively. The U.S. federal foreign tax credits will expire between 2027-2031 and the U.S. federal research and development tax credits will expire by 2043. The U.S. state carryforwards expire at different points over the next 20 years.</w:t>
      </w:r>
    </w:p>
    <w:p>
      <w:pPr>
        <w:spacing w:after="0" w:line="6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Valuation allowances of $10.3 million, $9.4 million and $5.5 million at December 31, 2022, 2021 and 2020, respectively, are recorded against the tax benefit on U.S. federal, state and foreign tax credits and net operating loss carryforwards generated by domestic subsidiaries that may not be recoverable in the carryforward period. The valuation allowance for excess capital losses from investments and other related items was $0.7 million, $0.7 million and $7.1 million at December 31, 2022, 2021 and 2020, respectively. The amount of the deferred income tax asset considered realizable, however, could be adjusted in the near term if estimates of the fair value of certain investments during the carryforward period change. As circumstances and events warrant, allowances will be reversed when it is more likely than not that future taxable income will exceed deductible amounts, thereby resulting in the realization of deferred income tax assets. Valuation allowances of $2.8 million, $2.5 million and $4.9 million at December 31, 2022, 2021 and 2020, respectively, were recorded against certain deferred state tax assets.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color w:val="auto"/>
        </w:rPr>
        <w:t>A reconciliation of the Company’s unrecognized uncertain tax positions since January 1, 2020, is shown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2021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648</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due to tax positions taken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period</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w:t>
            </w:r>
          </w:p>
        </w:tc>
        <w:tc>
          <w:tcPr>
            <w:tcW w:w="5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392"/>
        </w:trPr>
        <w:tc>
          <w:tcPr>
            <w:tcW w:w="87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Additional information related to unrecognized uncertain tax positions since January 1, 2020 is summarized below:</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gridSpan w:val="4"/>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2021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Gross unrecognized tax benefits on uncertain tax positions (reflected in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income tax, other noncurrent liability accounts, or deferred tax assets in the balance</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sheet)</w:t>
            </w:r>
          </w:p>
        </w:tc>
        <w:tc>
          <w:tcPr>
            <w:tcW w:w="3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76"/>
        </w:trPr>
        <w:tc>
          <w:tcPr>
            <w:tcW w:w="6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Deferred income tax assets related to unrecognized tax benefits on uncertain tax positions</w:t>
            </w:r>
          </w:p>
        </w:tc>
        <w:tc>
          <w:tcPr>
            <w:tcW w:w="34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(reflected in deferred income tax accounts in the balance sheet)</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Net unrecognized tax benefits on uncertain tax positions, which would impact the</w:t>
            </w: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771</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tax rate if recognized</w:t>
            </w: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696</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76"/>
        </w:trPr>
        <w:tc>
          <w:tcPr>
            <w:tcW w:w="6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Interest and penalties accrued on deductions taken relating to uncertain tax positions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(approximately $16, $26 and $2 reflected in income tax expense in the income statement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in 2022, 2021 and 2020, respectively, with the balance shown in current income tax and</w:t>
            </w:r>
          </w:p>
        </w:tc>
        <w:tc>
          <w:tcPr>
            <w:tcW w:w="340" w:type="dxa"/>
            <w:vAlign w:val="bottom"/>
          </w:tcPr>
          <w:p>
            <w:pPr>
              <w:spacing w:after="0"/>
              <w:rPr>
                <w:sz w:val="16"/>
                <w:szCs w:val="16"/>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liability accounts in the balance sheet)</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deferred income tax assets recognized on interest and penalties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69"/>
        </w:trPr>
        <w:tc>
          <w:tcPr>
            <w:tcW w:w="672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Interest and penalties accrued on uncertain tax positions net of related deferred income tax</w:t>
            </w:r>
          </w:p>
        </w:tc>
        <w:tc>
          <w:tcPr>
            <w:tcW w:w="340" w:type="dxa"/>
            <w:vAlign w:val="bottom"/>
          </w:tcPr>
          <w:p>
            <w:pPr>
              <w:spacing w:after="0"/>
              <w:rPr>
                <w:sz w:val="14"/>
                <w:szCs w:val="14"/>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benefits, which would impact the effective tax rate if recognized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net unrecognized tax benefits on uncertain tax positions reflected in the balance</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886</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sheet, which would impact the effective tax rate if recognized</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Tredegar, or one of its subsidiaries, files income tax returns in the U.S. federal jurisdiction, various states and jurisdictions outside the U.S. With few exceptions, Tredegar is no longer subject to U.S. federal, state or non-U.S. income tax examinations by tax authorities for years before 2019. The Company anticipates that it is reasonably possible that Federal and state income tax audits or statutes may settle or close within the next 12 months and are not expected to result in a material changes in unrecognized tax positions, including any payments that may be made.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9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PE Films produces surface protection films, polyethylene overwrap films and films for other markets. Flexible Packaging Films produces polyester based films for use in packaging applications that have specialized properties, such as heat resistance, strength, barrier protection and the ability to accept high-quality print graphics.</w:t>
      </w:r>
    </w:p>
    <w:p>
      <w:pPr>
        <w:spacing w:after="0" w:line="6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 Earnings before interest and taxes ("EBIT") from ongoing operations is a non-GAAP financial measure included in the reconciliation of segment financial information to consolidated results for the Company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Information by business segment and geographic area for the last three years is provided in the segment tables below. There were no accounting transactions between segments and no allocations to segments.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top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12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637,872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539,325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97,571</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118,920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139,288</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168,139</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139,978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134,605</w:t>
            </w: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903,582</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798,223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729,604</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1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34,982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28,232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as shown in consolidated statements of income</w:t>
            </w:r>
          </w:p>
        </w:tc>
        <w:tc>
          <w:tcPr>
            <w:tcW w:w="1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938,564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826,455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755,290</w:t>
            </w:r>
          </w:p>
        </w:tc>
        <w:tc>
          <w:tcPr>
            <w:tcW w:w="0" w:type="dxa"/>
            <w:vAlign w:val="bottom"/>
          </w:tcPr>
          <w:p>
            <w:pPr>
              <w:spacing w:after="0"/>
              <w:rPr>
                <w:sz w:val="1"/>
                <w:szCs w:val="1"/>
                <w:color w:val="auto"/>
              </w:rPr>
            </w:pPr>
          </w:p>
        </w:tc>
      </w:tr>
      <w:tr>
        <w:trPr>
          <w:trHeight w:val="405"/>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00" w:type="dxa"/>
            <w:vAlign w:val="bottom"/>
            <w:tcBorders>
              <w:bottom w:val="single" w:sz="8" w:color="auto"/>
            </w:tcBorders>
            <w:gridSpan w:val="3"/>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710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i w:val="1"/>
                <w:iCs w:val="1"/>
                <w:color w:val="auto"/>
              </w:rPr>
              <w:t>EBITDA from Ongoing Operations</w:t>
            </w:r>
          </w:p>
        </w:tc>
        <w:tc>
          <w:tcPr>
            <w:tcW w:w="11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Ongoing operations: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EBITDA</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66,800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55,948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EBIT</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49,386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39,676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Ongoing operations: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EBITDA</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11,949</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27,694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23"/>
        </w:trPr>
        <w:tc>
          <w:tcPr>
            <w:tcW w:w="5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EBIT</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5,669</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21,431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Ongoing operations: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EBITDA</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27,452</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31,684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3"/>
        </w:trPr>
        <w:tc>
          <w:tcPr>
            <w:tcW w:w="5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EBIT</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25,008</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29,696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1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8,439</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79,016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102,108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4,990</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investment in kaléo (a)</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12,780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Bright View (a)</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expense</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 (a)</w:t>
            </w:r>
          </w:p>
        </w:tc>
        <w:tc>
          <w:tcPr>
            <w:tcW w:w="1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41,295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41,859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32,770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67,221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 (a)</w:t>
            </w:r>
          </w:p>
        </w:tc>
        <w:tc>
          <w:tcPr>
            <w:tcW w:w="1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9,284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28,381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57,937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 (a)</w:t>
            </w:r>
          </w:p>
        </w:tc>
        <w:tc>
          <w:tcPr>
            <w:tcW w:w="1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9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28,455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57,826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65"/>
        </w:trPr>
        <w:tc>
          <w:tcPr>
            <w:tcW w:w="3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8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293,308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113,613</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103,448</w:t>
            </w:r>
          </w:p>
        </w:tc>
        <w:tc>
          <w:tcPr>
            <w:tcW w:w="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75,269</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499,187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23,674</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542,093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660" w:type="dxa"/>
            <w:vAlign w:val="bottom"/>
          </w:tcPr>
          <w:p>
            <w:pPr>
              <w:spacing w:after="0"/>
              <w:rPr>
                <w:sz w:val="19"/>
                <w:szCs w:val="19"/>
                <w:color w:val="auto"/>
              </w:rPr>
            </w:pPr>
          </w:p>
        </w:tc>
        <w:tc>
          <w:tcPr>
            <w:tcW w:w="21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2021</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2020</w:t>
            </w: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17,414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17,403</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23,664</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18,914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7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6,280</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6,762</w:t>
            </w: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34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2,997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2,444</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1,761</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7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26,138</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25,926</w:t>
            </w: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35,104</w:t>
            </w:r>
          </w:p>
        </w:tc>
        <w:tc>
          <w:tcPr>
            <w:tcW w:w="34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27,514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(d)</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5,511</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26,402</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5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31,957</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36,875</w:t>
            </w:r>
          </w:p>
        </w:tc>
        <w:tc>
          <w:tcPr>
            <w:tcW w:w="3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27,361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(c)</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717,049</w:t>
            </w: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614,987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530,243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41,995</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15,264</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3,885</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117,896</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903,582</w:t>
            </w: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798,223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729,604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20" w:type="dxa"/>
            <w:vAlign w:val="bottom"/>
            <w:gridSpan w:val="5"/>
          </w:tcPr>
          <w:p>
            <w:pPr>
              <w:jc w:val="right"/>
              <w:ind w:right="29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9"/>
              </w:rPr>
              <w:t>Property, Plant &amp; Equipment,</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by Geographic Area (c)</w:t>
            </w:r>
          </w:p>
        </w:tc>
        <w:tc>
          <w:tcPr>
            <w:tcW w:w="520" w:type="dxa"/>
            <w:vAlign w:val="bottom"/>
          </w:tcPr>
          <w:p>
            <w:pPr>
              <w:spacing w:after="0"/>
              <w:rPr>
                <w:sz w:val="20"/>
                <w:szCs w:val="20"/>
                <w:color w:val="auto"/>
              </w:rPr>
            </w:pPr>
          </w:p>
        </w:tc>
        <w:tc>
          <w:tcPr>
            <w:tcW w:w="262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rPr>
              <w:t>Net by Geographic Area (c)</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413,512</w:t>
            </w:r>
          </w:p>
        </w:tc>
        <w:tc>
          <w:tcPr>
            <w:tcW w:w="8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398,749</w:t>
            </w: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72,725</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54,299</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12,950</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23,674</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19,232</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542,093</w:t>
            </w:r>
          </w:p>
        </w:tc>
        <w:tc>
          <w:tcPr>
            <w:tcW w:w="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186,411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170,381</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76" w:name="page77"/>
    <w:bookmarkEnd w:id="76"/>
    <w:p>
      <w:pPr>
        <w:ind w:right="60" w:firstLine="405"/>
        <w:spacing w:after="0" w:line="290" w:lineRule="auto"/>
        <w:rPr>
          <w:sz w:val="20"/>
          <w:szCs w:val="20"/>
          <w:color w:val="auto"/>
        </w:rPr>
      </w:pPr>
      <w:r>
        <w:rPr>
          <w:rFonts w:ascii="Times New Roman" w:cs="Times New Roman" w:eastAsia="Times New Roman" w:hAnsi="Times New Roman"/>
          <w:sz w:val="17"/>
          <w:szCs w:val="17"/>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w:t>
      </w:r>
    </w:p>
    <w:p>
      <w:pPr>
        <w:ind w:right="200"/>
        <w:spacing w:after="0" w:line="282" w:lineRule="auto"/>
        <w:rPr>
          <w:sz w:val="20"/>
          <w:szCs w:val="20"/>
          <w:color w:val="auto"/>
        </w:rPr>
      </w:pPr>
      <w:r>
        <w:rPr>
          <w:rFonts w:ascii="Times New Roman" w:cs="Times New Roman" w:eastAsia="Times New Roman" w:hAnsi="Times New Roman"/>
          <w:sz w:val="18"/>
          <w:szCs w:val="18"/>
          <w:color w:val="auto"/>
        </w:rPr>
        <w:t>but paid by customers directly to PV. Amounts associated with this intercompany tolling arrangement are reported in the table above as export sales from the U.S. to Asia, and include net sales of $20.1 million in 2022, $32.7 million in 2021 and $35.1 million in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Net Sales by Product Group</w:t>
            </w: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1"/>
        </w:trPr>
        <w:tc>
          <w:tcPr>
            <w:tcW w:w="388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3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338,981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269,252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253,126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53,578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51,286</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43,256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63,326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29,732</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45,639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64,268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52,236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40,049</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27,738</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32,643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637,872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539,325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455,711</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68,140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88,436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109,097</w:t>
            </w: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Packaging</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29,431</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30,484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LED-based products</w:t>
            </w:r>
          </w:p>
        </w:tc>
        <w:tc>
          <w:tcPr>
            <w:tcW w:w="3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0" w:type="dxa"/>
            <w:vAlign w:val="bottom"/>
          </w:tcPr>
          <w:p>
            <w:pPr>
              <w:spacing w:after="0"/>
              <w:rPr>
                <w:sz w:val="1"/>
                <w:szCs w:val="1"/>
                <w:color w:val="auto"/>
              </w:rPr>
            </w:pPr>
          </w:p>
        </w:tc>
      </w:tr>
      <w:tr>
        <w:trPr>
          <w:trHeight w:val="223"/>
        </w:trPr>
        <w:tc>
          <w:tcPr>
            <w:tcW w:w="3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97,571</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118,920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139,288</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168,139</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139,978</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134,605</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903,582</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798,223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729,604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220" w:hanging="252"/>
        <w:spacing w:after="0" w:line="261" w:lineRule="auto"/>
        <w:tabs>
          <w:tab w:leader="none" w:pos="25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5, 9, 12 and 15 for more information on losses associated with plant shutdowns, asset impairments and restructurings, unusual items, gains or losses from sale of assets, gains or losses on an investment accounted for under the fair value method and other items.</w:t>
      </w:r>
    </w:p>
    <w:p>
      <w:pPr>
        <w:ind w:left="240" w:hanging="232"/>
        <w:spacing w:after="0"/>
        <w:tabs>
          <w:tab w:leader="none" w:pos="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includes funds held in locations outside the U.S. of $10.3 million and $16.4 million at December 31, 2022 and 2021, respectively.</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sales relate mostly to PE Films. Operations in Brazil relate to Flexible Packaging Films.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depreciation and amortization are included in Corporate expenses, net, on the EBITDA from ongoing operations table above.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SAVINGS PLAN</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Tredegar has a savings plan that allows eligible employees to voluntarily contribute a percentage of their compensation, up to IRS limitations. The provisions of the savings plan provided the following benefits for salaried and certain hourly employees:</w:t>
      </w:r>
    </w:p>
    <w:p>
      <w:pPr>
        <w:spacing w:after="0" w:line="27" w:lineRule="exact"/>
        <w:rPr>
          <w:sz w:val="20"/>
          <w:szCs w:val="20"/>
          <w:color w:val="auto"/>
        </w:rPr>
      </w:pPr>
    </w:p>
    <w:p>
      <w:pPr>
        <w:ind w:left="740" w:right="140" w:hanging="327"/>
        <w:spacing w:after="0" w:line="282"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matching contributions to the savings plan of $1 for every $1 an employee contributes per pay period up to a maximum of 5% of eligible compensation.</w:t>
      </w:r>
    </w:p>
    <w:p>
      <w:pPr>
        <w:spacing w:after="0" w:line="40" w:lineRule="exact"/>
        <w:rPr>
          <w:rFonts w:ascii="Times New Roman" w:cs="Times New Roman" w:eastAsia="Times New Roman" w:hAnsi="Times New Roman"/>
          <w:sz w:val="18"/>
          <w:szCs w:val="18"/>
          <w:color w:val="auto"/>
        </w:rPr>
      </w:pPr>
    </w:p>
    <w:p>
      <w:pPr>
        <w:ind w:left="740" w:right="440" w:hanging="327"/>
        <w:spacing w:after="0" w:line="282"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savings plan includes immediate vesting of matching contributions and automatic enrollment at 3% of eligible compensation unless the employee opts out or elects a different percentage.</w:t>
      </w:r>
    </w:p>
    <w:p>
      <w:pPr>
        <w:spacing w:after="0" w:line="4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also has a non-qualified plan that restores matching benefits for employees suspended from the savings plan due to certain limitations imposed by income tax regulations (“restoration plan”). Charges recognized for these plans were $3.9 million in 2022, $3.3 million in 2021 and $4.0 million in 2020. The Company’s liability under the restoration plan was $0.7 million at December 31, 2022 (consisting of 70,266 phantom shares of common stock) and $0.7 million at December 31, 2021 (consisting of 56,570 phantom shares of common stock) and valued at the closing market price on those dates.</w:t>
      </w:r>
    </w:p>
    <w:p>
      <w:pPr>
        <w:spacing w:after="0" w:line="4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Tredegar Corporation Benefits Plan Trust (the “Trust”) purchased 7,200 shares of the Company’s common stock in 1998 for $0.2 million and 46,671 shares of its common stock in 1997 for $1.0 million. There have been no shares purchased since 1998 except for re-invested dividends. The cost of the shares held by the Trust is shown as a reduction to shareholders’ equity in the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7" w:name="page78"/>
    <w:bookmarkEnd w:id="77"/>
    <w:p>
      <w:pPr>
        <w:ind w:right="6980" w:firstLine="8"/>
        <w:spacing w:after="0" w:line="353" w:lineRule="auto"/>
        <w:tabs>
          <w:tab w:leader="none" w:pos="27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DIVESTITURES AND ASSETS HELD FOR SALE </w:t>
      </w:r>
      <w:r>
        <w:rPr>
          <w:rFonts w:ascii="Times New Roman" w:cs="Times New Roman" w:eastAsia="Times New Roman" w:hAnsi="Times New Roman"/>
          <w:sz w:val="18"/>
          <w:szCs w:val="18"/>
          <w:b w:val="1"/>
          <w:bCs w:val="1"/>
          <w:u w:val="single" w:color="auto"/>
          <w:color w:val="auto"/>
        </w:rPr>
        <w:t>Divestitures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Personal Care Films</w:t>
      </w:r>
    </w:p>
    <w:p>
      <w:pPr>
        <w:spacing w:after="0" w:line="106"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2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Consolidated Statements of Income for the year ended December 31 2020. Net income (loss) from discontinued operations for the years ended December 31, 2022 and 2021 were immaterial.</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Year Ended December</w:t>
            </w:r>
          </w:p>
        </w:tc>
      </w:tr>
      <w:tr>
        <w:trPr>
          <w:trHeight w:val="234"/>
        </w:trPr>
        <w:tc>
          <w:tcPr>
            <w:tcW w:w="8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and other items:</w:t>
            </w:r>
          </w:p>
        </w:tc>
        <w:tc>
          <w:tcPr>
            <w:tcW w:w="16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110,246</w:t>
            </w:r>
          </w:p>
        </w:tc>
      </w:tr>
      <w:tr>
        <w:trPr>
          <w:trHeight w:val="230"/>
        </w:trPr>
        <w:tc>
          <w:tcPr>
            <w:tcW w:w="8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8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109,913</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92,079</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1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29"/>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r>
      <w:tr>
        <w:trPr>
          <w:trHeight w:val="230"/>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8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50,027</w:t>
            </w:r>
          </w:p>
        </w:tc>
      </w:tr>
      <w:tr>
        <w:trPr>
          <w:trHeight w:val="223"/>
        </w:trPr>
        <w:tc>
          <w:tcPr>
            <w:tcW w:w="8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174,551</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1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(64,638)</w:t>
            </w:r>
          </w:p>
        </w:tc>
      </w:tr>
      <w:tr>
        <w:trPr>
          <w:trHeight w:val="230"/>
        </w:trPr>
        <w:tc>
          <w:tcPr>
            <w:tcW w:w="8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r>
      <w:tr>
        <w:trPr>
          <w:trHeight w:val="230"/>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(58,611)</w:t>
            </w:r>
          </w:p>
        </w:tc>
      </w:tr>
    </w:tbl>
    <w:p>
      <w:pPr>
        <w:spacing w:after="0" w:line="15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significant operating and investing cash flow information for discontinued operations for the year ended December 31, 2020. There was no significant operating and investing cash flow information for the years ended December 31, 2022 and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8"/>
              </w:rPr>
              <w:t>Year Ended</w:t>
            </w:r>
          </w:p>
        </w:tc>
      </w:tr>
      <w:tr>
        <w:trPr>
          <w:trHeight w:val="234"/>
        </w:trPr>
        <w:tc>
          <w:tcPr>
            <w:tcW w:w="6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8"/>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r>
      <w:tr>
        <w:trPr>
          <w:trHeight w:val="230"/>
        </w:trPr>
        <w:tc>
          <w:tcPr>
            <w:tcW w:w="6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Personal Care Films</w:t>
            </w:r>
          </w:p>
        </w:tc>
        <w:tc>
          <w:tcPr>
            <w:tcW w:w="3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50,027</w:t>
            </w:r>
          </w:p>
        </w:tc>
      </w:tr>
      <w:tr>
        <w:trPr>
          <w:trHeight w:val="230"/>
        </w:trPr>
        <w:tc>
          <w:tcPr>
            <w:tcW w:w="6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55,538</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on sale of Personal Care Films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55,115</w:t>
            </w:r>
          </w:p>
        </w:tc>
      </w:tr>
      <w:tr>
        <w:trPr>
          <w:trHeight w:val="229"/>
        </w:trPr>
        <w:tc>
          <w:tcPr>
            <w:tcW w:w="6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30"/>
        </w:trPr>
        <w:tc>
          <w:tcPr>
            <w:tcW w:w="6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Held For Sale</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July 2019, the Company committed to a plan to close its manufacturing facility in Lake Zurich, Illinois, which historically was reported within the personal care component of its PE Films segment. As of December 31, 2020, the disposal group carrying value of $4.6 million was reported in "Prepaid expenses and other" in the consolidated balance sheet as the held for sale criteria was met. During the third quarter of 2021, the Company completed the sale of the remaining assets in Lake Zurich, Illinois resulting in total cash proceeds of $4.7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16. INVESTMENTS</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August 2007 and December 2008, the Company made an aggregate investment of $7.5 million in kaleo, Inc. (“kaléo”), a privately held specialty pharmaceutical company dedicated to building innovative solutions for serious and life-threatening medical conditions. Tredegar historically accounted for its investment in kaléo under the fair value option. At the time of the initial investment, the Company elected the fair value option of accounting since its investment objectives were similar to those of venture capitalists, which typically do not have controlling financial interests. kaléo’s stock is not publicly traded.</w:t>
      </w:r>
    </w:p>
    <w:p>
      <w:pPr>
        <w:spacing w:after="0" w:line="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December 27, 2021, the Company completed the sale of its investment interests in kaléo (Series A-3 Preferred Stock, Series B Preferred Stock and common stock) that, taken together, represented on a fully-diluted basis an approximate 18% interest in kaléo. Tredegar received closing cash proceeds of $47.1 million. Subsequently, in May 2022, additional cash consideration of $1.4 million was received related to customary post-closing adjustments, which is reported in “Other income (expense), net” in the consolidated statements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SUPPLY CHAIN FINANCING</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has supply chain finance service agreements with third-party financial institutions to provide platforms that facilitate the ability of participating suppliers to finance payment obligations from the Company with the third-party financial institution. The Company’s obligations to its suppliers, including amounts due and scheduled payment dates, are not affected by suppliers’ decisions to finance amounts under the supply chain finance agreements. As of December 31, 2022 and 2021, $25.9 million and $30.7 million, respectively, of the Company’s accounts payable were financed by participating suppliers through third-party financial institutions.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Tredegar is involved in various stages of investigation and remediation relating to environmental matters at certain current and former plant locations. Where the Company has determined the nature and scope of any required environmental remediation activity, estimates of cleanup costs have been obtained and accrued. As efforts to maintain compliance with applicable environmental laws and regulations, additional contingencies may be identified continue. If additional contingencies are identified in the future, the Company’s practice is to determine at that time the nature and scope of those contingencies, obtain and accrue estimates of the cost of remediation, and perform remediation. While the Company believes it is currently adequately accrued for known environmental issues, it is possible that unexpected future costs for known or unknown environmental issues could have a material adverse effect on its financial condition, results of operations and cash flows at that time.</w:t>
      </w:r>
    </w:p>
    <w:p>
      <w:pPr>
        <w:spacing w:after="0" w:line="54"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actions arising in the normal course of business. After taking into consideration the relevant information, the Company believes that it has sufficiently accrued for probable losses and that the actions will not have a material adverse effect on its financial position.</w:t>
      </w:r>
    </w:p>
    <w:p>
      <w:pPr>
        <w:spacing w:after="0" w:line="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third parties in connection with the sale of assets or businesses in which it agrees to indemnify the buyers or third parties involved in the transaction, or in which the sellers or third parties involved in the transaction agree to indemnify Tredegar, for certain liabilities or risks related to the assets or business. Also, in the ordinary course of its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For these reasons, Tredegar is unable to estimate the maximum amount of the potential future liability under the indemnity provisions of these agreements. The Company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considered to be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980" w:type="dxa"/>
            <w:vAlign w:val="bottom"/>
            <w:gridSpan w:val="39"/>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3"/>
        </w:trPr>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Articles of Incorporation of Tredegar (filed as Exhibit 3.1 to Tredegar’s Annual Report on Form 10-K (File No. 1-</w:t>
              </w:r>
            </w:hyperlink>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9"/>
            <w:shd w:val="clear" w:color="auto" w:fill="CCEEFF"/>
          </w:tcPr>
          <w:p>
            <w:pPr>
              <w:ind w:left="20"/>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10258) for the year ended December 31, 2004,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Articles of Amendment to Amended and Restated Articles of Incorporation of Tredegar (filed as Exhibit 3.3 to Tredegar’s Annual Report on</w:t>
              </w:r>
            </w:hyperlink>
          </w:p>
        </w:tc>
      </w:tr>
      <w:tr>
        <w:trPr>
          <w:trHeight w:val="156"/>
        </w:trPr>
        <w:tc>
          <w:tcPr>
            <w:tcW w:w="880" w:type="dxa"/>
            <w:vAlign w:val="bottom"/>
          </w:tcPr>
          <w:p>
            <w:pPr>
              <w:spacing w:after="0"/>
              <w:rPr>
                <w:sz w:val="13"/>
                <w:szCs w:val="13"/>
                <w:color w:val="auto"/>
              </w:rPr>
            </w:pPr>
          </w:p>
        </w:tc>
        <w:tc>
          <w:tcPr>
            <w:tcW w:w="10200" w:type="dxa"/>
            <w:vAlign w:val="bottom"/>
            <w:tcBorders>
              <w:top w:val="single" w:sz="8" w:color="0000FF"/>
            </w:tcBorders>
            <w:gridSpan w:val="31"/>
          </w:tcPr>
          <w:p>
            <w:pPr>
              <w:ind w:left="20"/>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10-K (File No. 1-10258) for the year ended December 31, 2004,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Articles of Amendment to Amended and Restated Articles of Incorporation of Tredegar, as of May 24, 2013 (filed as Exhibit 3.1 to Tredegar’s</w:t>
              </w:r>
            </w:hyperlink>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39"/>
            <w:shd w:val="clear" w:color="auto" w:fill="CCEEFF"/>
          </w:tcPr>
          <w:p>
            <w:pPr>
              <w:ind w:left="20"/>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Current Report on Form 8-K (File No. 1-10258), filed on May 29, 2013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Articles of Amendment to Amended and Restated Articles of Incorporation of Tredegar, as of May 4, 2016 (filed as Exhibit 3.1 to Tredegar’s</w:t>
              </w:r>
            </w:hyperlink>
          </w:p>
        </w:tc>
      </w:tr>
      <w:tr>
        <w:trPr>
          <w:trHeight w:val="155"/>
        </w:trPr>
        <w:tc>
          <w:tcPr>
            <w:tcW w:w="880" w:type="dxa"/>
            <w:vAlign w:val="bottom"/>
          </w:tcPr>
          <w:p>
            <w:pPr>
              <w:spacing w:after="0"/>
              <w:rPr>
                <w:sz w:val="13"/>
                <w:szCs w:val="13"/>
                <w:color w:val="auto"/>
              </w:rPr>
            </w:pPr>
          </w:p>
        </w:tc>
        <w:tc>
          <w:tcPr>
            <w:tcW w:w="10260" w:type="dxa"/>
            <w:vAlign w:val="bottom"/>
            <w:tcBorders>
              <w:top w:val="single" w:sz="8" w:color="0000FF"/>
            </w:tcBorders>
            <w:gridSpan w:val="34"/>
          </w:tcPr>
          <w:p>
            <w:pPr>
              <w:ind w:left="20"/>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Current Report on Form 8-K (File No. 1-10258), filed on May 6, 2016,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Bylaws of Tredegar (filed as Exhibit 3.1 to Tredegar’s Current Report on Form 8-K (File No. 1-10258), filed on March</w:t>
              </w:r>
            </w:hyperlink>
          </w:p>
        </w:tc>
      </w:tr>
      <w:tr>
        <w:trPr>
          <w:trHeight w:val="190"/>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3440" w:type="dxa"/>
            <w:vAlign w:val="bottom"/>
            <w:tcBorders>
              <w:top w:val="single" w:sz="8" w:color="0000FF"/>
              <w:bottom w:val="single" w:sz="8" w:color="0000FF"/>
            </w:tcBorders>
            <w:gridSpan w:val="3"/>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30, 2020, and incorporated herein by reference)</w:t>
              </w:r>
            </w:hyperlink>
          </w:p>
        </w:tc>
        <w:tc>
          <w:tcPr>
            <w:tcW w:w="6960" w:type="dxa"/>
            <w:vAlign w:val="bottom"/>
            <w:tcBorders>
              <w:top w:val="single" w:sz="8" w:color="0000FF"/>
              <w:bottom w:val="single" w:sz="8" w:color="CCEEFF"/>
            </w:tcBorders>
            <w:gridSpan w:val="3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Description of Registered Securities (filed as Exhibit 4.1 to Tredegar’s Annual Report on Form 10-K (File No 1-10258) for the year ended</w:t>
              </w:r>
            </w:hyperlink>
          </w:p>
        </w:tc>
      </w:tr>
      <w:tr>
        <w:trPr>
          <w:trHeight w:val="155"/>
        </w:trPr>
        <w:tc>
          <w:tcPr>
            <w:tcW w:w="880" w:type="dxa"/>
            <w:vAlign w:val="bottom"/>
          </w:tcPr>
          <w:p>
            <w:pPr>
              <w:spacing w:after="0"/>
              <w:rPr>
                <w:sz w:val="13"/>
                <w:szCs w:val="13"/>
                <w:color w:val="auto"/>
              </w:rPr>
            </w:pPr>
          </w:p>
        </w:tc>
        <w:tc>
          <w:tcPr>
            <w:tcW w:w="9980" w:type="dxa"/>
            <w:vAlign w:val="bottom"/>
            <w:tcBorders>
              <w:top w:val="single" w:sz="8" w:color="0000FF"/>
            </w:tcBorders>
            <w:gridSpan w:val="21"/>
          </w:tcPr>
          <w:p>
            <w:pPr>
              <w:ind w:left="20"/>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December 31, 2019,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15"/>
            <w:shd w:val="clear" w:color="auto" w:fill="CCEEFF"/>
          </w:tcPr>
          <w:p>
            <w:pPr>
              <w:ind w:left="20"/>
              <w:spacing w:after="0" w:line="18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Second Amended and Restated Credit Agreement, dated as of June 29, 2022, among Tredegar, as borrower, the lenders named therein,</w:t>
              </w:r>
            </w:hyperlink>
          </w:p>
        </w:tc>
        <w:tc>
          <w:tcPr>
            <w:tcW w:w="720" w:type="dxa"/>
            <w:vAlign w:val="bottom"/>
            <w:tcBorders>
              <w:bottom w:val="single" w:sz="8" w:color="CCEEFF"/>
            </w:tcBorders>
            <w:gridSpan w:val="27"/>
            <w:shd w:val="clear" w:color="auto" w:fill="CCEEFF"/>
          </w:tcPr>
          <w:p>
            <w:pPr>
              <w:spacing w:after="0"/>
              <w:rPr>
                <w:sz w:val="16"/>
                <w:szCs w:val="16"/>
                <w:color w:val="auto"/>
              </w:rPr>
            </w:pPr>
          </w:p>
        </w:tc>
      </w:tr>
      <w:tr>
        <w:trPr>
          <w:trHeight w:val="156"/>
        </w:trPr>
        <w:tc>
          <w:tcPr>
            <w:tcW w:w="880" w:type="dxa"/>
            <w:vAlign w:val="bottom"/>
            <w:shd w:val="clear" w:color="auto" w:fill="CCEEFF"/>
          </w:tcPr>
          <w:p>
            <w:pPr>
              <w:spacing w:after="0"/>
              <w:rPr>
                <w:sz w:val="13"/>
                <w:szCs w:val="13"/>
                <w:color w:val="auto"/>
              </w:rPr>
            </w:pPr>
          </w:p>
        </w:tc>
        <w:tc>
          <w:tcPr>
            <w:tcW w:w="10420" w:type="dxa"/>
            <w:vAlign w:val="bottom"/>
            <w:gridSpan w:val="42"/>
            <w:shd w:val="clear" w:color="auto" w:fill="CCEEFF"/>
          </w:tcPr>
          <w:p>
            <w:pPr>
              <w:ind w:left="20"/>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JPMorgan Chase Bank N.A., as administrative agent, Citizens Bank N.A and PNC Bank, National Association, as co-syndication agents, and</w:t>
              </w:r>
            </w:hyperlink>
          </w:p>
        </w:tc>
      </w:tr>
      <w:tr>
        <w:trPr>
          <w:trHeight w:val="169"/>
        </w:trPr>
        <w:tc>
          <w:tcPr>
            <w:tcW w:w="880" w:type="dxa"/>
            <w:vAlign w:val="bottom"/>
            <w:tcBorders>
              <w:top w:val="single" w:sz="8" w:color="CCEEFF"/>
            </w:tcBorders>
            <w:shd w:val="clear" w:color="auto" w:fill="CCEEFF"/>
          </w:tcPr>
          <w:p>
            <w:pPr>
              <w:spacing w:after="0"/>
              <w:rPr>
                <w:sz w:val="14"/>
                <w:szCs w:val="14"/>
                <w:color w:val="auto"/>
              </w:rPr>
            </w:pPr>
          </w:p>
        </w:tc>
        <w:tc>
          <w:tcPr>
            <w:tcW w:w="10240" w:type="dxa"/>
            <w:vAlign w:val="bottom"/>
            <w:tcBorders>
              <w:top w:val="single" w:sz="8" w:color="0000FF"/>
            </w:tcBorders>
            <w:gridSpan w:val="33"/>
            <w:shd w:val="clear" w:color="auto" w:fill="CCEEFF"/>
          </w:tcPr>
          <w:p>
            <w:pPr>
              <w:ind w:left="20"/>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Bank of America, N.A., U.S. Bank National Association and Wells Fargo Bank, National Association, as co-documentation agents, and the</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25"/>
            <w:shd w:val="clear" w:color="auto" w:fill="CCEEFF"/>
          </w:tcPr>
          <w:p>
            <w:pPr>
              <w:ind w:left="20"/>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other lenders party thereto (filed as Exhibit 4.1 to Tredegar's Current Report on Form 8-K (File No. 1-10258), filed on June 30, 2022,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2"/>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incorporated herein by reference)</w:t>
              </w:r>
            </w:hyperlink>
          </w:p>
        </w:tc>
        <w:tc>
          <w:tcPr>
            <w:tcW w:w="748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Second Amended and Restated Guaranty, dated as of June 29, 2022, by and among the subsidiaries of Tredegar listed on the signature pages</w:t>
              </w:r>
            </w:hyperlink>
          </w:p>
        </w:tc>
      </w:tr>
      <w:tr>
        <w:trPr>
          <w:trHeight w:val="156"/>
        </w:trPr>
        <w:tc>
          <w:tcPr>
            <w:tcW w:w="8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7"/>
          </w:tcPr>
          <w:p>
            <w:pPr>
              <w:ind w:left="20"/>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thereto in favor of JPMorgan Chase Bank, N.A., as administrative agent, for the ratable benefit of the Holders of Guaranteed Obligations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10160" w:type="dxa"/>
            <w:vAlign w:val="bottom"/>
            <w:gridSpan w:val="29"/>
          </w:tcPr>
          <w:p>
            <w:pPr>
              <w:ind w:left="20"/>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defined therein) (filed as Exhibit 4.2 to Tredegar's Current Report on Form 8-K (File No. 1-10258), filed on June 30, 2022, and incorporated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140" w:type="dxa"/>
            <w:vAlign w:val="bottom"/>
            <w:tcBorders>
              <w:top w:val="single" w:sz="8" w:color="0000FF"/>
            </w:tcBorders>
            <w:gridSpan w:val="28"/>
          </w:tcPr>
          <w:p>
            <w:pPr>
              <w:ind w:left="20"/>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herein by reference)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880" w:type="dxa"/>
            <w:vAlign w:val="bottom"/>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Second Amended and Restated Pledge Agreement, dated as of June 29, 2022, by and among Tredegar and the subsidiaries of Tredegar listed</w:t>
              </w:r>
            </w:hyperlink>
          </w:p>
        </w:tc>
      </w:tr>
      <w:tr>
        <w:trPr>
          <w:trHeight w:val="156"/>
        </w:trPr>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9860" w:type="dxa"/>
            <w:vAlign w:val="bottom"/>
            <w:tcBorders>
              <w:top w:val="single" w:sz="8" w:color="0000FF"/>
              <w:bottom w:val="single" w:sz="8" w:color="0000FF"/>
            </w:tcBorders>
            <w:gridSpan w:val="17"/>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on the signature pages thereto and JPMorgan Chase Bank, N.A., as administrative agent, for the ratable benefit of the Secured Parties (as</w:t>
              </w:r>
            </w:hyperlink>
          </w:p>
        </w:tc>
        <w:tc>
          <w:tcPr>
            <w:tcW w:w="32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69"/>
        </w:trPr>
        <w:tc>
          <w:tcPr>
            <w:tcW w:w="880" w:type="dxa"/>
            <w:vAlign w:val="bottom"/>
            <w:shd w:val="clear" w:color="auto" w:fill="CCEEFF"/>
          </w:tcPr>
          <w:p>
            <w:pPr>
              <w:spacing w:after="0"/>
              <w:rPr>
                <w:sz w:val="14"/>
                <w:szCs w:val="14"/>
                <w:color w:val="auto"/>
              </w:rPr>
            </w:pPr>
          </w:p>
        </w:tc>
        <w:tc>
          <w:tcPr>
            <w:tcW w:w="10420" w:type="dxa"/>
            <w:vAlign w:val="bottom"/>
            <w:gridSpan w:val="42"/>
            <w:shd w:val="clear" w:color="auto" w:fill="CCEEFF"/>
          </w:tcPr>
          <w:p>
            <w:pPr>
              <w:ind w:left="20"/>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defined therein) (filed as Exhibit 4.3 to Tredegar's Current Report on Form 8-K (File No. 1-10258), filed on June 30, 2022, and incorporated</w:t>
              </w:r>
            </w:hyperlink>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0000FF"/>
              <w:bottom w:val="single" w:sz="8" w:color="0000FF"/>
            </w:tcBorders>
            <w:shd w:val="clear" w:color="auto" w:fill="CCEEFF"/>
          </w:tcPr>
          <w:p>
            <w:pPr>
              <w:ind w:left="20"/>
              <w:spacing w:after="0" w:line="156"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herein by reference)</w:t>
              </w:r>
            </w:hyperlink>
          </w:p>
        </w:tc>
        <w:tc>
          <w:tcPr>
            <w:tcW w:w="8680" w:type="dxa"/>
            <w:vAlign w:val="bottom"/>
            <w:tcBorders>
              <w:top w:val="single" w:sz="8" w:color="0000FF"/>
              <w:bottom w:val="single" w:sz="8" w:color="CCEEFF"/>
            </w:tcBorders>
            <w:gridSpan w:val="27"/>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9780" w:type="dxa"/>
            <w:vAlign w:val="bottom"/>
            <w:tcBorders>
              <w:bottom w:val="single" w:sz="8" w:color="0000FF"/>
            </w:tcBorders>
            <w:gridSpan w:val="16"/>
          </w:tcPr>
          <w:p>
            <w:pPr>
              <w:ind w:left="20"/>
              <w:spacing w:after="0" w:line="18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Reorganization and Distribution Agreement, dated as of June 1, 1989, between Tredegar and Ethyl Corporation (filed as Exhibit 10.1 to</w:t>
              </w:r>
            </w:hyperlink>
          </w:p>
        </w:tc>
        <w:tc>
          <w:tcPr>
            <w:tcW w:w="640" w:type="dxa"/>
            <w:vAlign w:val="bottom"/>
            <w:gridSpan w:val="26"/>
          </w:tcPr>
          <w:p>
            <w:pPr>
              <w:spacing w:after="0"/>
              <w:rPr>
                <w:sz w:val="16"/>
                <w:szCs w:val="16"/>
                <w:color w:val="auto"/>
              </w:rPr>
            </w:pPr>
          </w:p>
        </w:tc>
      </w:tr>
      <w:tr>
        <w:trPr>
          <w:trHeight w:val="156"/>
        </w:trPr>
        <w:tc>
          <w:tcPr>
            <w:tcW w:w="880" w:type="dxa"/>
            <w:vAlign w:val="bottom"/>
          </w:tcPr>
          <w:p>
            <w:pPr>
              <w:spacing w:after="0"/>
              <w:rPr>
                <w:sz w:val="13"/>
                <w:szCs w:val="13"/>
                <w:color w:val="auto"/>
              </w:rPr>
            </w:pPr>
          </w:p>
        </w:tc>
        <w:tc>
          <w:tcPr>
            <w:tcW w:w="10420" w:type="dxa"/>
            <w:vAlign w:val="bottom"/>
            <w:gridSpan w:val="42"/>
          </w:tcPr>
          <w:p>
            <w:pPr>
              <w:ind w:left="20"/>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Tredegar’s Annual Report on Form 10-K (File No. 1-10258) for the year ended December 31, 2004, and incorporated herein by reference)</w:t>
              </w:r>
            </w:hyperlink>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Employee Benefits Agreement, dated as of June 1, 1989, between Tredegar and Ethyl Corporation (filed as Exhibit 10.2 to Tredegar’s Annual</w:t>
              </w:r>
            </w:hyperlink>
          </w:p>
        </w:tc>
      </w:tr>
      <w:tr>
        <w:trPr>
          <w:trHeight w:val="189"/>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580" w:type="dxa"/>
            <w:vAlign w:val="bottom"/>
            <w:tcBorders>
              <w:top w:val="single" w:sz="8" w:color="0000FF"/>
              <w:bottom w:val="single" w:sz="8" w:color="0000FF"/>
            </w:tcBorders>
            <w:gridSpan w:val="14"/>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Report on Form 10-K (File No. 1-10258) for the year ended December 31, 2004, and incorporated herein by reference)</w:t>
              </w:r>
            </w:hyperlink>
          </w:p>
        </w:tc>
        <w:tc>
          <w:tcPr>
            <w:tcW w:w="172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Tax Sharing Agreement, dated as of June 1, 1989, between Tredegar and Ethyl Corporation (filed as Exhibit 10.3 to Tredegar’s Annual Report</w:t>
              </w:r>
            </w:hyperlink>
          </w:p>
        </w:tc>
      </w:tr>
      <w:tr>
        <w:trPr>
          <w:trHeight w:val="155"/>
        </w:trPr>
        <w:tc>
          <w:tcPr>
            <w:tcW w:w="880" w:type="dxa"/>
            <w:vAlign w:val="bottom"/>
          </w:tcPr>
          <w:p>
            <w:pPr>
              <w:spacing w:after="0"/>
              <w:rPr>
                <w:sz w:val="13"/>
                <w:szCs w:val="13"/>
                <w:color w:val="auto"/>
              </w:rPr>
            </w:pPr>
          </w:p>
        </w:tc>
        <w:tc>
          <w:tcPr>
            <w:tcW w:w="10340" w:type="dxa"/>
            <w:vAlign w:val="bottom"/>
            <w:tcBorders>
              <w:top w:val="single" w:sz="8" w:color="0000FF"/>
            </w:tcBorders>
            <w:gridSpan w:val="38"/>
          </w:tcPr>
          <w:p>
            <w:pPr>
              <w:ind w:left="2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on Form 10-K (File No. 1-10258) for the year ended December 31, 2004, and incorporated herein by reference)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Indemnification Agreement, dated as of June 1, 1989, between Tredegar and Ethyl Corporation (filed as Exhibit 10.4 to Tredegar’s Annual</w:t>
              </w:r>
            </w:hyperlink>
          </w:p>
        </w:tc>
      </w:tr>
      <w:tr>
        <w:trPr>
          <w:trHeight w:val="190"/>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580" w:type="dxa"/>
            <w:vAlign w:val="bottom"/>
            <w:tcBorders>
              <w:top w:val="single" w:sz="8" w:color="0000FF"/>
              <w:bottom w:val="single" w:sz="8" w:color="0000FF"/>
            </w:tcBorders>
            <w:gridSpan w:val="14"/>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Report on Form 10-K (File No. 1-10258) for the year ended December 31, 2004, and incorporated herein by reference)</w:t>
              </w:r>
            </w:hyperlink>
          </w:p>
        </w:tc>
        <w:tc>
          <w:tcPr>
            <w:tcW w:w="146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Tredegar Industries, Inc. Retirement Benefit Restoration Plan (filed as Exhibit 10.7 to Tredegar’s Annual Report on Form 10-K (File No. 1-</w:t>
              </w:r>
            </w:hyperlink>
          </w:p>
        </w:tc>
      </w:tr>
      <w:tr>
        <w:trPr>
          <w:trHeight w:val="155"/>
        </w:trPr>
        <w:tc>
          <w:tcPr>
            <w:tcW w:w="880" w:type="dxa"/>
            <w:vAlign w:val="bottom"/>
          </w:tcPr>
          <w:p>
            <w:pPr>
              <w:spacing w:after="0"/>
              <w:rPr>
                <w:sz w:val="13"/>
                <w:szCs w:val="13"/>
                <w:color w:val="auto"/>
              </w:rPr>
            </w:pPr>
          </w:p>
        </w:tc>
        <w:tc>
          <w:tcPr>
            <w:tcW w:w="10080" w:type="dxa"/>
            <w:vAlign w:val="bottom"/>
            <w:tcBorders>
              <w:top w:val="single" w:sz="8" w:color="0000FF"/>
            </w:tcBorders>
            <w:gridSpan w:val="26"/>
          </w:tcPr>
          <w:p>
            <w:pPr>
              <w:ind w:left="2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10258) for the year ended December 31, 2004, and incorporated herein by reference)</w:t>
              </w:r>
            </w:hyperlink>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*10.6.1</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to the Tredegar Industries, Inc. Retirement Benefit Restoration Plan (filed as Exhibit 10.7.1 to Tredegar’s Annual Report on Form</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40"/>
            <w:shd w:val="clear" w:color="auto" w:fill="CCEEFF"/>
          </w:tcPr>
          <w:p>
            <w:pPr>
              <w:ind w:left="20"/>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10-K (File No. 1-10258) for the year ended December 31, 2004, and incorporated herein by reference)</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Tredegar Industries, Inc. Savings Plan Benefit Restoration Plan (filed as Exhibit 10.6 to Tredegar’s Annual Report on Form 10-K (File No. 1-</w:t>
              </w:r>
            </w:hyperlink>
          </w:p>
        </w:tc>
      </w:tr>
      <w:tr>
        <w:trPr>
          <w:trHeight w:val="156"/>
        </w:trPr>
        <w:tc>
          <w:tcPr>
            <w:tcW w:w="880" w:type="dxa"/>
            <w:vAlign w:val="bottom"/>
          </w:tcPr>
          <w:p>
            <w:pPr>
              <w:spacing w:after="0"/>
              <w:rPr>
                <w:sz w:val="13"/>
                <w:szCs w:val="13"/>
                <w:color w:val="auto"/>
              </w:rPr>
            </w:pPr>
          </w:p>
        </w:tc>
        <w:tc>
          <w:tcPr>
            <w:tcW w:w="10280" w:type="dxa"/>
            <w:vAlign w:val="bottom"/>
            <w:tcBorders>
              <w:top w:val="single" w:sz="8" w:color="0000FF"/>
            </w:tcBorders>
            <w:gridSpan w:val="35"/>
          </w:tcPr>
          <w:p>
            <w:pPr>
              <w:ind w:left="20"/>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10258) for the year ended December 31, 2013, and incorporated herein by reference)</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*10.7.1</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Resolutions of the Executive Committee of the Board of Directors of Tredegar adopted on December 28, 2004 (effective as of December 31,</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32"/>
            <w:shd w:val="clear" w:color="auto" w:fill="CCEEFF"/>
          </w:tcPr>
          <w:p>
            <w:pPr>
              <w:ind w:left="20"/>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2004) amending the Tredegar Corporation Retirement Savings Plan Benefit Restoration Plan (filed as Exhibit 10.9.1 to Tredegar’s Current</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69"/>
        </w:trPr>
        <w:tc>
          <w:tcPr>
            <w:tcW w:w="88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22"/>
            <w:shd w:val="clear" w:color="auto" w:fill="CCEEFF"/>
          </w:tcPr>
          <w:p>
            <w:pPr>
              <w:ind w:left="20"/>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Report on Form 8-K (File No. 1-10258), filed on December 30, 2004, and incorporated herein by reference)</w:t>
              </w:r>
            </w:hyperlink>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14"/>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420" w:type="dxa"/>
            <w:vAlign w:val="bottom"/>
            <w:gridSpan w:val="42"/>
          </w:tcPr>
          <w:p>
            <w:pPr>
              <w:ind w:left="20"/>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Tredegar 2004 Equity Incentive Plan as Amended and Restated Effective March 27, 2009 (filed as Annex 1 to Tredegar’s Definitive Proxy</w:t>
              </w:r>
            </w:hyperlink>
          </w:p>
        </w:tc>
      </w:tr>
      <w:tr>
        <w:trPr>
          <w:trHeight w:val="156"/>
        </w:trPr>
        <w:tc>
          <w:tcPr>
            <w:tcW w:w="880" w:type="dxa"/>
            <w:vAlign w:val="bottom"/>
          </w:tcPr>
          <w:p>
            <w:pPr>
              <w:spacing w:after="0"/>
              <w:rPr>
                <w:sz w:val="13"/>
                <w:szCs w:val="13"/>
                <w:color w:val="auto"/>
              </w:rPr>
            </w:pPr>
          </w:p>
        </w:tc>
        <w:tc>
          <w:tcPr>
            <w:tcW w:w="10020" w:type="dxa"/>
            <w:vAlign w:val="bottom"/>
            <w:tcBorders>
              <w:top w:val="single" w:sz="8" w:color="0000FF"/>
            </w:tcBorders>
            <w:gridSpan w:val="23"/>
          </w:tcPr>
          <w:p>
            <w:pPr>
              <w:ind w:left="20"/>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Statement on Schedule 14A (File No. 1-10258) filed on April 14, 2009 and incorporated herein by reference)</w:t>
              </w:r>
            </w:hyperlink>
          </w:p>
        </w:tc>
        <w:tc>
          <w:tcPr>
            <w:tcW w:w="300" w:type="dxa"/>
            <w:vAlign w:val="bottom"/>
            <w:gridSpan w:val="1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420" w:type="dxa"/>
            <w:vAlign w:val="bottom"/>
            <w:gridSpan w:val="42"/>
            <w:shd w:val="clear" w:color="auto" w:fill="CCEEFF"/>
          </w:tcPr>
          <w:p>
            <w:pPr>
              <w:ind w:left="20"/>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Notice of Nonstatutory Stock Option Grant and Nonstatutory Stock Option Terms and Conditions (filed as Exhibit 10.3 to Tredegar’s</w:t>
              </w:r>
            </w:hyperlink>
          </w:p>
        </w:tc>
      </w:tr>
      <w:tr>
        <w:trPr>
          <w:trHeight w:val="190"/>
        </w:trPr>
        <w:tc>
          <w:tcPr>
            <w:tcW w:w="880" w:type="dxa"/>
            <w:vAlign w:val="bottom"/>
            <w:tcBorders>
              <w:top w:val="single" w:sz="8" w:color="CCEEFF"/>
            </w:tcBorders>
            <w:shd w:val="clear" w:color="auto" w:fill="CCEEFF"/>
          </w:tcPr>
          <w:p>
            <w:pPr>
              <w:spacing w:after="0"/>
              <w:rPr>
                <w:sz w:val="16"/>
                <w:szCs w:val="16"/>
                <w:color w:val="auto"/>
              </w:rPr>
            </w:pPr>
          </w:p>
        </w:tc>
        <w:tc>
          <w:tcPr>
            <w:tcW w:w="10320" w:type="dxa"/>
            <w:vAlign w:val="bottom"/>
            <w:tcBorders>
              <w:top w:val="single" w:sz="8" w:color="0000FF"/>
            </w:tcBorders>
            <w:gridSpan w:val="37"/>
            <w:shd w:val="clear" w:color="auto" w:fill="CCEEFF"/>
          </w:tcPr>
          <w:p>
            <w:pPr>
              <w:ind w:left="20"/>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Current Report on Form 8-K (File No. 1-10258), filed on February 27, 2013, and incorporated herein by reference)</w:t>
              </w:r>
            </w:hyperlink>
          </w:p>
        </w:tc>
        <w:tc>
          <w:tcPr>
            <w:tcW w:w="100" w:type="dxa"/>
            <w:vAlign w:val="bottom"/>
            <w:tcBorders>
              <w:top w:val="single" w:sz="8" w:color="CCEEFF"/>
            </w:tcBorders>
            <w:gridSpan w:val="5"/>
            <w:shd w:val="clear" w:color="auto" w:fill="CCEEFF"/>
          </w:tcPr>
          <w:p>
            <w:pPr>
              <w:spacing w:after="0"/>
              <w:rPr>
                <w:sz w:val="16"/>
                <w:szCs w:val="16"/>
                <w:color w:val="auto"/>
              </w:rPr>
            </w:pPr>
          </w:p>
        </w:tc>
      </w:tr>
      <w:tr>
        <w:trPr>
          <w:trHeight w:val="864"/>
        </w:trPr>
        <w:tc>
          <w:tcPr>
            <w:tcW w:w="880" w:type="dxa"/>
            <w:vAlign w:val="bottom"/>
            <w:tcBorders>
              <w:top w:val="single" w:sz="8" w:color="CCEEFF"/>
            </w:tcBorders>
          </w:tcPr>
          <w:p>
            <w:pPr>
              <w:spacing w:after="0"/>
              <w:rPr>
                <w:sz w:val="24"/>
                <w:szCs w:val="24"/>
                <w:color w:val="auto"/>
              </w:rPr>
            </w:pPr>
          </w:p>
        </w:tc>
        <w:tc>
          <w:tcPr>
            <w:tcW w:w="6120" w:type="dxa"/>
            <w:vAlign w:val="bottom"/>
            <w:tcBorders>
              <w:top w:val="single" w:sz="8" w:color="0000FF"/>
            </w:tcBorders>
            <w:gridSpan w:val="5"/>
          </w:tcPr>
          <w:p>
            <w:pPr>
              <w:ind w:left="466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0" w:name="page81"/>
    <w:bookmarkEnd w:id="80"/>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41">
        <w:r>
          <w:rPr>
            <w:rFonts w:ascii="Times New Roman" w:cs="Times New Roman" w:eastAsia="Times New Roman" w:hAnsi="Times New Roman"/>
            <w:sz w:val="17"/>
            <w:szCs w:val="17"/>
            <w:u w:val="single" w:color="auto"/>
            <w:color w:val="0000FF"/>
          </w:rPr>
          <w:t>Form of Notice of Stock Unit Award and Stock Unit Award Terms and Conditions (filed as Exhibit 10.1 to Tredegar’s Current Report on Form</w:t>
        </w:r>
      </w:hyperlink>
    </w:p>
    <w:p>
      <w:pPr>
        <w:ind w:left="8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8-K (File No. 1-10258), filed on March 1, 2016, and incorporated herein by reference)</w:t>
        </w:r>
      </w:hyperlink>
    </w:p>
    <w:p>
      <w:pPr>
        <w:spacing w:after="0" w:line="16" w:lineRule="exact"/>
        <w:rPr>
          <w:sz w:val="20"/>
          <w:szCs w:val="20"/>
          <w:color w:val="auto"/>
        </w:rPr>
      </w:pPr>
    </w:p>
    <w:p>
      <w:pPr>
        <w:ind w:left="880" w:right="6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42">
        <w:r>
          <w:rPr>
            <w:rFonts w:ascii="Times New Roman" w:cs="Times New Roman" w:eastAsia="Times New Roman" w:hAnsi="Times New Roman"/>
            <w:sz w:val="18"/>
            <w:szCs w:val="18"/>
            <w:u w:val="single" w:color="auto"/>
            <w:color w:val="0000FF"/>
          </w:rPr>
          <w:t>Form of Notice of Stock Award and Stock Award Terms and Conditions (filed as Exhibit 10.2 to Tredegar’s Current Report on Form 8-K (File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No. 1-10258), filed on March 1, 2016,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12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44">
        <w:r>
          <w:rPr>
            <w:rFonts w:ascii="Times New Roman" w:cs="Times New Roman" w:eastAsia="Times New Roman" w:hAnsi="Times New Roman"/>
            <w:sz w:val="18"/>
            <w:szCs w:val="18"/>
            <w:u w:val="single" w:color="auto"/>
            <w:color w:val="0000FF"/>
          </w:rPr>
          <w:t>Form of Notice of Stock Award and Stock Award Terms and Conditions (filed as Exhibit 10.18 to Tredegar’s Quarterly Report on Form 10-Q</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(File No. 1-10258) for the quarterly period ended March 31, 2020, and incorporated herein by reference)</w:t>
        </w:r>
      </w:hyperlink>
    </w:p>
    <w:p>
      <w:pPr>
        <w:spacing w:after="0" w:line="10" w:lineRule="exact"/>
        <w:rPr>
          <w:sz w:val="20"/>
          <w:szCs w:val="20"/>
          <w:color w:val="auto"/>
        </w:rPr>
      </w:pPr>
    </w:p>
    <w:p>
      <w:pPr>
        <w:ind w:left="880" w:right="200" w:hanging="863"/>
        <w:spacing w:after="0" w:line="256"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5">
        <w:r>
          <w:rPr>
            <w:rFonts w:ascii="Times New Roman" w:cs="Times New Roman" w:eastAsia="Times New Roman" w:hAnsi="Times New Roman"/>
            <w:sz w:val="17"/>
            <w:szCs w:val="17"/>
            <w:u w:val="single" w:color="auto"/>
            <w:color w:val="0000FF"/>
          </w:rPr>
          <w:t>Form of Notice of Stock Appreciation Right Grant and Stock Appreciation Right Terms and Conditions (filed as Exhibit 10.19 to Tredegar’s</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Quarterly Report on Form 10-Q (File No. 1-10258) for the quarterly period ended March 31,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32320"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hanging="863"/>
        <w:spacing w:after="0" w:line="290"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7">
        <w:r>
          <w:rPr>
            <w:rFonts w:ascii="Times New Roman" w:cs="Times New Roman" w:eastAsia="Times New Roman" w:hAnsi="Times New Roman"/>
            <w:sz w:val="17"/>
            <w:szCs w:val="17"/>
            <w:u w:val="single" w:color="auto"/>
            <w:color w:val="0000FF"/>
          </w:rPr>
          <w:t>Form of Notice of Nonstatutory Stock Option Grant and Nonstatutory Stock Option Terms and Conditions (filed as Exhibit 10.20 to Tredegar’s</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Quarterly Report on Form 10-Q (File No. 1-10258) for the quarterly period ended March 31, 2020, and incorporated herein by reference)</w:t>
        </w:r>
      </w:hyperlink>
    </w:p>
    <w:p>
      <w:pPr>
        <w:ind w:left="880" w:right="18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8">
        <w:r>
          <w:rPr>
            <w:rFonts w:ascii="Times New Roman" w:cs="Times New Roman" w:eastAsia="Times New Roman" w:hAnsi="Times New Roman"/>
            <w:sz w:val="18"/>
            <w:szCs w:val="18"/>
            <w:u w:val="single" w:color="auto"/>
            <w:color w:val="0000FF"/>
          </w:rPr>
          <w:t>Tredegar 2018 Equity Incentive Plan, as amended and restated (filed as Annex A to Tredegar’s Definitive Proxy Statement on Schedule 14A</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(File No. 1-10258) filed on March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8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50">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10.1 to Tredegar’s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Current Report on Form 8-K (File No. 1-10258), filed on May 7, 2018, and incorporated herein by reference)</w:t>
        </w:r>
      </w:hyperlink>
    </w:p>
    <w:p>
      <w:pPr>
        <w:spacing w:after="0" w:line="10" w:lineRule="exact"/>
        <w:rPr>
          <w:sz w:val="20"/>
          <w:szCs w:val="20"/>
          <w:color w:val="auto"/>
        </w:rPr>
      </w:pPr>
    </w:p>
    <w:p>
      <w:pPr>
        <w:ind w:left="880" w:right="200" w:hanging="863"/>
        <w:spacing w:after="0" w:line="22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51">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10.3 to Tredegar</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Corporation’s Registration Statement on Form S-8 (Registration No. 333-230386), filed on March 19, 2019, and incorporated herein by</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32320"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Tredegar</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KPMG LLP, Independent Registered Public Accounting Firm</w:t>
      </w:r>
    </w:p>
    <w:p>
      <w:pPr>
        <w:spacing w:after="0" w:line="6"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President and Chief Executive Officer (Principal Executive Officer) of Tredegar, pursuant to Rules 13a-14(a) and 15d-14(a)</w:t>
      </w:r>
    </w:p>
    <w:p>
      <w:pPr>
        <w:ind w:left="880"/>
        <w:spacing w:after="0"/>
        <w:rPr>
          <w:sz w:val="20"/>
          <w:szCs w:val="20"/>
          <w:color w:val="auto"/>
        </w:rPr>
      </w:pPr>
      <w:r>
        <w:rPr>
          <w:rFonts w:ascii="Times New Roman" w:cs="Times New Roman" w:eastAsia="Times New Roman" w:hAnsi="Times New Roman"/>
          <w:sz w:val="18"/>
          <w:szCs w:val="18"/>
          <w:u w:val="single" w:color="auto"/>
          <w:color w:val="0000FF"/>
        </w:rPr>
        <w:t>promulgated under the Securities Exchange Act of 1934, as adopted pursuant to Section 302 of the Sarbanes-Oxley Act of 2002</w:t>
      </w:r>
    </w:p>
    <w:p>
      <w:pPr>
        <w:spacing w:after="0" w:line="16" w:lineRule="exact"/>
        <w:rPr>
          <w:rFonts w:ascii="Times New Roman" w:cs="Times New Roman" w:eastAsia="Times New Roman" w:hAnsi="Times New Roman"/>
          <w:sz w:val="18"/>
          <w:szCs w:val="18"/>
          <w:u w:val="single" w:color="auto"/>
          <w:color w:val="0000FF"/>
        </w:rPr>
      </w:pPr>
    </w:p>
    <w:p>
      <w:pPr>
        <w:ind w:left="880" w:right="360" w:hanging="863"/>
        <w:spacing w:after="0" w:line="256" w:lineRule="auto"/>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Vice President and Chief Financial Officer (Principal Financial Officer) of Tredegar, pursuant to Rules 13a-14(a) and 15d-14(a) promulgated under the Securities Exchange Act of 1934, as adopted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32320" cy="265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520" w:hanging="863"/>
        <w:spacing w:after="0" w:line="237" w:lineRule="auto"/>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President and Chief Executive Officer (Principal Executive Officer) of Tredegar, pursuant to 18 U.S.C. Section 1350, as adopted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880" w:right="240" w:hanging="863"/>
        <w:spacing w:after="0" w:line="237" w:lineRule="auto"/>
        <w:tabs>
          <w:tab w:leader="none" w:pos="8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Vice President and Chief Financial Officer (Principal Financial Officer) of Tredegar,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XBRL Instance Document and Related Items</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iXBRL and contained in Exhibit 101)</w:t>
      </w:r>
    </w:p>
    <w:p>
      <w:pPr>
        <w:spacing w:after="0" w:line="126" w:lineRule="exact"/>
        <w:rPr>
          <w:rFonts w:ascii="Times New Roman" w:cs="Times New Roman" w:eastAsia="Times New Roman" w:hAnsi="Times New Roman"/>
          <w:sz w:val="18"/>
          <w:szCs w:val="18"/>
          <w:u w:val="single" w:color="auto"/>
          <w:color w:val="0000FF"/>
        </w:rPr>
      </w:pPr>
    </w:p>
    <w:p>
      <w:pPr>
        <w:ind w:right="5560" w:firstLine="6"/>
        <w:spacing w:after="0" w:line="548" w:lineRule="auto"/>
        <w:tabs>
          <w:tab w:leader="none" w:pos="4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 + Filed herewith</w:t>
      </w:r>
    </w:p>
    <w:p>
      <w:pPr>
        <w:spacing w:after="0" w:line="35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14" w:right="37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3740" w:type="dxa"/>
            <w:vAlign w:val="bottom"/>
          </w:tcPr>
          <w:p>
            <w:pPr>
              <w:spacing w:after="0"/>
              <w:rPr>
                <w:sz w:val="20"/>
                <w:szCs w:val="20"/>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(Registrant)</w:t>
            </w:r>
          </w:p>
        </w:tc>
      </w:tr>
      <w:tr>
        <w:trPr>
          <w:trHeight w:val="37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2023</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John M. Steitz</w:t>
            </w:r>
          </w:p>
        </w:tc>
      </w:tr>
      <w:tr>
        <w:trPr>
          <w:trHeight w:val="218"/>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John M. Steitz</w:t>
            </w:r>
          </w:p>
        </w:tc>
      </w:tr>
      <w:tr>
        <w:trPr>
          <w:trHeight w:val="234"/>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16,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28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8"/>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M. Steitz</w:t>
            </w:r>
          </w:p>
        </w:tc>
        <w:tc>
          <w:tcPr>
            <w:tcW w:w="7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(John M. Steitz)</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 Andrew Edwards</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 Andrew Edwards)</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Anne G. Waleski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(Anne G. Waleski)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ectPr>
          <w:pgSz w:w="11900" w:h="16838" w:orient="portrait"/>
          <w:cols w:equalWidth="0" w:num="1">
            <w:col w:w="11240"/>
          </w:cols>
          <w:pgMar w:left="320" w:top="6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Tredegar Corporation</w:t>
            </w:r>
          </w:p>
        </w:tc>
        <w:tc>
          <w:tcPr>
            <w:tcW w:w="1900" w:type="dxa"/>
            <w:vAlign w:val="bottom"/>
          </w:tcPr>
          <w:p>
            <w:pPr>
              <w:spacing w:after="0"/>
              <w:rPr>
                <w:sz w:val="24"/>
                <w:szCs w:val="24"/>
                <w:color w:val="auto"/>
              </w:rPr>
            </w:pPr>
          </w:p>
        </w:tc>
      </w:tr>
      <w:tr>
        <w:trPr>
          <w:trHeight w:val="474"/>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Entity</w:t>
            </w:r>
          </w:p>
        </w:tc>
        <w:tc>
          <w:tcPr>
            <w:tcW w:w="564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State of Incorporation</w:t>
            </w:r>
          </w:p>
        </w:tc>
      </w:tr>
      <w:tr>
        <w:trPr>
          <w:trHeight w:val="330"/>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Corporation</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Aluminum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Campo Limited Partnership</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Texas</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(Clearfield),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(Corporate),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(Elkhart),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(Niles),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 Campo GP,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Guangzhou Tredegar Film Products Company Limited</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China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Idlewood Properties,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TAC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Acquisition Corp. II</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Limitada</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Brazil</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Far East Corporation</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(Europe),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(Korea),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Korea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(Latin America),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Films Development,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Investments,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Investments II,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Performance Films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Surface Protection,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bl>
    <w:p>
      <w:pPr>
        <w:sectPr>
          <w:pgSz w:w="11900" w:h="16838" w:orient="portrait"/>
          <w:cols w:equalWidth="0" w:num="1">
            <w:col w:w="11220"/>
          </w:cols>
          <w:pgMar w:left="34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333-120132, No. 333-115423, No. 333-66562, No. 033-64647, No. 333-257153, and No. 333-230386) on Form S-8 of our reports dated March 16, 2023, with respect to the consolidated financial statements of Tredegar Corporation and the effectiveness of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ectPr>
          <w:pgSz w:w="11900" w:h="16838" w:orient="portrait"/>
          <w:cols w:equalWidth="0" w:num="1">
            <w:col w:w="11240"/>
          </w:cols>
          <w:pgMar w:left="320" w:top="98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516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00" w:lineRule="exact"/>
        <w:rPr>
          <w:sz w:val="20"/>
          <w:szCs w:val="20"/>
          <w:color w:val="auto"/>
        </w:rPr>
      </w:pPr>
    </w:p>
    <w:p>
      <w:pPr>
        <w:spacing w:after="0" w:line="3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2022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546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16, 2023</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2022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546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16,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lvl w:ilvl="1">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lvl w:ilvl="1">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lvl w:ilvl="1">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2"/>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5"/>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3" Type="http://schemas.openxmlformats.org/officeDocument/2006/relationships/image" Target="media/image115.png"/><Relationship Id="rId146" Type="http://schemas.openxmlformats.org/officeDocument/2006/relationships/image" Target="media/image116.png"/><Relationship Id="rId149"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20" Type="http://schemas.openxmlformats.org/officeDocument/2006/relationships/hyperlink" Target="https://www.sec.gov/Archives/edgar/data/850429/000116923205001684/d62922_ex3-1.htm" TargetMode="External"/><Relationship Id="rId121" Type="http://schemas.openxmlformats.org/officeDocument/2006/relationships/hyperlink" Target="http://www.sec.gov/Archives/edgar/data/850429/000116923205001684/d62922_ex3-3.htm" TargetMode="External"/><Relationship Id="rId122" Type="http://schemas.openxmlformats.org/officeDocument/2006/relationships/hyperlink" Target="https://www.sec.gov/Archives/edgar/data/850429/000114036113023124/ex3_1.htm" TargetMode="External"/><Relationship Id="rId123" Type="http://schemas.openxmlformats.org/officeDocument/2006/relationships/hyperlink" Target="https://www.sec.gov/Archives/edgar/data/850429/000085042916000130/tg-ex31_20160504xamendarti.htm" TargetMode="External"/><Relationship Id="rId124" Type="http://schemas.openxmlformats.org/officeDocument/2006/relationships/hyperlink" Target="https://www.sec.gov/Archives/edgar/data/850429/000114036120007297/ex3_1.htm" TargetMode="External"/><Relationship Id="rId125" Type="http://schemas.openxmlformats.org/officeDocument/2006/relationships/hyperlink" Target="https://www.sec.gov/Archives/edgar/data/0000850429/000085042920000014/tg-ex41_20191231x10k.htm" TargetMode="External"/><Relationship Id="rId126" Type="http://schemas.openxmlformats.org/officeDocument/2006/relationships/hyperlink" Target="https://www.sec.gov/Archives/edgar/data/850429/000119312522186190/d376114dex41.htm" TargetMode="External"/><Relationship Id="rId127" Type="http://schemas.openxmlformats.org/officeDocument/2006/relationships/hyperlink" Target="https://www.sec.gov/Archives/edgar/data/850429/000119312522186190/d376114dex42.htm" TargetMode="External"/><Relationship Id="rId128" Type="http://schemas.openxmlformats.org/officeDocument/2006/relationships/hyperlink" Target="https://www.sec.gov/Archives/edgar/data/850429/000119312522186190/d376114dex43.htm" TargetMode="External"/><Relationship Id="rId129" Type="http://schemas.openxmlformats.org/officeDocument/2006/relationships/hyperlink" Target="http://www.sec.gov/Archives/edgar/data/850429/000116923205001684/d62922_ex10-1.htm" TargetMode="External"/><Relationship Id="rId130" Type="http://schemas.openxmlformats.org/officeDocument/2006/relationships/hyperlink" Target="http://www.sec.gov/Archives/edgar/data/850429/000116923205001684/d62922_ex10-2.htm" TargetMode="External"/><Relationship Id="rId131" Type="http://schemas.openxmlformats.org/officeDocument/2006/relationships/hyperlink" Target="http://www.sec.gov/Archives/edgar/data/850429/000116923205001684/d62922_ex10-3.htm" TargetMode="External"/><Relationship Id="rId132" Type="http://schemas.openxmlformats.org/officeDocument/2006/relationships/hyperlink" Target="http://www.sec.gov/Archives/edgar/data/850429/000116923205001684/d62922_ex10-4.htm" TargetMode="External"/><Relationship Id="rId133" Type="http://schemas.openxmlformats.org/officeDocument/2006/relationships/hyperlink" Target="http://www.sec.gov/Archives/edgar/data/850429/000116923205001684/d62922_ex10-7.htm" TargetMode="External"/><Relationship Id="rId134" Type="http://schemas.openxmlformats.org/officeDocument/2006/relationships/hyperlink" Target="http://www.sec.gov/Archives/edgar/data/850429/000116923205001684/d62922_ex10-71.htm" TargetMode="External"/><Relationship Id="rId135" Type="http://schemas.openxmlformats.org/officeDocument/2006/relationships/hyperlink" Target="http://www.sec.gov/Archives/edgar/data/850429/000085042914000024/tg-ex106_20131231x10k.htm" TargetMode="External"/><Relationship Id="rId136" Type="http://schemas.openxmlformats.org/officeDocument/2006/relationships/hyperlink" Target="https://www.sec.gov/Archives/edgar/data/850429/000085042904000084/ex1091.htm" TargetMode="External"/><Relationship Id="rId137" Type="http://schemas.openxmlformats.org/officeDocument/2006/relationships/hyperlink" Target="http://www.sec.gov/Archives/edgar/data/850429/000116923209002106/d76734_pre14a.htm" TargetMode="External"/><Relationship Id="rId138" Type="http://schemas.openxmlformats.org/officeDocument/2006/relationships/hyperlink" Target="https://www.sec.gov/Archives/edgar/data/850429/000114036113009574/ex10_3.htm" TargetMode="External"/><Relationship Id="rId141" Type="http://schemas.openxmlformats.org/officeDocument/2006/relationships/hyperlink" Target="https://www.sec.gov/Archives/edgar/data/850429/000114036116055760/ex10_1.htm" TargetMode="External"/><Relationship Id="rId142" Type="http://schemas.openxmlformats.org/officeDocument/2006/relationships/hyperlink" Target="https://www.sec.gov/Archives/edgar/data/850429/000114036116055760/ex10_2.htm" TargetMode="External"/><Relationship Id="rId144" Type="http://schemas.openxmlformats.org/officeDocument/2006/relationships/hyperlink" Target="https://www.sec.gov/Archives/edgar/data/850429/000085042920000036/tg-ex101820200331x10qx.htm" TargetMode="External"/><Relationship Id="rId145" Type="http://schemas.openxmlformats.org/officeDocument/2006/relationships/hyperlink" Target="https://www.sec.gov/Archives/edgar/data/850429/000085042920000036/tg-ex101920200331x10qx.htm" TargetMode="External"/><Relationship Id="rId147" Type="http://schemas.openxmlformats.org/officeDocument/2006/relationships/hyperlink" Target="https://www.sec.gov/Archives/edgar/data/850429/000085042920000036/tg-ex102020200331x10qx.htm" TargetMode="External"/><Relationship Id="rId148" Type="http://schemas.openxmlformats.org/officeDocument/2006/relationships/hyperlink" Target="https://www.sec.gov/Archives/edgar/data/850429/000114036121010026/brhc10022061_def14a.htm" TargetMode="External"/><Relationship Id="rId150" Type="http://schemas.openxmlformats.org/officeDocument/2006/relationships/hyperlink" Target="https://www.sec.gov/Archives/edgar/data/850429/000114036118021973/ex10_1.htm" TargetMode="External"/><Relationship Id="rId151" Type="http://schemas.openxmlformats.org/officeDocument/2006/relationships/hyperlink" Target="http://www.sec.gov/Archives/edgar/data/850429/000156761919007136/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2023-03-16T07:47:33Z</dcterms:created>
  <dcterms:modified xsi:type="dcterms:W3CDTF">2023-03-16T07:47:33Z</dcterms:modified>
</cp:coreProperties>
</file>