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20" w:hanging="463"/>
        <w:spacing w:after="0" w:line="238" w:lineRule="auto"/>
        <w:tabs>
          <w:tab w:leader="none" w:pos="6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443"/>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7" w:lineRule="exact"/>
        <w:rPr>
          <w:sz w:val="24"/>
          <w:szCs w:val="24"/>
          <w:color w:val="auto"/>
        </w:rPr>
      </w:pPr>
    </w:p>
    <w:p>
      <w:pPr>
        <w:sectPr>
          <w:pgSz w:w="11900" w:h="16838" w:orient="portrait"/>
          <w:cols w:equalWidth="0" w:num="2">
            <w:col w:w="7360" w:space="720"/>
            <w:col w:w="3100"/>
          </w:cols>
          <w:pgMar w:left="320" w:top="767" w:right="39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220" w:space="720"/>
            <w:col w:w="3240"/>
          </w:cols>
          <w:pgMar w:left="320" w:top="767"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31" w:lineRule="exact"/>
        <w:rPr>
          <w:sz w:val="24"/>
          <w:szCs w:val="24"/>
          <w:color w:val="auto"/>
        </w:rPr>
      </w:pPr>
    </w:p>
    <w:p>
      <w:pPr>
        <w:sectPr>
          <w:pgSz w:w="11900" w:h="16838" w:orient="portrait"/>
          <w:cols w:equalWidth="0" w:num="2">
            <w:col w:w="8220" w:space="720"/>
            <w:col w:w="2240"/>
          </w:cols>
          <w:pgMar w:left="320" w:top="767" w:right="39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7" w:right="39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91" w:lineRule="exact"/>
        <w:rPr>
          <w:sz w:val="24"/>
          <w:szCs w:val="24"/>
          <w:color w:val="auto"/>
        </w:rPr>
      </w:pPr>
    </w:p>
    <w:p>
      <w:pPr>
        <w:ind w:right="22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7" w:right="39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42" w:lineRule="exact"/>
        <w:rPr>
          <w:sz w:val="24"/>
          <w:szCs w:val="24"/>
          <w:color w:val="auto"/>
        </w:rPr>
      </w:pPr>
    </w:p>
    <w:p>
      <w:pPr>
        <w:sectPr>
          <w:pgSz w:w="11900" w:h="16838" w:orient="portrait"/>
          <w:cols w:equalWidth="0" w:num="6">
            <w:col w:w="1560" w:space="720"/>
            <w:col w:w="2220" w:space="720"/>
            <w:col w:w="1400" w:space="720"/>
            <w:col w:w="180" w:space="120"/>
            <w:col w:w="2100" w:space="720"/>
            <w:col w:w="720"/>
          </w:cols>
          <w:pgMar w:left="320" w:top="767" w:right="39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4" w:lineRule="exact"/>
        <w:rPr>
          <w:sz w:val="24"/>
          <w:szCs w:val="24"/>
          <w:color w:val="auto"/>
        </w:rPr>
      </w:pPr>
    </w:p>
    <w:p>
      <w:pPr>
        <w:sectPr>
          <w:pgSz w:w="11900" w:h="16838" w:orient="portrait"/>
          <w:cols w:equalWidth="0" w:num="4">
            <w:col w:w="1560" w:space="720"/>
            <w:col w:w="4640" w:space="720"/>
            <w:col w:w="2040" w:space="720"/>
            <w:col w:w="780"/>
          </w:cols>
          <w:pgMar w:left="320" w:top="767" w:right="399" w:bottom="1440" w:gutter="0" w:footer="0" w:header="0"/>
          <w:type w:val="continuous"/>
        </w:sectPr>
      </w:pPr>
    </w:p>
    <w:p>
      <w:pPr>
        <w:ind w:right="120" w:firstLine="40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460" w:right="2140"/>
        <w:spacing w:after="0" w:line="2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shares of Common Stock, no par value, outstanding as of May 1, 2026: 35,016,819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Tredegar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18"/>
                <w:szCs w:val="18"/>
                <w:color w:val="auto"/>
              </w:rPr>
            </w:pPr>
          </w:p>
        </w:tc>
        <w:tc>
          <w:tcPr>
            <w:tcW w:w="1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82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20" w:type="dxa"/>
            <w:vAlign w:val="bottom"/>
            <w:gridSpan w:val="8"/>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(unaudited)</w:t>
            </w:r>
          </w:p>
        </w:tc>
        <w:tc>
          <w:tcPr>
            <w:tcW w:w="454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3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7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10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3</w:t>
            </w:r>
            <w:r>
              <w:rPr>
                <w:rFonts w:ascii="Times New Roman" w:cs="Times New Roman" w:eastAsia="Times New Roman" w:hAnsi="Times New Roman"/>
                <w:sz w:val="18"/>
                <w:szCs w:val="18"/>
                <w:color w:val="000000"/>
                <w:w w:val="94"/>
              </w:rPr>
              <w:t>.</w:t>
            </w:r>
          </w:p>
        </w:tc>
        <w:tc>
          <w:tcPr>
            <w:tcW w:w="400" w:type="dxa"/>
            <w:vAlign w:val="bottom"/>
            <w:gridSpan w:val="3"/>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380" w:type="dxa"/>
            <w:vAlign w:val="bottom"/>
            <w:gridSpan w:val="2"/>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880" w:type="dxa"/>
            <w:vAlign w:val="bottom"/>
            <w:gridSpan w:val="12"/>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3"/>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20" w:type="dxa"/>
            <w:vAlign w:val="bottom"/>
            <w:gridSpan w:val="13"/>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8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30"/>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81,811</w:t>
            </w: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84,076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64,962</w:t>
            </w:r>
          </w:p>
        </w:tc>
      </w:tr>
      <w:tr>
        <w:trPr>
          <w:trHeight w:val="230"/>
        </w:trPr>
        <w:tc>
          <w:tcPr>
            <w:tcW w:w="84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r>
      <w:tr>
        <w:trPr>
          <w:trHeight w:val="223"/>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203,268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169,074</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513,587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509,430</w:t>
            </w:r>
          </w:p>
        </w:tc>
      </w:tr>
      <w:tr>
        <w:trPr>
          <w:trHeight w:val="229"/>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(380,511)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(376,455)</w:t>
            </w:r>
          </w:p>
        </w:tc>
      </w:tr>
      <w:tr>
        <w:trPr>
          <w:trHeight w:val="22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133,076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132,975</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22,446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25,623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26,277</w:t>
            </w:r>
          </w:p>
        </w:tc>
      </w:tr>
      <w:tr>
        <w:trPr>
          <w:trHeight w:val="229"/>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30"/>
        </w:trPr>
        <w:tc>
          <w:tcPr>
            <w:tcW w:w="84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403,643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371,372</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75,754</w:t>
            </w:r>
          </w:p>
        </w:tc>
      </w:tr>
      <w:tr>
        <w:trPr>
          <w:trHeight w:val="230"/>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18,414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25,411</w:t>
            </w:r>
          </w:p>
        </w:tc>
      </w:tr>
      <w:tr>
        <w:trPr>
          <w:trHeight w:val="230"/>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8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118,344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104,381</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10,444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revolving facility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3,966</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r>
      <w:tr>
        <w:trPr>
          <w:trHeight w:val="223"/>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179,848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154,818</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75"/>
        </w:trPr>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no par value (authorized shares 150,000,000, issued and outstanding 34,995,206 shares at March 31,</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34,737,534 shares at December 31, 2025)</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65,944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65,477</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held in trust for savings restoration plan (118,542 shares at March 31, 2026 and December 31, 2025)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1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152,549</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146,888</w:t>
            </w:r>
          </w:p>
        </w:tc>
      </w:tr>
      <w:tr>
        <w:trPr>
          <w:trHeight w:val="223"/>
        </w:trPr>
        <w:tc>
          <w:tcPr>
            <w:tcW w:w="84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223,795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216,554</w:t>
            </w:r>
          </w:p>
        </w:tc>
      </w:tr>
      <w:tr>
        <w:trPr>
          <w:trHeight w:val="230"/>
        </w:trPr>
        <w:tc>
          <w:tcPr>
            <w:tcW w:w="8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403,643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371,372</w:t>
            </w: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603" w:right="4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8"/>
              </w:rPr>
              <w:t>Three Months Ended March 31,</w:t>
            </w:r>
          </w:p>
        </w:tc>
      </w:tr>
      <w:tr>
        <w:trPr>
          <w:trHeight w:val="234"/>
        </w:trPr>
        <w:tc>
          <w:tcPr>
            <w:tcW w:w="7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186,489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164,738</w:t>
            </w:r>
          </w:p>
        </w:tc>
      </w:tr>
      <w:tr>
        <w:trPr>
          <w:trHeight w:val="229"/>
        </w:trPr>
        <w:tc>
          <w:tcPr>
            <w:tcW w:w="7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186,533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164,728</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157,496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135,643</w:t>
            </w:r>
          </w:p>
        </w:tc>
      </w:tr>
      <w:tr>
        <w:trPr>
          <w:trHeight w:val="23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10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5,499</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w:t>
            </w:r>
          </w:p>
        </w:tc>
      </w:tr>
      <w:tr>
        <w:trPr>
          <w:trHeight w:val="23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0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7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 adjustments</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8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180,431</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163,480</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0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0"/>
        </w:trPr>
        <w:tc>
          <w:tcPr>
            <w:tcW w:w="7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0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7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5,661</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r>
      <w:tr>
        <w:trPr>
          <w:trHeight w:val="257"/>
        </w:trPr>
        <w:tc>
          <w:tcPr>
            <w:tcW w:w="7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30"/>
        </w:trPr>
        <w:tc>
          <w:tcPr>
            <w:tcW w:w="7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57"/>
        </w:trPr>
        <w:tc>
          <w:tcPr>
            <w:tcW w:w="7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(loss) per share:</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34,696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w:t>
            </w:r>
          </w:p>
        </w:tc>
      </w:tr>
      <w:tr>
        <w:trPr>
          <w:trHeight w:val="237"/>
        </w:trPr>
        <w:tc>
          <w:tcPr>
            <w:tcW w:w="7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34,696</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34,612</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76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8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translation adjustment (net tax of $0 in 2026 and 2025)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financial instruments adjustment (net of tax expense of $245 in 2026 and net of tax benefit of $68 in 2025)</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175"/>
        </w:trPr>
        <w:tc>
          <w:tcPr>
            <w:tcW w:w="8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 losses (net of tax benefit of $18 in 2026 and net of tax benefit of</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 in 2025)</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9220"/>
        <w:spacing w:after="0"/>
        <w:rPr>
          <w:sz w:val="20"/>
          <w:szCs w:val="20"/>
          <w:color w:val="auto"/>
        </w:rPr>
      </w:pPr>
      <w:r>
        <w:rPr>
          <w:rFonts w:ascii="Times New Roman" w:cs="Times New Roman" w:eastAsia="Times New Roman" w:hAnsi="Times New Roman"/>
          <w:sz w:val="18"/>
          <w:szCs w:val="18"/>
          <w:color w:val="auto"/>
        </w:rPr>
        <w:t>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leased assets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the sale of divested business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13,956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30"/>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Terphane</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49,950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(38,700)</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11,250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6,729</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15,611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2026</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216,554</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5,661</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152,549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5"/>
                <w:szCs w:val="15"/>
                <w:color w:val="auto"/>
              </w:rPr>
            </w:pP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180,968</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10,101</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Tredegar Corporation is engaged, through its subsidiaries, in the manufacture of aluminum extrusions and polyethylene and polypropylene plastic films. Unless the context requires otherwise, all references herein to “Tredegar,” “the Company,” “we,” “us” or “our” are to Tredegar Corporation and its consolidated subsidiaries. In the opinion of management, the accompanying condensed consolidated financial statements of the Company contain all adjustments necessary to state fairly, in all material respects, Tredegar’s condensed consolidated financial position as of March 31, 2026, the condensed consolidated results of operations for the three months ended March 31, 2026 and 2025, the condensed consolidated cash flows for the three months ended March 31, 2026 and 2025, and the condensed consolidated changes in shareholders’ equity for the three months ended March 31, 2026 and 2025, in accordance with U.S. generally accepted accounting principles (“GAAP”). All such adjustments, unless otherwise detailed in the notes to the condensed consolidated financial statements, are deemed to be of a normal, recurring nature.</w:t>
      </w:r>
    </w:p>
    <w:p>
      <w:pPr>
        <w:spacing w:after="0" w:line="5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first quarter for 2026 and 2025 for this segment references 13-week periods ended March 29, 2026 and March 30, 2025,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As a result, the Company’s prepaid and other current assets increased by $5.7 million as of December 31, 2025 since the Company made payments to the Aluminum Extrusions segment to fund its payroll during the intervening period between December 28, 2025 and December 31, 2025. There was no intercompany funding with Aluminum Extrusions between March 29, 2026 and March 31, 2026.</w:t>
      </w:r>
    </w:p>
    <w:p>
      <w:pPr>
        <w:spacing w:after="0" w:line="7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December 31, 2025 that is included herein was derived from the audited consolidated financial statements provided in the Company’s Annual Report on Form 10-K for the year ended December 31, 2025 (“2025 Form 10-K”) but does not include all disclosures required by GAAP. These financial statements should be read in conjunction with the audited consolidated financial statements and related notes included in the 2025 Form 10-K.</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the results to be expected for the full year.</w:t>
      </w:r>
    </w:p>
    <w:p>
      <w:pPr>
        <w:spacing w:after="0" w:line="10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renamed the segment formerly known as “PE Films.” This segment is now referred to as “High Performance Films.” The product previously known as polyethylene overwrap films was renamed to advanced packaging films. There were no changes to the operations reported within the High Performance Films segment. The Company continues to have two reportable segments: Aluminum Extrusions and High Performance Films. More information on the Company’s business segments is provided in Note 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Flexible Packaging Films</w:t>
      </w:r>
    </w:p>
    <w:p>
      <w:pPr>
        <w:spacing w:after="0" w:line="94"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On November 1, 2024, the Company completed the sale of its flexible packaging films business (also referred to as “Terphane”) headquartered in Brazil to Oben Group (“Oben”). Commencing in the fourth quarter of 2024, all historical results for Terphane have been presented as discontinued operations. For more information on this transaction, see Note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to improve the disclosures about public business entity’s expenses and address requests from investors for more detailed information about the types of expenses in commonly presented expense captions. The amendments in this ASU will require the Company to disclose specified information about certain costs and expenses in the notes to the financial statements. This ASU is effective for annual periods beginning after December 15, 2026</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ind w:right="240"/>
        <w:spacing w:after="0" w:line="282" w:lineRule="auto"/>
        <w:rPr>
          <w:sz w:val="20"/>
          <w:szCs w:val="20"/>
          <w:color w:val="auto"/>
        </w:rPr>
      </w:pPr>
      <w:r>
        <w:rPr>
          <w:rFonts w:ascii="Times New Roman" w:cs="Times New Roman" w:eastAsia="Times New Roman" w:hAnsi="Times New Roman"/>
          <w:sz w:val="18"/>
          <w:szCs w:val="18"/>
          <w:color w:val="auto"/>
        </w:rPr>
        <w:t>and interim periods beginning after December 15, 2027. Early adoption is permitted. The Company is currently evaluating the impact of this standard on our consolidated financial statements and related disclosures.</w:t>
      </w:r>
    </w:p>
    <w:p>
      <w:pPr>
        <w:spacing w:after="0" w:line="2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does not expect a material impact from the adoption of this standard on our consolidated financial statements and related disclosures.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and December 31, 2025, accounts and other receivables, net include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March 31, 2026</w:t>
            </w:r>
          </w:p>
        </w:tc>
        <w:tc>
          <w:tcPr>
            <w:tcW w:w="3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1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90,851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80,027</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3,145</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23"/>
        </w:trPr>
        <w:tc>
          <w:tcPr>
            <w:tcW w:w="5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17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93,996</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82,122</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93,701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81,811</w:t>
            </w:r>
          </w:p>
        </w:tc>
      </w:tr>
      <w:tr>
        <w:trPr>
          <w:trHeight w:val="39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11"/>
        </w:trPr>
        <w:tc>
          <w:tcPr>
            <w:tcW w:w="5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March 31, 2026</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7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7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33,515</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1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23,445</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total pre-tax pension settlement loss of $92.3 million.</w:t>
      </w:r>
    </w:p>
    <w:p>
      <w:pPr>
        <w:spacing w:after="0" w:line="5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months ended March 31, 2026 and 2025.</w:t>
      </w:r>
    </w:p>
    <w:p>
      <w:pPr>
        <w:spacing w:after="0" w:line="5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addition to providing non-qualified supplemental pension benefits, the Company provides postretirement life insurance and health care benefits ("Other Post-Retirement Benefits") for certain groups of employees. Tredegar and retirees share in the costs with employees hired on or before January 1, 1993, who receive a fixed subsidy to cover a portion of their health care premiums.</w:t>
      </w:r>
    </w:p>
    <w:p>
      <w:pPr>
        <w:spacing w:after="0" w:line="54" w:lineRule="exact"/>
        <w:rPr>
          <w:sz w:val="20"/>
          <w:szCs w:val="20"/>
          <w:color w:val="auto"/>
        </w:rPr>
      </w:pPr>
    </w:p>
    <w:p>
      <w:pPr>
        <w:jc w:val="both"/>
        <w:ind w:right="80" w:firstLine="405"/>
        <w:spacing w:after="0" w:line="289" w:lineRule="auto"/>
        <w:rPr>
          <w:sz w:val="20"/>
          <w:szCs w:val="20"/>
          <w:color w:val="auto"/>
        </w:rPr>
      </w:pPr>
      <w:r>
        <w:rPr>
          <w:rFonts w:ascii="Times New Roman" w:cs="Times New Roman" w:eastAsia="Times New Roman" w:hAnsi="Times New Roman"/>
          <w:sz w:val="17"/>
          <w:szCs w:val="17"/>
          <w:color w:val="auto"/>
        </w:rPr>
        <w:t>On October 31, 2025, Tredegar terminated the Other Post-Retirement Benefits by prefunding $0.1 million, representing all required contributions for the remainder of 2025. The Other Post-Retirement Benefits total obligation and unrecognized pre-tax actuarial gain reported in the condensed consolidated balance sheets was $5.0 million and $1.3 million, respectively, which was realized into the income statement during the fourth quarter of 2025.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Benefits reflected in the condensed consolidated statements of income for the three months ended March 31, 2026 and 2025, are shown below:</w:t>
      </w:r>
    </w:p>
    <w:tbl>
      <w:tblPr>
        <w:tblLayout w:type="fixed"/>
        <w:tblInd w:w="0" w:type="dxa"/>
        <w:tblCellMar>
          <w:top w:w="0" w:type="dxa"/>
          <w:left w:w="0" w:type="dxa"/>
          <w:bottom w:w="0" w:type="dxa"/>
          <w:right w:w="0" w:type="dxa"/>
        </w:tblCellMar>
      </w:tblPr>
      <w:tr>
        <w:trPr>
          <w:trHeight w:val="184"/>
        </w:trPr>
        <w:tc>
          <w:tcPr>
            <w:tcW w:w="6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1"/>
                <w:szCs w:val="21"/>
                <w:color w:val="auto"/>
              </w:rPr>
            </w:pP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220" w:type="dxa"/>
            <w:vAlign w:val="bottom"/>
            <w:tcBorders>
              <w:top w:val="single" w:sz="8" w:color="auto"/>
            </w:tcBorders>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Three Months Ended March</w:t>
            </w:r>
          </w:p>
        </w:tc>
        <w:tc>
          <w:tcPr>
            <w:tcW w:w="100" w:type="dxa"/>
            <w:vAlign w:val="bottom"/>
          </w:tcPr>
          <w:p>
            <w:pPr>
              <w:spacing w:after="0"/>
              <w:rPr>
                <w:sz w:val="14"/>
                <w:szCs w:val="14"/>
                <w:color w:val="auto"/>
              </w:rPr>
            </w:pPr>
          </w:p>
        </w:tc>
        <w:tc>
          <w:tcPr>
            <w:tcW w:w="2220" w:type="dxa"/>
            <w:vAlign w:val="bottom"/>
            <w:tcBorders>
              <w:top w:val="single" w:sz="8" w:color="auto"/>
            </w:tcBorders>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7"/>
        </w:trPr>
        <w:tc>
          <w:tcPr>
            <w:tcW w:w="6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Borders>
              <w:bottom w:val="single" w:sz="8" w:color="auto"/>
            </w:tcBorders>
          </w:tcPr>
          <w:p>
            <w:pPr>
              <w:spacing w:after="0"/>
              <w:rPr>
                <w:sz w:val="20"/>
                <w:szCs w:val="20"/>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5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were $1.5 million and $1.4 million at March 31, 2026 and December 31, 2025, respectively ($0.2 million included in “Accrued expenses” at March 31, 2026 and December 31, 2025 with the remainder included in “Pension and other postretirement benefit obligations, net” in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4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2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34,696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w:t>
            </w:r>
          </w:p>
        </w:tc>
      </w:tr>
      <w:tr>
        <w:trPr>
          <w:trHeight w:val="22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Incremental dilutive shares attributable to stock options</w:t>
            </w:r>
          </w:p>
        </w:tc>
        <w:tc>
          <w:tcPr>
            <w:tcW w:w="2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27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34,696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w:t>
            </w:r>
          </w:p>
        </w:tc>
      </w:tr>
    </w:tbl>
    <w:p>
      <w:pPr>
        <w:spacing w:after="0" w:line="157"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Incremental shares attributable to stock options are computed under the treasury stock method using the average market price during the related period. Average out-of-the-money options to purchase shares that were excluded from the calculation of incremental shares attributable to stock options were 1,160,761 and 1,325,890 for the three months ended March 31, 2026 and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 (LOSS)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Foreign Currency</w:t>
            </w: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Translation</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864"/>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Foreign Currency</w:t>
            </w: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110"/>
              <w:spacing w:after="0" w:line="202"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Translation</w:t>
            </w: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9"/>
        </w:trPr>
        <w:tc>
          <w:tcPr>
            <w:tcW w:w="348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These derivative financial instruments are designated as and qualify as cash flow hedges and are recognized in the condensed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spacing w:after="0" w:line="48" w:lineRule="exact"/>
        <w:rPr>
          <w:sz w:val="20"/>
          <w:szCs w:val="20"/>
          <w:color w:val="auto"/>
        </w:rPr>
      </w:pPr>
    </w:p>
    <w:p>
      <w:pPr>
        <w:ind w:right="260" w:firstLine="40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$9.6 million (4.7 million pounds of aluminum) at March 31, 2026 and $10.0 million (5.2 million pounds of aluminum) at December 31,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March 31, 2026</w:t>
            </w:r>
          </w:p>
        </w:tc>
        <w:tc>
          <w:tcPr>
            <w:tcW w:w="400" w:type="dxa"/>
            <w:vAlign w:val="bottom"/>
          </w:tcPr>
          <w:p>
            <w:pPr>
              <w:spacing w:after="0"/>
              <w:rPr>
                <w:sz w:val="21"/>
                <w:szCs w:val="21"/>
                <w:color w:val="auto"/>
              </w:rPr>
            </w:pP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69"/>
        </w:trPr>
        <w:tc>
          <w:tcPr>
            <w:tcW w:w="3980" w:type="dxa"/>
            <w:vAlign w:val="bottom"/>
          </w:tcPr>
          <w:p>
            <w:pPr>
              <w:spacing w:after="0"/>
              <w:rPr>
                <w:sz w:val="14"/>
                <w:szCs w:val="14"/>
                <w:color w:val="auto"/>
              </w:rPr>
            </w:pPr>
          </w:p>
        </w:tc>
        <w:tc>
          <w:tcPr>
            <w:tcW w:w="2220" w:type="dxa"/>
            <w:vAlign w:val="bottom"/>
          </w:tcPr>
          <w:p>
            <w:pPr>
              <w:jc w:val="center"/>
              <w:ind w:left="25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48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29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right"/>
              <w:ind w:right="97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4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8"/>
              </w:rPr>
              <w:t>Account</w:t>
            </w:r>
          </w:p>
        </w:tc>
        <w:tc>
          <w:tcPr>
            <w:tcW w:w="4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175"/>
        </w:trPr>
        <w:tc>
          <w:tcPr>
            <w:tcW w:w="3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derivatives:</w:t>
            </w:r>
          </w:p>
        </w:tc>
        <w:tc>
          <w:tcPr>
            <w:tcW w:w="222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43"/>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2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other</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Liability derivatives:</w:t>
            </w:r>
          </w:p>
        </w:tc>
        <w:tc>
          <w:tcPr>
            <w:tcW w:w="2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2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3980" w:type="dxa"/>
            <w:vAlign w:val="bottom"/>
          </w:tcPr>
          <w:p>
            <w:pPr>
              <w:spacing w:after="0"/>
              <w:rPr>
                <w:sz w:val="15"/>
                <w:szCs w:val="15"/>
                <w:color w:val="auto"/>
              </w:rPr>
            </w:pPr>
          </w:p>
        </w:tc>
        <w:tc>
          <w:tcPr>
            <w:tcW w:w="222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8"/>
              </w:rPr>
              <w:t>Other non-current</w:t>
            </w:r>
          </w:p>
        </w:tc>
        <w:tc>
          <w:tcPr>
            <w:tcW w:w="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43"/>
        </w:trPr>
        <w:tc>
          <w:tcPr>
            <w:tcW w:w="3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2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2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bl>
    <w:p>
      <w:pPr>
        <w:spacing w:after="0" w:line="15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54" w:lineRule="exact"/>
        <w:rPr>
          <w:sz w:val="20"/>
          <w:szCs w:val="20"/>
          <w:color w:val="auto"/>
        </w:rPr>
      </w:pPr>
    </w:p>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month periods ended March 31, 2026 and 2025 is summarized in the table below:</w:t>
      </w:r>
    </w:p>
    <w:tbl>
      <w:tblPr>
        <w:tblLayout w:type="fixed"/>
        <w:tblInd w:w="0" w:type="dxa"/>
        <w:tblCellMar>
          <w:top w:w="0" w:type="dxa"/>
          <w:left w:w="0" w:type="dxa"/>
          <w:bottom w:w="0" w:type="dxa"/>
          <w:right w:w="0" w:type="dxa"/>
        </w:tblCellMar>
      </w:tblPr>
      <w:tr>
        <w:trPr>
          <w:trHeight w:val="238"/>
        </w:trPr>
        <w:tc>
          <w:tcPr>
            <w:tcW w:w="81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500" w:type="dxa"/>
            <w:vAlign w:val="bottom"/>
            <w:tcBorders>
              <w:top w:val="single" w:sz="8" w:color="auto"/>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Cash Flow Derivative Hedges</w:t>
            </w:r>
          </w:p>
        </w:tc>
        <w:tc>
          <w:tcPr>
            <w:tcW w:w="360" w:type="dxa"/>
            <w:vAlign w:val="bottom"/>
            <w:tcBorders>
              <w:top w:val="single" w:sz="8" w:color="auto"/>
              <w:bottom w:val="single" w:sz="8" w:color="auto"/>
            </w:tcBorders>
          </w:tcPr>
          <w:p>
            <w:pPr>
              <w:spacing w:after="0"/>
              <w:rPr>
                <w:sz w:val="20"/>
                <w:szCs w:val="20"/>
                <w:color w:val="auto"/>
              </w:rPr>
            </w:pPr>
          </w:p>
        </w:tc>
      </w:tr>
      <w:tr>
        <w:trPr>
          <w:trHeight w:val="223"/>
        </w:trPr>
        <w:tc>
          <w:tcPr>
            <w:tcW w:w="8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60" w:type="dxa"/>
            <w:vAlign w:val="bottom"/>
            <w:tcBorders>
              <w:bottom w:val="single" w:sz="8" w:color="auto"/>
            </w:tcBorders>
          </w:tcPr>
          <w:p>
            <w:pPr>
              <w:spacing w:after="0"/>
              <w:rPr>
                <w:sz w:val="19"/>
                <w:szCs w:val="19"/>
                <w:color w:val="auto"/>
              </w:rPr>
            </w:pPr>
          </w:p>
        </w:tc>
      </w:tr>
      <w:tr>
        <w:trPr>
          <w:trHeight w:val="218"/>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Aluminum Futures Contracts</w:t>
            </w:r>
          </w:p>
        </w:tc>
        <w:tc>
          <w:tcPr>
            <w:tcW w:w="360" w:type="dxa"/>
            <w:vAlign w:val="bottom"/>
          </w:tcPr>
          <w:p>
            <w:pPr>
              <w:spacing w:after="0"/>
              <w:rPr>
                <w:sz w:val="18"/>
                <w:szCs w:val="18"/>
                <w:color w:val="auto"/>
              </w:rPr>
            </w:pPr>
          </w:p>
        </w:tc>
      </w:tr>
      <w:tr>
        <w:trPr>
          <w:trHeight w:val="234"/>
        </w:trPr>
        <w:tc>
          <w:tcPr>
            <w:tcW w:w="8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2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76"/>
        </w:trPr>
        <w:tc>
          <w:tcPr>
            <w:tcW w:w="8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Location of gain (loss) reclassified from accumulated other comprehensive income (loss) to net income</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Cost of goods sold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Cost of goods sold</w:t>
            </w:r>
          </w:p>
        </w:tc>
      </w:tr>
      <w:tr>
        <w:trPr>
          <w:trHeight w:val="175"/>
        </w:trPr>
        <w:tc>
          <w:tcPr>
            <w:tcW w:w="8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 comprehensive income (loss) to net income</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43"/>
        </w:trPr>
        <w:tc>
          <w:tcPr>
            <w:tcW w:w="8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22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44"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the Company expects $1.9 million of unrealized after-tax gains on aluminum derivative instruments reported in accumulated other comprehensive income (loss) to be reclassified to earnings within the next 12 months. For the three month periods ended March 31, 2026 and 2025, net gains or losses realized, from previously unrealized net gains or losses on hedges that had been discontinued, were not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Tredegar recorded tax expense (benefit) of $1.0 million on pre-tax income (loss) from continuing operations of $6.1 million in the first three months of 2026. The effective tax rate in the first three months of 2026 was 16.9% and 46.2% in the first three months of 2025. The effective tax rate for the first three months of 2026 varies from the statutory rate of 21% due to research and development tax credits while the effective tax rate for the first three months of 2025 varies from the statutory rate due to a mix of lower pre-tax income and higher nondeductible discrete items as a percentage of pre-tax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108" w:lineRule="exact"/>
        <w:rPr>
          <w:sz w:val="20"/>
          <w:szCs w:val="20"/>
          <w:color w:val="auto"/>
        </w:rPr>
      </w:pPr>
    </w:p>
    <w:p>
      <w:pPr>
        <w:ind w:right="620" w:firstLine="405"/>
        <w:spacing w:after="0" w:line="261" w:lineRule="auto"/>
        <w:rPr>
          <w:sz w:val="20"/>
          <w:szCs w:val="20"/>
          <w:color w:val="auto"/>
        </w:rPr>
      </w:pPr>
      <w:r>
        <w:rPr>
          <w:rFonts w:ascii="Times New Roman" w:cs="Times New Roman" w:eastAsia="Times New Roman" w:hAnsi="Times New Roman"/>
          <w:sz w:val="18"/>
          <w:szCs w:val="18"/>
          <w:color w:val="auto"/>
        </w:rPr>
        <w:t>The Company's business segments are Aluminum Extrusions and High Performance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High Performance Films produces surface protection films, advanced packaging films and films for other markets.</w:t>
      </w:r>
    </w:p>
    <w:p>
      <w:pPr>
        <w:spacing w:after="0" w:line="5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w:t>
      </w:r>
    </w:p>
    <w:p>
      <w:pPr>
        <w:spacing w:after="0" w:line="4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EBITDA from ongoing operations used by the CODM excludes certain non-recurring items, such as restructuring costs, asset impairments and other items, which are reported separately. The CODM uses EBITDA from ongoing operations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160"/>
        <w:spacing w:after="0" w:line="266" w:lineRule="auto"/>
        <w:rPr>
          <w:sz w:val="20"/>
          <w:szCs w:val="20"/>
          <w:color w:val="auto"/>
        </w:rPr>
      </w:pPr>
      <w:r>
        <w:rPr>
          <w:rFonts w:ascii="Times New Roman" w:cs="Times New Roman" w:eastAsia="Times New Roman" w:hAnsi="Times New Roman"/>
          <w:sz w:val="18"/>
          <w:szCs w:val="18"/>
          <w:color w:val="auto"/>
        </w:rPr>
        <w:t>evaluate the operating performance of Tredegar’s ongoing operations, monitor budget versus actual results, establish management’s compensation and allocate resources. EBITDA from ongoing operations is the primary measure of segment performance and is consistent with how the business is managed internally, in addition to being a key financial and analytic metric for borrowing capacity and estimated enterprise value.</w:t>
      </w:r>
    </w:p>
    <w:p>
      <w:pPr>
        <w:spacing w:after="0" w:line="4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 uses sales less freight (“net sales”) as its measure of revenues from external customers at the segment level. This measure is separately included in the financial information regularly provided to the CODM.</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segment revenue, segment profit (loss), and significant expenses for the three months ended March 31, 2026 and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3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860" w:type="dxa"/>
            <w:vAlign w:val="bottom"/>
            <w:tcBorders>
              <w:top w:val="single" w:sz="8" w:color="auto"/>
              <w:bottom w:val="single" w:sz="8" w:color="auto"/>
            </w:tcBorders>
          </w:tcPr>
          <w:p>
            <w:pPr>
              <w:spacing w:after="0"/>
              <w:rPr>
                <w:sz w:val="22"/>
                <w:szCs w:val="22"/>
                <w:color w:val="auto"/>
              </w:rPr>
            </w:pPr>
          </w:p>
        </w:tc>
      </w:tr>
      <w:tr>
        <w:trPr>
          <w:trHeight w:val="169"/>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14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High Performance</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Extrusions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Films</w:t>
            </w: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159,457</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21,533</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180,990</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w:t>
            </w: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186,489</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127,333</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10,422</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137,755</w:t>
            </w:r>
          </w:p>
        </w:tc>
      </w:tr>
      <w:tr>
        <w:trPr>
          <w:trHeight w:val="230"/>
        </w:trPr>
        <w:tc>
          <w:tcPr>
            <w:tcW w:w="6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r>
      <w:tr>
        <w:trPr>
          <w:trHeight w:val="229"/>
        </w:trPr>
        <w:tc>
          <w:tcPr>
            <w:tcW w:w="6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8,905</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2,593</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30"/>
        </w:trPr>
        <w:tc>
          <w:tcPr>
            <w:tcW w:w="67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11,682</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5,074</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6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r>
    </w:tbl>
    <w:p>
      <w:pPr>
        <w:ind w:left="200" w:hanging="174"/>
        <w:spacing w:after="0" w:line="221"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employee-related benefit expense (income).</w:t>
      </w:r>
    </w:p>
    <w:p>
      <w:pPr>
        <w:ind w:left="200" w:hanging="174"/>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6"/>
        </w:trPr>
        <w:tc>
          <w:tcPr>
            <w:tcW w:w="67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3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860" w:type="dxa"/>
            <w:vAlign w:val="bottom"/>
            <w:tcBorders>
              <w:top w:val="single" w:sz="8" w:color="auto"/>
              <w:bottom w:val="single" w:sz="8" w:color="auto"/>
            </w:tcBorders>
          </w:tcPr>
          <w:p>
            <w:pPr>
              <w:spacing w:after="0"/>
              <w:rPr>
                <w:sz w:val="22"/>
                <w:szCs w:val="22"/>
                <w:color w:val="auto"/>
              </w:rPr>
            </w:pPr>
          </w:p>
        </w:tc>
      </w:tr>
      <w:tr>
        <w:trPr>
          <w:trHeight w:val="169"/>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14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High Performance</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Films</w:t>
            </w: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133,635</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25,537</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159,172</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164,738</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103,523</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11,977</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115,500</w:t>
            </w:r>
          </w:p>
        </w:tc>
      </w:tr>
      <w:tr>
        <w:trPr>
          <w:trHeight w:val="230"/>
        </w:trPr>
        <w:tc>
          <w:tcPr>
            <w:tcW w:w="6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3,459</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r>
      <w:tr>
        <w:trPr>
          <w:trHeight w:val="229"/>
        </w:trPr>
        <w:tc>
          <w:tcPr>
            <w:tcW w:w="6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9,412</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2,592</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30"/>
        </w:trPr>
        <w:tc>
          <w:tcPr>
            <w:tcW w:w="67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9,160</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6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r>
    </w:tbl>
    <w:p>
      <w:pPr>
        <w:ind w:left="200" w:hanging="174"/>
        <w:spacing w:after="0" w:line="221" w:lineRule="auto"/>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employee-related benefit expense (income).</w:t>
      </w:r>
    </w:p>
    <w:p>
      <w:pPr>
        <w:ind w:left="200" w:hanging="174"/>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March 31, 2026 and December 31,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96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269,802</w:t>
            </w:r>
          </w:p>
        </w:tc>
      </w:tr>
      <w:tr>
        <w:trPr>
          <w:trHeight w:val="229"/>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2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53,511</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52,998</w:t>
            </w:r>
          </w:p>
        </w:tc>
      </w:tr>
      <w:tr>
        <w:trPr>
          <w:trHeight w:val="223"/>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9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354,042</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322,800</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33,990</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41,843</w:t>
            </w: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30"/>
        </w:trPr>
        <w:tc>
          <w:tcPr>
            <w:tcW w:w="4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371,372</w:t>
            </w: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depreciation and amortization for the three months ended March 31,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r>
      <w:tr>
        <w:trPr>
          <w:trHeight w:val="22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2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r>
      <w:tr>
        <w:trPr>
          <w:trHeight w:val="405"/>
        </w:trPr>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capital expenditures for the three months ended March 31, 2026 and 2025:</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8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3"/>
          </w:tcPr>
          <w:p>
            <w:pPr>
              <w:spacing w:after="0"/>
              <w:rPr>
                <w:sz w:val="10"/>
                <w:szCs w:val="10"/>
                <w:color w:val="auto"/>
              </w:rPr>
            </w:pPr>
          </w:p>
        </w:tc>
      </w:tr>
      <w:tr>
        <w:trPr>
          <w:trHeight w:val="225"/>
        </w:trPr>
        <w:tc>
          <w:tcPr>
            <w:tcW w:w="8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30"/>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8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r>
    </w:tbl>
    <w:p>
      <w:pPr>
        <w:spacing w:after="0" w:line="17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net sales by geographic area and product group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166,665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144,357</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3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55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180,990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159,172</w:t>
            </w: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mostly to High Performance Films.</w:t>
      </w:r>
    </w:p>
    <w:p>
      <w:pPr>
        <w:spacing w:after="0" w:line="2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$5.5 million and $6.6 million in the first quarter of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81,188</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67,601</w:t>
            </w:r>
          </w:p>
        </w:tc>
      </w:tr>
      <w:tr>
        <w:trPr>
          <w:trHeight w:val="22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2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13,322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3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27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w:t>
            </w:r>
          </w:p>
        </w:tc>
      </w:tr>
      <w:tr>
        <w:trPr>
          <w:trHeight w:val="22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2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r>
      <w:tr>
        <w:trPr>
          <w:trHeight w:val="229"/>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27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w:t>
            </w:r>
          </w:p>
        </w:tc>
      </w:tr>
      <w:tr>
        <w:trPr>
          <w:trHeight w:val="230"/>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2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25,471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r>
      <w:tr>
        <w:trPr>
          <w:trHeight w:val="229"/>
        </w:trPr>
        <w:tc>
          <w:tcPr>
            <w:tcW w:w="5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23"/>
        </w:trPr>
        <w:tc>
          <w:tcPr>
            <w:tcW w:w="5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159,457</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133,635</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2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27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w:t>
            </w:r>
          </w:p>
        </w:tc>
      </w:tr>
      <w:tr>
        <w:trPr>
          <w:trHeight w:val="229"/>
        </w:trPr>
        <w:tc>
          <w:tcPr>
            <w:tcW w:w="5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Advanced packaging</w:t>
            </w:r>
          </w:p>
        </w:tc>
        <w:tc>
          <w:tcPr>
            <w:tcW w:w="2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7,333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w:t>
            </w:r>
          </w:p>
        </w:tc>
      </w:tr>
      <w:tr>
        <w:trPr>
          <w:trHeight w:val="223"/>
        </w:trPr>
        <w:tc>
          <w:tcPr>
            <w:tcW w:w="57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7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21,533</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25,537</w:t>
            </w:r>
          </w:p>
        </w:tc>
      </w:tr>
      <w:tr>
        <w:trPr>
          <w:trHeight w:val="230"/>
        </w:trPr>
        <w:tc>
          <w:tcPr>
            <w:tcW w:w="57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180,990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159,172</w:t>
            </w:r>
          </w:p>
        </w:tc>
      </w:tr>
    </w:tbl>
    <w:p>
      <w:pPr>
        <w:spacing w:after="0" w:line="396" w:lineRule="exact"/>
        <w:rPr>
          <w:sz w:val="20"/>
          <w:szCs w:val="20"/>
          <w:color w:val="auto"/>
        </w:rPr>
      </w:pPr>
    </w:p>
    <w:p>
      <w:pPr>
        <w:ind w:right="8340" w:firstLine="8"/>
        <w:spacing w:after="0" w:line="383" w:lineRule="auto"/>
        <w:tabs>
          <w:tab w:leader="none" w:pos="27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DISCONTINUED OPERATIONS </w:t>
      </w:r>
      <w:r>
        <w:rPr>
          <w:rFonts w:ascii="Times New Roman" w:cs="Times New Roman" w:eastAsia="Times New Roman" w:hAnsi="Times New Roman"/>
          <w:sz w:val="17"/>
          <w:szCs w:val="17"/>
          <w:i w:val="1"/>
          <w:iCs w:val="1"/>
          <w:color w:val="auto"/>
        </w:rPr>
        <w:t>Flexible Packaging Films</w:t>
      </w:r>
    </w:p>
    <w:p>
      <w:pPr>
        <w:spacing w:after="0" w:line="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September 2023, the Company entered into an agreement to sell Terphane, headquartered in Brazil, to Oben for net cash-free and debt-free base consideration of $116 million.</w:t>
      </w:r>
    </w:p>
    <w:p>
      <w:pPr>
        <w:spacing w:after="0" w:line="27"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On November 1, 2024, Tredegar completed the sale of Terphane to Oben. At closing, Tredegar received $60 million in cash, which was net of Terphane debt assumed by Oben of $20 million and estimated Terphane cash retained by Oben of $2 million. The cash proceeds received by Tredegar at closing were after deducting net working capital adjustments and closing indebtedness ($20.5 million), escrow funds ($19.8 million), projected Brazil withholding taxes ($10.8 million), and transaction expenses ($4.4 million). In February 2025 and February 2026, the Company received $9.8 million and $0.6 million, respectively, from post-closing settlement of the transaction. The proceeds from the sale of Terphane were required to be used to pay down debt outstanding under the Company’s $125 million senior secured asset-based revolving credit facility (the "ABL Facility").</w:t>
      </w:r>
    </w:p>
    <w:p>
      <w:pPr>
        <w:spacing w:after="0" w:line="66"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Upon completion of the sale, the Company recognized a pre-tax loss of $74.9 million for the year ended December 31, 2024, which included the realization of other comprehensive losses on foreign currency translation adjustments, net of gains on derivative financial instruments of $102.3 million previously reflected in accumulated other comprehensive income (loss).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Condensed Consolidated Statements of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61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sale of business</w:t>
            </w:r>
          </w:p>
        </w:tc>
        <w:tc>
          <w:tcPr>
            <w:tcW w:w="20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23"/>
        </w:trPr>
        <w:tc>
          <w:tcPr>
            <w:tcW w:w="6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w:t>
            </w:r>
          </w:p>
        </w:tc>
        <w:tc>
          <w:tcPr>
            <w:tcW w:w="20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29"/>
        </w:trPr>
        <w:tc>
          <w:tcPr>
            <w:tcW w:w="6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 (benefit)</w:t>
            </w:r>
            <w:r>
              <w:rPr>
                <w:rFonts w:ascii="Times New Roman" w:cs="Times New Roman" w:eastAsia="Times New Roman" w:hAnsi="Times New Roman"/>
                <w:sz w:val="23"/>
                <w:szCs w:val="23"/>
                <w:color w:val="auto"/>
                <w:vertAlign w:val="superscript"/>
              </w:rPr>
              <w:t>1</w:t>
            </w:r>
          </w:p>
        </w:tc>
        <w:tc>
          <w:tcPr>
            <w:tcW w:w="2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r>
    </w:tbl>
    <w:p>
      <w:pPr>
        <w:spacing w:after="0" w:line="9" w:lineRule="exact"/>
        <w:rPr>
          <w:sz w:val="20"/>
          <w:szCs w:val="20"/>
          <w:color w:val="auto"/>
        </w:rPr>
      </w:pPr>
    </w:p>
    <w:p>
      <w:pPr>
        <w:ind w:left="180" w:right="300" w:hanging="154"/>
        <w:spacing w:after="0" w:line="266"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inconsequential income tax expense (benefit) was recognized during the three months ended March 31, 2025, primarily due to foreign tax credits generated from the final Brazilian withholding tax payment made during the periods, which offset the tax liability on the income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color w:val="auto"/>
        </w:rPr>
        <w:t>The following table provides significant operating, investing and financing cash flow information for discontinued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40" w:type="dxa"/>
            <w:vAlign w:val="bottom"/>
            <w:tcBorders>
              <w:top w:val="single" w:sz="8" w:color="auto"/>
            </w:tcBorders>
          </w:tcPr>
          <w:p>
            <w:pPr>
              <w:spacing w:after="0"/>
              <w:rPr>
                <w:sz w:val="21"/>
                <w:szCs w:val="21"/>
                <w:color w:val="auto"/>
              </w:rPr>
            </w:pPr>
          </w:p>
        </w:tc>
        <w:tc>
          <w:tcPr>
            <w:tcW w:w="5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60" w:type="dxa"/>
            <w:vAlign w:val="bottom"/>
            <w:tcBorders>
              <w:top w:val="single" w:sz="8" w:color="auto"/>
            </w:tcBorders>
          </w:tcPr>
          <w:p>
            <w:pPr>
              <w:spacing w:after="0"/>
              <w:rPr>
                <w:sz w:val="21"/>
                <w:szCs w:val="21"/>
                <w:color w:val="auto"/>
              </w:rPr>
            </w:pPr>
          </w:p>
        </w:tc>
      </w:tr>
      <w:tr>
        <w:trPr>
          <w:trHeight w:val="234"/>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0"/>
                <w:szCs w:val="20"/>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5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Gain on the sale of divested business</w:t>
            </w:r>
          </w:p>
        </w:tc>
        <w:tc>
          <w:tcPr>
            <w:tcW w:w="356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(565)</w:t>
            </w:r>
          </w:p>
        </w:tc>
        <w:tc>
          <w:tcPr>
            <w:tcW w:w="11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(9,657)</w:t>
            </w:r>
          </w:p>
        </w:tc>
      </w:tr>
      <w:tr>
        <w:trPr>
          <w:trHeight w:val="223"/>
        </w:trPr>
        <w:tc>
          <w:tcPr>
            <w:tcW w:w="5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(565)</w:t>
            </w:r>
          </w:p>
        </w:tc>
        <w:tc>
          <w:tcPr>
            <w:tcW w:w="11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(9,657)</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sale of Terphane</w:t>
            </w:r>
          </w:p>
        </w:tc>
        <w:tc>
          <w:tcPr>
            <w:tcW w:w="356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565</w:t>
            </w:r>
          </w:p>
        </w:tc>
        <w:tc>
          <w:tcPr>
            <w:tcW w:w="11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9,835</w:t>
            </w:r>
          </w:p>
        </w:tc>
      </w:tr>
      <w:tr>
        <w:trPr>
          <w:trHeight w:val="230"/>
        </w:trPr>
        <w:tc>
          <w:tcPr>
            <w:tcW w:w="5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565</w:t>
            </w:r>
          </w:p>
        </w:tc>
        <w:tc>
          <w:tcPr>
            <w:tcW w:w="11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5" w:right="359" w:bottom="1440" w:gutter="0" w:footer="0" w:header="0"/>
        </w:sectPr>
      </w:pPr>
    </w:p>
    <w:bookmarkStart w:id="17" w:name="page18"/>
    <w:bookmarkEnd w:id="17"/>
    <w:p>
      <w:pPr>
        <w:jc w:val="right"/>
        <w:ind w:right="362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spacing w:after="0" w:line="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7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policies and prolonged geopolitical conflicts on raw materials and supply chain constraints;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inflation, interest rates and recession risks;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any of the financial and other restrictive covenants in the ABL Facility;</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replace aging equipment and information technology systems with necessary capital expenditures;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to significant customers on which the Company’s business is highly dependent;</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10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2025 (the “2025 Form 10-K”). Readers are urged to review and consider carefully the disclosures Tredegar makes in its filings with the SEC.</w:t>
      </w:r>
    </w:p>
    <w:p>
      <w:pPr>
        <w:spacing w:after="0" w:line="23" w:lineRule="exact"/>
        <w:rPr>
          <w:sz w:val="20"/>
          <w:szCs w:val="20"/>
          <w:color w:val="auto"/>
        </w:rPr>
      </w:pPr>
    </w:p>
    <w:p>
      <w:pPr>
        <w:ind w:right="460" w:firstLine="405"/>
        <w:spacing w:after="0" w:line="312"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1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4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Estimates”in the Company’s Annual Report on Form 10-K for the fiscal year ended December 31, 2025 (the" 2025 Form 10-K") have the greatest potential impact on our financial statements, so Tredegar considers these to be its critical accounting policies. Since December 31, 2025, there have been no changes in these policies or estimates that have had a material impact on our results of operations or financial position.</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Tredegar Corporation is an industrial manufacturer with two primary businesses: custom aluminum extrusions for the building &amp; construction (“B&amp;C”), automotive and specialty end-use markets in the United States through its Aluminum Extrusions segment (with exports comprising less than 5% of total sales volume) and surface protection films for high-technology applications in the global electronics industry through its High Performance Films segment. With approximately 1,700 employees, the Company operates manufacturing facilities in the U.S. and China.</w:t>
      </w:r>
    </w:p>
    <w:p>
      <w:pPr>
        <w:spacing w:after="0" w:line="4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renamed the segment formerly known as “PE Films.” This segment is now referred to as “High Performance Films.” The product previously known as polyethylene overwrap films was renamed to advanced packaging films. There were no changes to the operations reported within the High Performance Films segment. The Company continues to have two reportable segments: Aluminum Extrusions and High Performance Films.</w:t>
      </w:r>
    </w:p>
    <w:p>
      <w:pPr>
        <w:spacing w:after="0" w:line="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Earnings before interest and taxes ("EBIT") from ongoing operations is a non-GAAP financial measure included in the reconciliation of segment financial information to consolidated results for the Company in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5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First quarter 2026 net income (loss) from continuing operations was $5.1 million ($0.15 per diluted share) compared to $0.7 million ($0.02 per diluted share) in the first quarter of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 Highlights</w:t>
      </w:r>
    </w:p>
    <w:p>
      <w:pPr>
        <w:spacing w:after="0" w:line="108" w:lineRule="exact"/>
        <w:rPr>
          <w:sz w:val="20"/>
          <w:szCs w:val="20"/>
          <w:color w:val="auto"/>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was $11.7 million in the first quarter of 2026 versus $9.2 million in the first quarter of 2025 and versus $15.7 million in the fourth quarter of 2025.</w:t>
      </w:r>
    </w:p>
    <w:p>
      <w:pPr>
        <w:spacing w:after="0" w:line="2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High Performance Films was $5.1 million in the first quarter of 2026 versus $7.5 million in the first quarter of 2025 and versus $5.7 million in the fourth quarter of 2025.</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ind w:left="48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of 2026 Compared with the First Quarter of 2025 Results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first quarter of 2025 to the first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three months ended March 31, 2025</w:t>
            </w:r>
          </w:p>
        </w:tc>
        <w:tc>
          <w:tcPr>
            <w:tcW w:w="15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March 31, 2025</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r>
      <w:tr>
        <w:trPr>
          <w:trHeight w:val="229"/>
        </w:trPr>
        <w:tc>
          <w:tcPr>
            <w:tcW w:w="8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w:t>
            </w:r>
          </w:p>
        </w:tc>
      </w:tr>
      <w:tr>
        <w:trPr>
          <w:trHeight w:val="230"/>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r>
      <w:tr>
        <w:trPr>
          <w:trHeight w:val="229"/>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89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w:t>
            </w: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March 31, 2026</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29"/>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three months ended March 31, 2026</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r>
    </w:tbl>
    <w:p>
      <w:pPr>
        <w:spacing w:after="0" w:line="157" w:lineRule="exact"/>
        <w:rPr>
          <w:sz w:val="20"/>
          <w:szCs w:val="20"/>
          <w:color w:val="auto"/>
        </w:rPr>
      </w:pPr>
    </w:p>
    <w:p>
      <w:pPr>
        <w:ind w:right="5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Sales in the first quarter of 2026 increased by $21.8 million compared with the first quarter of 2025. Net sales (sales less freight) in Aluminum Extrusions increased $25.8 million, primarily due to the pass-through of higher metal costs, partially offset by lower volume. Net sales in High Performance Films decreased $4.0 million, primarily due to a decrease in sales volume and unfavorable mix in surface protection films.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58"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12.6% in the first quarter of 2026 compared to 14.3% in the first quarter of 2025. The gross profit margin in Aluminum Extrusions remains consistent with the prior period. The gross profit margin in High Performance Films decreased due to a lower Surface Protection contribution margin associated with lower volume and unfavorable mix, partially offset by higher advanced packaging volume and favorable mix.</w:t>
      </w:r>
    </w:p>
    <w:p>
      <w:pPr>
        <w:spacing w:after="0" w:line="4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were 8.9% in the first quarter of 2026 compared with 12.6% in the first quarter of 2025. First quarter sales increased 13.2% while SG&amp;A decreased 20.5% compared to the prior period. Lower SG&amp;A spending was primarily due to lower professional fees associated with business development activities ($2.9 million), lower employee compensation ($0.7 million), and lower stock-based compensation ($0.4 million).</w:t>
      </w:r>
    </w:p>
    <w:p>
      <w:pPr>
        <w:spacing w:after="0" w:line="5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Interest expense was $0.4 million in the first quarter of 2026 in comparison to $1.0 million in the first quarter of 2025. The decrease in interest expense was primarily due to lower weighted average total debt outstanding and lower interest rates.</w:t>
      </w:r>
    </w:p>
    <w:p>
      <w:pPr>
        <w:spacing w:after="0" w:line="4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tax rate used to compute income taxes (benefit) from continuing operations in the first quarter of 2026 was 16.9% compared to 46.2% in the first quarter of 2025. The effective tax rate for the first three months of 2026 varies from the statutory rate of 21% due to research and development tax credits while the effective tax rate for the first three months of 2025 varies from the statutory rate due to a mix of lower pre-tax income and higher nondeductible discrete items as a percentage of pre-tax income.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Pre-tax gains and losses associated with plant shutdowns, asset impairments, restructurings and other items for the first quarters of 2026 and 2025 detailed below are shown in the reconciliation of net sales and EBITDA from ongoing operations by segment in the table in the </w:t>
      </w:r>
      <w:r>
        <w:rPr>
          <w:rFonts w:ascii="Times New Roman" w:cs="Times New Roman" w:eastAsia="Times New Roman" w:hAnsi="Times New Roman"/>
          <w:sz w:val="18"/>
          <w:szCs w:val="18"/>
          <w:b w:val="1"/>
          <w:bCs w:val="1"/>
          <w:i w:val="1"/>
          <w:iCs w:val="1"/>
          <w:color w:val="auto"/>
        </w:rPr>
        <w:t>Segment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section below and are included in “Asset impairments and costs associated with exit and disposal activities, net of adjustments”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income, unless otherwise noted.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w:t>
            </w:r>
          </w:p>
        </w:tc>
      </w:tr>
      <w:tr>
        <w:trPr>
          <w:trHeight w:val="229"/>
        </w:trPr>
        <w:tc>
          <w:tcPr>
            <w:tcW w:w="8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tcPr>
          <w:p>
            <w:pPr>
              <w:spacing w:after="0"/>
              <w:rPr>
                <w:sz w:val="19"/>
                <w:szCs w:val="19"/>
                <w:color w:val="auto"/>
              </w:rPr>
            </w:pPr>
          </w:p>
        </w:tc>
      </w:tr>
      <w:tr>
        <w:trPr>
          <w:trHeight w:val="234"/>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4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84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matters</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0.3</w:t>
            </w:r>
          </w:p>
        </w:tc>
      </w:tr>
      <w:tr>
        <w:trPr>
          <w:trHeight w:val="230"/>
        </w:trPr>
        <w:tc>
          <w:tcPr>
            <w:tcW w:w="8480" w:type="dxa"/>
            <w:vAlign w:val="bottom"/>
            <w:tcBorders>
              <w:bottom w:val="single" w:sz="8" w:color="auto"/>
            </w:tcBorders>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Aluminum premium charge as a result of unplanned maintenance interruptions</w:t>
            </w:r>
            <w:r>
              <w:rPr>
                <w:rFonts w:ascii="Times New Roman" w:cs="Times New Roman" w:eastAsia="Times New Roman" w:hAnsi="Times New Roman"/>
                <w:sz w:val="23"/>
                <w:szCs w:val="23"/>
                <w:color w:val="auto"/>
                <w:vertAlign w:val="superscript"/>
              </w:rPr>
              <w:t>2</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0.3</w:t>
            </w:r>
          </w:p>
        </w:tc>
      </w:tr>
      <w:tr>
        <w:trPr>
          <w:trHeight w:val="217"/>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4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2.5</w:t>
            </w:r>
          </w:p>
        </w:tc>
      </w:tr>
      <w:tr>
        <w:trPr>
          <w:trHeight w:val="229"/>
        </w:trPr>
        <w:tc>
          <w:tcPr>
            <w:tcW w:w="84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0.2</w:t>
            </w:r>
          </w:p>
        </w:tc>
      </w:tr>
      <w:tr>
        <w:trPr>
          <w:trHeight w:val="229"/>
        </w:trPr>
        <w:tc>
          <w:tcPr>
            <w:tcW w:w="84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adjustment</w:t>
            </w:r>
            <w:r>
              <w:rPr>
                <w:rFonts w:ascii="Times New Roman" w:cs="Times New Roman" w:eastAsia="Times New Roman" w:hAnsi="Times New Roman"/>
                <w:sz w:val="23"/>
                <w:szCs w:val="23"/>
                <w:color w:val="auto"/>
                <w:vertAlign w:val="superscript"/>
              </w:rPr>
              <w:t>3</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0.1</w:t>
            </w:r>
          </w:p>
        </w:tc>
      </w:tr>
      <w:tr>
        <w:trPr>
          <w:trHeight w:val="230"/>
        </w:trPr>
        <w:tc>
          <w:tcPr>
            <w:tcW w:w="84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0.1</w:t>
            </w:r>
          </w:p>
        </w:tc>
      </w:tr>
      <w:tr>
        <w:trPr>
          <w:trHeight w:val="229"/>
        </w:trPr>
        <w:tc>
          <w:tcPr>
            <w:tcW w:w="848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Initial installment proceeds on the sale of corporate-owned land</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8"/>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151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ind w:left="200" w:hanging="174"/>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“Selling, general and administrative expenses” in the condensed consolidated statements of income.</w:t>
      </w:r>
    </w:p>
    <w:p>
      <w:pPr>
        <w:spacing w:after="0" w:line="2" w:lineRule="exact"/>
        <w:rPr>
          <w:rFonts w:ascii="Times New Roman" w:cs="Times New Roman" w:eastAsia="Times New Roman" w:hAnsi="Times New Roman"/>
          <w:sz w:val="18"/>
          <w:szCs w:val="18"/>
          <w:color w:val="auto"/>
        </w:rPr>
      </w:pPr>
    </w:p>
    <w:p>
      <w:pPr>
        <w:ind w:left="200" w:hanging="174"/>
        <w:spacing w:after="0" w:line="203" w:lineRule="auto"/>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Goods Sold” in the condensed consolidated statements of income.</w:t>
      </w:r>
    </w:p>
    <w:p>
      <w:pPr>
        <w:ind w:left="200" w:hanging="174"/>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(expense), net” in the condensed consolidated statements of income.</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66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850"/>
        </w:trPr>
        <w:tc>
          <w:tcPr>
            <w:tcW w:w="66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Segment Operations Review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52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Pr>
          <w:p>
            <w:pPr>
              <w:spacing w:after="0"/>
              <w:rPr>
                <w:sz w:val="20"/>
                <w:szCs w:val="20"/>
                <w:color w:val="auto"/>
              </w:rPr>
            </w:pP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40"/>
        </w:trPr>
        <w:tc>
          <w:tcPr>
            <w:tcW w:w="7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35,163</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37,918</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(7.3)%</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159,457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133,635</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127,333</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103,523</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7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11,800</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(5.2)%</w:t>
            </w:r>
          </w:p>
        </w:tc>
      </w:tr>
      <w:tr>
        <w:trPr>
          <w:trHeight w:val="229"/>
        </w:trPr>
        <w:tc>
          <w:tcPr>
            <w:tcW w:w="7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8,905</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5.4%</w:t>
            </w:r>
          </w:p>
        </w:tc>
      </w:tr>
      <w:tr>
        <w:trPr>
          <w:trHeight w:val="230"/>
        </w:trPr>
        <w:tc>
          <w:tcPr>
            <w:tcW w:w="74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5"/>
              </w:rPr>
              <w:t>4.3%</w:t>
            </w:r>
          </w:p>
        </w:tc>
      </w:tr>
      <w:tr>
        <w:trPr>
          <w:trHeight w:val="230"/>
        </w:trPr>
        <w:tc>
          <w:tcPr>
            <w:tcW w:w="748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5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54.8%</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employee-related benefit expense (income).</w:t>
      </w:r>
    </w:p>
    <w:p>
      <w:pPr>
        <w:ind w:left="180" w:hanging="154"/>
        <w:spacing w:after="0"/>
        <w:tabs>
          <w:tab w:leader="none" w:pos="1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7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sales volume by end use market for the three months ended March 31, 2026 and 2025, and the three months ended December 31,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Three Months</w:t>
            </w:r>
          </w:p>
        </w:tc>
        <w:tc>
          <w:tcPr>
            <w:tcW w:w="1500" w:type="dxa"/>
            <w:vAlign w:val="bottom"/>
            <w:tcBorders>
              <w:top w:val="single" w:sz="8" w:color="auto"/>
            </w:tcBorders>
          </w:tcPr>
          <w:p>
            <w:pPr>
              <w:spacing w:after="0"/>
              <w:rPr>
                <w:sz w:val="17"/>
                <w:szCs w:val="17"/>
                <w:color w:val="auto"/>
              </w:rPr>
            </w:pPr>
          </w:p>
        </w:tc>
      </w:tr>
      <w:tr>
        <w:trPr>
          <w:trHeight w:val="238"/>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Favorable/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March 31,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December 31,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 of lbs)</w:t>
            </w:r>
          </w:p>
        </w:tc>
        <w:tc>
          <w:tcPr>
            <w:tcW w:w="10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1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by end-use market: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Non-residential B&amp;C</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B&amp;C</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0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2026 Results vs. First Quarter 2025 Results</w:t>
      </w:r>
    </w:p>
    <w:p>
      <w:pPr>
        <w:spacing w:after="0" w:line="106" w:lineRule="exact"/>
        <w:rPr>
          <w:sz w:val="20"/>
          <w:szCs w:val="20"/>
          <w:color w:val="auto"/>
        </w:rPr>
      </w:pPr>
    </w:p>
    <w:p>
      <w:pPr>
        <w:ind w:right="60" w:firstLine="405"/>
        <w:spacing w:after="0" w:line="223" w:lineRule="exact"/>
        <w:rPr>
          <w:sz w:val="20"/>
          <w:szCs w:val="20"/>
          <w:color w:val="auto"/>
        </w:rPr>
      </w:pPr>
      <w:r>
        <w:rPr>
          <w:rFonts w:ascii="Times New Roman" w:cs="Times New Roman" w:eastAsia="Times New Roman" w:hAnsi="Times New Roman"/>
          <w:sz w:val="18"/>
          <w:szCs w:val="18"/>
          <w:color w:val="auto"/>
        </w:rPr>
        <w:t>Net sales in the first quarter of 2026 increased 19.3% versus the first quarter of 2025 primarily due to the pass-through of higher metal costs, partially offset by lower volume. Sales volume in the first quarter of 2026 decreased 7.3% versus the first quarter of 2025 and 5.4% versus the fourth quarter of 2025. The Company reported a 6% decline in nonresidential building and construction volume, driven by higher costs and ongoing economic uncertainty. Within the specialty market, electrical shipments decreased 45% following the expiration of federal tax credits for solar panels. Also in the specialty market,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shipments, representing approximately 13% of total volume, increased 70%, supported by increased demand for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and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 infrastructure. Automotive and transportation volume declined 19% as manufacturers continued to face rising cost pressures.</w:t>
      </w:r>
    </w:p>
    <w:p>
      <w:pPr>
        <w:spacing w:after="0" w:line="4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Net new orders in the first quarter of 2026 decreased 20% versus the first quarter of 2025 from an average of 3.4 million pounds per week in the first quarter of 2025 to 2.8 million pounds per week in the first quarter of 2026. The Company believes this year-over-year decline reflects both softer U.S. demand and the continued undervaluation of imported extrusions, attributed to the tariff structure associated with the increase of Section 232 tariffs on aluminum products to 50%, discussed below. Open orders at the end of the first quarter of 2026 were 19 million pounds versus 25 million pounds at the end of the first quarter of 2025 and 17 million pounds at the end of the fourth quarter of 2025. This level of open orders falls below the normalized level that is typically associated with stable demand patterns and healthy market dynamics.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right="20" w:firstLine="405"/>
        <w:spacing w:after="0" w:line="219" w:lineRule="exact"/>
        <w:rPr>
          <w:sz w:val="20"/>
          <w:szCs w:val="20"/>
          <w:color w:val="auto"/>
        </w:rPr>
      </w:pPr>
      <w:r>
        <w:rPr>
          <w:rFonts w:ascii="Times New Roman" w:cs="Times New Roman" w:eastAsia="Times New Roman" w:hAnsi="Times New Roman"/>
          <w:sz w:val="18"/>
          <w:szCs w:val="18"/>
          <w:color w:val="auto"/>
        </w:rPr>
        <w:t>Effective June 4, 2025, Section 232 tariffs on aluminum products increased to 50%, following a prior increase from 10% to 25% in March 2025, with the United Kingdom as the only exception. In April 2026, federal policymakers updated several elements of Section 232, including measures intended to close the loophole that allowed undervalued aluminum extrusions to enter the U.S. market. While these changes are expected to help restore fair competition for domestic producers, U.S. extruders have emphasized the need for clear, uniform, and predictable enforcement to avoid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market disruption. The Company continues to participate in a coalition of downstream aluminum manufacturers that engages with policymakers on issues affecting the competitiveness of the U.S. aluminum extrusion industry.</w:t>
      </w:r>
    </w:p>
    <w:p>
      <w:pPr>
        <w:spacing w:after="0" w:line="27" w:lineRule="exact"/>
        <w:rPr>
          <w:sz w:val="20"/>
          <w:szCs w:val="20"/>
          <w:color w:val="auto"/>
        </w:rPr>
      </w:pPr>
    </w:p>
    <w:p>
      <w:pPr>
        <w:ind w:right="240" w:firstLine="405"/>
        <w:spacing w:after="0" w:line="260" w:lineRule="exact"/>
        <w:rPr>
          <w:sz w:val="20"/>
          <w:szCs w:val="20"/>
          <w:color w:val="auto"/>
        </w:rPr>
      </w:pPr>
      <w:r>
        <w:rPr>
          <w:rFonts w:ascii="Times New Roman" w:cs="Times New Roman" w:eastAsia="Times New Roman" w:hAnsi="Times New Roman"/>
          <w:sz w:val="17"/>
          <w:szCs w:val="17"/>
          <w:color w:val="auto"/>
        </w:rPr>
        <w:t>Tariffs and duties continue to be passed through to customers under the Company’s metal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cost adjustment mechanism. The Company implemented additional price increases in the first quarter of 2026 and the third quarter of 2025 to offset tariff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costs not covered by that mechanism.</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2026 increased $2.5 million versus the first quarter of 2025, primarily due to:</w:t>
      </w:r>
    </w:p>
    <w:p>
      <w:pPr>
        <w:spacing w:after="0" w:line="10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contribution margin (net sales less variable costs) associated with:</w:t>
      </w:r>
    </w:p>
    <w:p>
      <w:pPr>
        <w:spacing w:after="0" w:line="90"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increases ($4.6 million) and lower manufacturing costs associated with material yield ($2.0 million favorable in the first quarter of 2026 versus $0.1 million unfavorable in the first quarter of 2025), partially offset by lower volume ($2.1 million), higher labor rates ($0.7 million), unfavorable labor productivity ($0.6 million), higher maintenance and supply expense ($0.8 million), higher freight expense ($0.4 million), higher utilities ($0.5 million), and higher die expense ($0.8 million).</w:t>
      </w:r>
    </w:p>
    <w:p>
      <w:pPr>
        <w:spacing w:after="0" w:line="58" w:lineRule="exact"/>
        <w:rPr>
          <w:rFonts w:ascii="Times New Roman" w:cs="Times New Roman" w:eastAsia="Times New Roman" w:hAnsi="Times New Roman"/>
          <w:sz w:val="18"/>
          <w:szCs w:val="18"/>
          <w:color w:val="auto"/>
        </w:rPr>
      </w:pPr>
    </w:p>
    <w:p>
      <w:pPr>
        <w:ind w:left="1300" w:right="40" w:hanging="320"/>
        <w:spacing w:after="0" w:line="261"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$2.9 million in the first quarter of 2026 versus a benefit of $1.7 million in the first quarter of 2025.</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Higher fixed costs primarily associated with wage increases ($0.5 million).</w:t>
      </w:r>
    </w:p>
    <w:p>
      <w:pPr>
        <w:spacing w:after="0" w:line="90" w:lineRule="exact"/>
        <w:rPr>
          <w:rFonts w:ascii="Times New Roman" w:cs="Times New Roman" w:eastAsia="Times New Roman" w:hAnsi="Times New Roman"/>
          <w:sz w:val="18"/>
          <w:szCs w:val="18"/>
          <w:i w:val="1"/>
          <w:iCs w:val="1"/>
          <w:color w:val="auto"/>
        </w:rPr>
      </w:pPr>
    </w:p>
    <w:p>
      <w:pPr>
        <w:ind w:left="660" w:right="3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SG&amp;A expenses primarily associated with lower employee-related compensation and lower routine environmental compliance expense ($0.5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 for employee-related medical costs associated with medical claims ($0.6 million).</w:t>
      </w:r>
    </w:p>
    <w:p>
      <w:pPr>
        <w:spacing w:after="0" w:line="10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Conflict-driven disruptions in the Strait of Hormuz beginning in March 2026 have constrained shipments and raised costs, contributing to historically low U.S. inventory levels. In response to recent geopolitical tensions in the Middle East and resulting contraction of the global aluminum market, we have proactively diversified our supply chain portfolio to support long-term stability. Through the third quarter of 2026, we have successfully transitioned nearly all of our aluminum supply previously sourced from the Middle East to North American partners. Simultaneously, we are optimizing billet casting operations at our Carthage, TN, and Newnan, GA facilities to overcome localized production constraints. These strategic shifts in our supply chain and internal capabilities continue to strengthen our operational resilience, positioning the Company to meet customer demand through 2026.</w:t>
      </w:r>
    </w:p>
    <w:p>
      <w:pPr>
        <w:spacing w:after="0" w:line="37" w:lineRule="exact"/>
        <w:rPr>
          <w:sz w:val="20"/>
          <w:szCs w:val="20"/>
          <w:color w:val="auto"/>
        </w:rPr>
      </w:pPr>
    </w:p>
    <w:p>
      <w:pPr>
        <w:ind w:right="100" w:firstLine="405"/>
        <w:spacing w:after="0" w:line="353"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 trends.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$20 million in 2026, including $4 million for productivity projects and $16 million for capital expenditures required to support continuity of operations. Depreciation expense is projected to be $14 million in 2026. Amortization expense is projected to be $2 million in 2026. The Company anticipates capital spending to increase from the levels of the past two years and return to a pattern more closely aligned with depreciation and amortization, consistent with long-term historical patterns. This approach supports ongoing maintenance and efficiency initiatives while maintaining disciplined capital allocation.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High Performance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High Performance Films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5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Pr>
          <w:p>
            <w:pPr>
              <w:spacing w:after="0"/>
              <w:rPr>
                <w:sz w:val="20"/>
                <w:szCs w:val="20"/>
                <w:color w:val="auto"/>
              </w:rPr>
            </w:pP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41"/>
        </w:trPr>
        <w:tc>
          <w:tcPr>
            <w:tcW w:w="74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2025</w:t>
            </w:r>
          </w:p>
        </w:tc>
        <w:tc>
          <w:tcPr>
            <w:tcW w:w="15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8,971</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21,533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25,537</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10,422</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7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3,471</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(0.3)%</w:t>
            </w:r>
          </w:p>
        </w:tc>
      </w:tr>
      <w:tr>
        <w:trPr>
          <w:trHeight w:val="230"/>
        </w:trPr>
        <w:tc>
          <w:tcPr>
            <w:tcW w:w="7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2,593</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74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5,074</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7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5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5"/>
              </w:rPr>
              <w:t>3.8%</w:t>
            </w:r>
          </w:p>
        </w:tc>
      </w:tr>
      <w:tr>
        <w:trPr>
          <w:trHeight w:val="230"/>
        </w:trPr>
        <w:tc>
          <w:tcPr>
            <w:tcW w:w="744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5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employee-related benefit expense (income).</w:t>
      </w:r>
    </w:p>
    <w:p>
      <w:pPr>
        <w:ind w:left="180" w:hanging="154"/>
        <w:spacing w:after="0"/>
        <w:tabs>
          <w:tab w:leader="none" w:pos="1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2026 Results vs. First Quarter 2025 Results</w:t>
      </w:r>
    </w:p>
    <w:p>
      <w:pPr>
        <w:spacing w:after="0" w:line="10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Net sales in the first quarter of 2026 decreased 15.7% versus the first quarter of 2025 due to a decrease in sales volume and unfavorable mix in surface protection films. Surface Protection sales volume decreased 17.5% in the first quarter of 2026 versus the first quarter of 2025. Sales volume for surface protection films declined in the first quarter of 2026 as expected due to a significant customer’s inventory correction and scheduled maintenance activity for another customer. Volume for advanced packaging films, which are predominantly manufactured and sold in the U.S. and used in consumer staple items, increased 5.6% in the first quarter of 2026 versus the first quarter of 2025. The top four customers comprised 87% and 91% of the net sales for High Performance Films for the first three months of 2026 and first three months of 2025, respectively.</w:t>
      </w:r>
    </w:p>
    <w:p>
      <w:pPr>
        <w:spacing w:after="0" w:line="6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Surface Protection has not experienced an adverse impact on customer demand related to tariff actions; however, the situation remains fluid and the impact on consumer electronics is uncertain.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2026 decreased $2.4 million versus the first quarter of 2025, primarily due to:</w:t>
      </w:r>
    </w:p>
    <w:p>
      <w:pPr>
        <w:spacing w:after="0" w:line="10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contribution margin of $2.4 million resulting from:</w:t>
      </w:r>
    </w:p>
    <w:p>
      <w:pPr>
        <w:spacing w:after="0" w:line="103"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 million decrease from Surface Protection associated with lower volume and unfavorable mix ($3.4 million), partially offset by cost improvements and favorable productivity ($0.6 million).</w:t>
      </w:r>
    </w:p>
    <w:p>
      <w:pPr>
        <w:spacing w:after="0" w:line="26"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increase from advanced packaging films primarily due to higher volume, favorable mix and unfavorable pricing ($0.5 million), partially offset by unfavorable productivity ($0.1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SG&amp;A expense associated with lower employee-related compensation ($0.3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loss of $0.3 million in the first quarter of 2026 versus no gain or loss in the first quarter of 2025.</w:t>
      </w:r>
    </w:p>
    <w:p>
      <w:pPr>
        <w:spacing w:after="0" w:line="90"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Although the conflict-driven disruptions in the Strait of Hormuz beginning in March 2026 have caused an increase to resin costs, High Performance Films maintains pass-through mechanisms with customers and has not experienced supply issues to date.</w:t>
      </w:r>
    </w:p>
    <w:p>
      <w:pPr>
        <w:spacing w:after="0" w:line="38" w:lineRule="exact"/>
        <w:rPr>
          <w:sz w:val="20"/>
          <w:szCs w:val="20"/>
          <w:color w:val="auto"/>
        </w:rPr>
      </w:pPr>
    </w:p>
    <w:p>
      <w:pPr>
        <w:ind w:right="900" w:firstLine="405"/>
        <w:spacing w:after="0" w:line="353"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High Performance Films are projected to be $2 million in 2026, including $1 million for productivity projects and $1 million for capital expenditures required to support continuity of current operations. Depreciation expense is projected to be $4 million in 2026. There is no amortization expense for High Performance Films.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Corporate expenses, net in the first three months of 2026 decreased $2.9 million compared to the first three months of 2025 due to lower professional fees associated with business development activities ($2.9 million). The Company does not expect significant expenses from business development activities in 2026.</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Net Sales and EBITDA from Ongoing Operations by Segment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segment financial information to consolidated results for the Company for the three months ended March 31, 2026 and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7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8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159,457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133,635</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21,533</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25,537</w:t>
            </w:r>
          </w:p>
        </w:tc>
      </w:tr>
      <w:tr>
        <w:trPr>
          <w:trHeight w:val="223"/>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180,990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159,172</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5,499</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30"/>
        </w:trPr>
        <w:tc>
          <w:tcPr>
            <w:tcW w:w="8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186,489</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164,738</w:t>
            </w:r>
          </w:p>
        </w:tc>
      </w:tr>
      <w:tr>
        <w:trPr>
          <w:trHeight w:val="257"/>
        </w:trPr>
        <w:tc>
          <w:tcPr>
            <w:tcW w:w="8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w:t>
            </w:r>
          </w:p>
        </w:tc>
      </w:tr>
      <w:tr>
        <w:trPr>
          <w:trHeight w:val="229"/>
        </w:trPr>
        <w:tc>
          <w:tcPr>
            <w:tcW w:w="87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r>
      <w:tr>
        <w:trPr>
          <w:trHeight w:val="223"/>
        </w:trPr>
        <w:tc>
          <w:tcPr>
            <w:tcW w:w="8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3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r>
      <w:tr>
        <w:trPr>
          <w:trHeight w:val="230"/>
        </w:trPr>
        <w:tc>
          <w:tcPr>
            <w:tcW w:w="87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87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23"/>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11,286</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4,835</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5,661</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r>
    </w:tbl>
    <w:p>
      <w:pPr>
        <w:spacing w:after="0" w:line="15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2025 to March 31, 2026 are summarized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$11.9 million (14.5%).</w:t>
      </w:r>
    </w:p>
    <w:p>
      <w:pPr>
        <w:spacing w:after="0" w:line="90" w:lineRule="exact"/>
        <w:rPr>
          <w:rFonts w:ascii="Times New Roman" w:cs="Times New Roman" w:eastAsia="Times New Roman" w:hAnsi="Times New Roman"/>
          <w:sz w:val="18"/>
          <w:szCs w:val="18"/>
          <w:color w:val="auto"/>
        </w:rPr>
      </w:pPr>
    </w:p>
    <w:p>
      <w:pPr>
        <w:jc w:val="both"/>
        <w:ind w:left="820" w:right="120" w:hanging="407"/>
        <w:spacing w:after="0" w:line="266" w:lineRule="auto"/>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Aluminum Extrusions increased $10.8 million primarily due to the pass-through of higher metal costs. DSO (represents trailing 12 months net sales divided by a rolling 12-month average of accounts and other receivables balances) was approximately 45.0 days for the 12 months ended March 31, 2026 and 44.8 days for the 12 months ended December 31, 2025.</w:t>
      </w:r>
    </w:p>
    <w:p>
      <w:pPr>
        <w:spacing w:after="0" w:line="54" w:lineRule="exact"/>
        <w:rPr>
          <w:rFonts w:ascii="Times New Roman" w:cs="Times New Roman" w:eastAsia="Times New Roman" w:hAnsi="Times New Roman"/>
          <w:sz w:val="18"/>
          <w:szCs w:val="18"/>
          <w:color w:val="auto"/>
        </w:rPr>
      </w:pPr>
    </w:p>
    <w:p>
      <w:pPr>
        <w:jc w:val="both"/>
        <w:ind w:left="820" w:right="100" w:hanging="407"/>
        <w:spacing w:after="0" w:line="312" w:lineRule="auto"/>
        <w:tabs>
          <w:tab w:leader="none" w:pos="81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and other receivables in High Performance Films increased $1.1 million primarily due to higher sales volume in advanced packaging films. DSO was approximately 25.9 days for the 12 months ended March 31, 2026 and 25.4 days for the 12 months ended December 31, 2025.</w:t>
      </w:r>
    </w:p>
    <w:p>
      <w:pPr>
        <w:spacing w:after="0" w:line="18"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$19.1 million (29.4%).</w:t>
      </w:r>
    </w:p>
    <w:p>
      <w:pPr>
        <w:spacing w:after="0" w:line="90" w:lineRule="exact"/>
        <w:rPr>
          <w:rFonts w:ascii="Times New Roman" w:cs="Times New Roman" w:eastAsia="Times New Roman" w:hAnsi="Times New Roman"/>
          <w:sz w:val="18"/>
          <w:szCs w:val="18"/>
          <w:color w:val="auto"/>
        </w:rPr>
      </w:pPr>
    </w:p>
    <w:p>
      <w:pPr>
        <w:ind w:left="820" w:right="120" w:hanging="407"/>
        <w:spacing w:after="0" w:line="220" w:lineRule="exact"/>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$18.9 million primarily due to increased raw material levels from seasonally low levels at the end of last year, higher metal costs and raw material stocking as a result of the geopolitical uncertainty impacting aluminum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supply chains. DIO (represents trailing 12 months costs of goods sold calculated on a FIFO basis divided by a rolling 12-month average of inventory balances calculated on the FIFO basis) was approximately 50.7 days for the 12 months ended March 31, 2026 and 48.8 days for the 12 months ended December 31, 2025.</w:t>
      </w:r>
    </w:p>
    <w:p>
      <w:pPr>
        <w:spacing w:after="0" w:line="79" w:lineRule="exact"/>
        <w:rPr>
          <w:rFonts w:ascii="Times New Roman" w:cs="Times New Roman" w:eastAsia="Times New Roman" w:hAnsi="Times New Roman"/>
          <w:sz w:val="18"/>
          <w:szCs w:val="18"/>
          <w:color w:val="auto"/>
        </w:rPr>
      </w:pPr>
    </w:p>
    <w:p>
      <w:pPr>
        <w:ind w:left="820" w:right="20" w:hanging="407"/>
        <w:spacing w:after="0" w:line="282" w:lineRule="auto"/>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High Performance Films remain consistent with prior year. DIO was approximately 55.7 days for the 12 months ended March 31, 2026 and 54.6 days for the 12 months ended December 31, 2025.</w:t>
      </w:r>
    </w:p>
    <w:p>
      <w:pPr>
        <w:spacing w:after="0" w:line="40" w:lineRule="exact"/>
        <w:rPr>
          <w:rFonts w:ascii="Times New Roman" w:cs="Times New Roman" w:eastAsia="Times New Roman" w:hAnsi="Times New Roman"/>
          <w:sz w:val="18"/>
          <w:szCs w:val="18"/>
          <w:color w:val="auto"/>
        </w:rPr>
      </w:pPr>
    </w:p>
    <w:p>
      <w:pPr>
        <w:ind w:left="420" w:hanging="412"/>
        <w:spacing w:after="0" w:line="282"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increased $0.1 million primarily due to capital expenditures of $4.9 million and favorable foreign exchange of $0.1 million, partially offset by depreciation expense of $4.9 million.</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$0.4 million (7.9%) due to amortization expense.</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$20.7 million (27.3%).</w:t>
      </w:r>
    </w:p>
    <w:p>
      <w:pPr>
        <w:spacing w:after="0" w:line="103" w:lineRule="exact"/>
        <w:rPr>
          <w:rFonts w:ascii="Times New Roman" w:cs="Times New Roman" w:eastAsia="Times New Roman" w:hAnsi="Times New Roman"/>
          <w:sz w:val="18"/>
          <w:szCs w:val="18"/>
          <w:color w:val="auto"/>
        </w:rPr>
      </w:pPr>
    </w:p>
    <w:p>
      <w:pPr>
        <w:ind w:left="820" w:right="60" w:hanging="407"/>
        <w:spacing w:after="0" w:line="220" w:lineRule="exact"/>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increased $20.1 million primarily due to increased raw material levels from seasonally low levels at the end of last year, higher metal costs and raw material stocking as a result of the geopolitical uncertainty impacting aluminum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supply chains. DPO (represents trailing 12 months costs of goods sold calculated on a FIFO basis divided by a rolling 12-month average of accounts payable balances) was approximately 47.7 days for the 12 months ended March 31, 2026 and 46.6 days for the 12 months ended December 31, 2025.</w:t>
      </w:r>
    </w:p>
    <w:p>
      <w:pPr>
        <w:spacing w:after="0" w:line="65" w:lineRule="exact"/>
        <w:rPr>
          <w:rFonts w:ascii="Times New Roman" w:cs="Times New Roman" w:eastAsia="Times New Roman" w:hAnsi="Times New Roman"/>
          <w:sz w:val="18"/>
          <w:szCs w:val="18"/>
          <w:color w:val="auto"/>
        </w:rPr>
      </w:pPr>
    </w:p>
    <w:p>
      <w:pPr>
        <w:ind w:left="820" w:right="160" w:hanging="407"/>
        <w:spacing w:after="0" w:line="266" w:lineRule="auto"/>
        <w:tabs>
          <w:tab w:leader="none" w:pos="8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High Performance Films increased $1.1 million primarily due to effective working capital management and the timing of vendor payments. DPO was approximately 39.3 days for the 12 months ended March 31, 2026 and 40.6 days for the 12 months ended December 31, 2025.</w:t>
      </w:r>
    </w:p>
    <w:p>
      <w:pPr>
        <w:spacing w:after="0" w:line="54"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$2.0 million in the first three months of 2026 compared to net cash used in operating activities of $5.0 million in the first three months of 2025. The change primarily reflects more favorable working capital movements in the first quarter of 2026 compared to the first quarter of 2025.</w:t>
      </w:r>
    </w:p>
    <w:p>
      <w:pPr>
        <w:spacing w:after="0" w:line="54"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$4.6 million in the first three months of 2026 compared to net cash provided by investing activities of $6.9 million the first three months of 2025. The change is primarily due to $9.8 million post-closing settlement proceeds associated with the sale of Terphane received in the first three months of 2025, partially offset by higher capital expenditures ($2.2 million).</w:t>
      </w:r>
    </w:p>
    <w:p>
      <w:pPr>
        <w:spacing w:after="0" w:line="41"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$11.3 million in the first three months of 2026 compared to net cash used in financing activities of $5.3 million in the first three months of 2025. The change is primarily due to higher debt borrowings, net of principal payments ($16.5 million) under the ABL Facility (as defined below) in the first three months of 2026.</w:t>
      </w:r>
    </w:p>
    <w:p>
      <w:pPr>
        <w:spacing w:after="0" w:line="5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cash and cash equivalents of $15.6 million, including cash and cash equivalents held in locations outside the U.S. of $2.6 million.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106"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Second Amended and Restated Credit Agreement (or amended, the "ABL Facility")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The maturity date of the ABL Facility is May 6, 2030. As of March 31, 2026, funds available to borrow under the ABL Facility was $76 million, or 61.0% of the aggregate commitment of $125 million. During 2025, the Company's letters of credit were reduced from approximately $12 million to $3 million, which directly increased the Company's borrowing availability.</w:t>
      </w:r>
    </w:p>
    <w:p>
      <w:pPr>
        <w:spacing w:after="0" w:line="67"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Outstanding borrowings accrue interest at the rates elected by the Company depending on the type of loan and denomination of such borrowing. With respect to revolving loans denominated in U.S. Dollars, the Company may elect interest rates at:</w:t>
      </w:r>
    </w:p>
    <w:p>
      <w:pPr>
        <w:spacing w:after="0" w:line="27" w:lineRule="exact"/>
        <w:rPr>
          <w:sz w:val="20"/>
          <w:szCs w:val="20"/>
          <w:color w:val="auto"/>
        </w:rPr>
      </w:pPr>
    </w:p>
    <w:p>
      <w:pPr>
        <w:ind w:left="660" w:right="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Base Rate (“ABR”) plus the applicable ABR Spread (as defined in the ABL Facility) determined in accordance with an excess availability-based pricing grid. ABR is defined, in part, as the greater of (a) the Prime Rate in effect on such day, (b) the Federal Reserve Bank of New York Rate in effect on such day plus one-half of 1% and (c) the Adjusted Term SOFR Rate (defined below) for a one-month period plus 1%; or</w:t>
      </w:r>
    </w:p>
    <w:p>
      <w:pPr>
        <w:spacing w:after="0" w:line="58"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Term Secured Overnight Financing Rate ("SOFR") Rate plus the applicable Term Benchmark Spread (as defined in the ABL Facility) determined in accordance with an excess availability-based pricing grid. Adjusted Term SOFR Rate is defined as the Term SOFR Rate plus 0.10%, subject to an initial Floor (as defined in the ABL Facility) of 0%.</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Based upon the quarterly average of daily availability under the ABL Facility, the interest rate pricing grid,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Term Benchmark</w:t>
            </w:r>
          </w:p>
        </w:tc>
        <w:tc>
          <w:tcPr>
            <w:tcW w:w="12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ABR</w:t>
            </w:r>
          </w:p>
        </w:tc>
      </w:tr>
      <w:tr>
        <w:trPr>
          <w:trHeight w:val="234"/>
        </w:trPr>
        <w:tc>
          <w:tcPr>
            <w:tcW w:w="73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Quarter Average of Daily Availability</w:t>
            </w:r>
          </w:p>
        </w:tc>
        <w:tc>
          <w:tcPr>
            <w:tcW w:w="2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Spread</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Spread</w:t>
            </w:r>
          </w:p>
        </w:tc>
      </w:tr>
      <w:tr>
        <w:trPr>
          <w:trHeight w:val="27"/>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&gt; 66% of $125 million aggregate commitment</w:t>
            </w:r>
          </w:p>
        </w:tc>
        <w:tc>
          <w:tcPr>
            <w:tcW w:w="2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175.0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4"/>
        </w:trPr>
        <w:tc>
          <w:tcPr>
            <w:tcW w:w="7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 66% but &gt; 33% of $125 million aggregate commitment</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
        </w:trPr>
        <w:tc>
          <w:tcPr>
            <w:tcW w:w="7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4"/>
        </w:trPr>
        <w:tc>
          <w:tcPr>
            <w:tcW w:w="73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33% of $125 million aggregate commitment</w:t>
            </w:r>
          </w:p>
        </w:tc>
        <w:tc>
          <w:tcPr>
            <w:tcW w:w="2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
        </w:trPr>
        <w:tc>
          <w:tcPr>
            <w:tcW w:w="73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5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commitment fee is (i) 0.25% if the Average Usage (as defined in the ABL Facility) is greater than or equal to 50% and (ii) 0.375% if Average Usage is less than 50%.</w:t>
      </w:r>
    </w:p>
    <w:p>
      <w:pPr>
        <w:spacing w:after="0" w:line="4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the greater of (x) 10% of the Line Cap (as defined in the ABL Facility) and (y) $10 million and will continue until availability is equal to or greater than the greater of (x) 10% of the Line Cap and (y) $10 million for 30 consecutive days, as long as no events of default are continuing.</w:t>
      </w:r>
    </w:p>
    <w:p>
      <w:pPr>
        <w:spacing w:after="0" w:line="41"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If at any time the availability under the ABL facility is less than the greater of (x) 20% of the Line Cap and (y) $20 million and until such subsequent date, if any, on which availability is greater than the greater of (x) 20% of the Line Cap and (y) $20 million for a period of thirty (30) consecutive calendar days, the Company’s current monthly reporting requirements to lenders changes to a weekly cadence.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Cash Dominion Period (as defined in the ABL Facility) is triggered when (x) availability falls below the greater of (i) 12.5% of the Line Cap and</w:t>
      </w:r>
    </w:p>
    <w:p>
      <w:pPr>
        <w:spacing w:after="0" w:line="27" w:lineRule="exact"/>
        <w:rPr>
          <w:sz w:val="20"/>
          <w:szCs w:val="20"/>
          <w:color w:val="auto"/>
        </w:rPr>
      </w:pPr>
    </w:p>
    <w:p>
      <w:pPr>
        <w:jc w:val="both"/>
        <w:ind w:right="100" w:firstLine="8"/>
        <w:spacing w:after="0" w:line="255"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million or (y) during the continuation of an event of default and continuing until (x) availability is above the greater of (i) 12.5% of the Line Cap and (ii) $12.6 million for 30 consecutive days and (y) no events of default are continuing. During a Cash Dominion Period, receipts that have not yet been applied to the ABL Facility are classified as restricted cash in the Company’s consolidated balance sheets.</w:t>
      </w:r>
    </w:p>
    <w:p>
      <w:pPr>
        <w:spacing w:after="0" w:line="64"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2024). In the event that the Company cannot certify that all conditions to the borrowing have been met, the lenders can restrict the Company’s future borrowings under the ABL Facility.</w:t>
      </w:r>
    </w:p>
    <w:p>
      <w:pPr>
        <w:spacing w:after="0" w:line="4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believes the likelihood that lenders would exercise the subjective acceleration clause whereby prohibiting future borrowings is remote.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computation of Credit EBITDA and fixed charge coverage ratio,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March 31, 2026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March 31, 2026 (in thousands):</w:t>
            </w:r>
          </w:p>
        </w:tc>
        <w:tc>
          <w:tcPr>
            <w:tcW w:w="6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30"/>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29,036</w:t>
            </w:r>
          </w:p>
        </w:tc>
      </w:tr>
      <w:tr>
        <w:trPr>
          <w:trHeight w:val="229"/>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21,499</w:t>
            </w:r>
          </w:p>
        </w:tc>
      </w:tr>
      <w:tr>
        <w:trPr>
          <w:trHeight w:val="176"/>
        </w:trPr>
        <w:tc>
          <w:tcPr>
            <w:tcW w:w="95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4"/>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related of $4,790)</w:t>
            </w: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3 “ABL Transition”)</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5)</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75"/>
        </w:trPr>
        <w:tc>
          <w:tcPr>
            <w:tcW w:w="95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59,966</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EBITDA</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59,966</w:t>
            </w: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Unfinanced capital expenditures</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w:t>
            </w:r>
          </w:p>
        </w:tc>
      </w:tr>
      <w:tr>
        <w:trPr>
          <w:trHeight w:val="229"/>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charges</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bl>
    <w:p>
      <w:pPr>
        <w:ind w:left="260" w:right="80" w:hanging="234"/>
        <w:spacing w:after="0" w:line="222" w:lineRule="auto"/>
        <w:tabs>
          <w:tab w:leader="none" w:pos="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Fixed Charge Coverage Ratio is computed as the ratio of (a) Credit EBITDA minus Unfinanced Capital Expenditures to (b)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High Performance Films Guangzhou Loan</w:t>
      </w:r>
    </w:p>
    <w:p>
      <w:pPr>
        <w:spacing w:after="0" w:line="10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October 2025, High Performance Films' business location in Guangzhou, China, Guangzhou Tredegar Film Products Co., Ltd. (“Guangzhou Tredegar”), entered into a 3.5 million Chinese Yuan, which is equivalent to $0.5 million as of March 31, 2026, unsecured revolving loan with the Industrial and Commercial Bank of China. The loan matures on October 20, 2026. The interest rate is the one-year loan prime rate published by the National Interbank Funding Center for the working day immediately preceding the drawdown date, minus 0.55%. As of October 20, 2025, the National Interbank Funding Center rate was 3.00%. The financial covenants require that the total amount of Guangzhou Tredegar’s current liabilities cannot exceed 50% of the total amount of current assets and the short-term financing amount cannot exceed 50% of Guangzhou Tredegar’s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total sales over the last 12 months. As of March 31, 2026, this loan was presented as current debt on the consolidated balance sheets.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on the ABL Facility and the High Performance Films Guangzhou Loan, see Note 7 in the Company's 2025 Form 10-K.</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 Company was in compliance with all debt covenants.</w:t>
      </w:r>
    </w:p>
    <w:p>
      <w:pPr>
        <w:spacing w:after="0" w:line="10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expenditures,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w:t>
      </w:r>
    </w:p>
    <w:p>
      <w:pPr>
        <w:spacing w:after="0" w:line="4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ABL Facility.</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High Performance Films. There is no assurance of the Company’s ability to pass through higher raw material and energy costs to its customers.</w:t>
      </w:r>
    </w:p>
    <w:p>
      <w:pPr>
        <w:spacing w:after="0" w:line="4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in this Form 10-Q for additional information.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left="20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68580</wp:posOffset>
            </wp:positionV>
            <wp:extent cx="5768975" cy="254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84455</wp:posOffset>
            </wp:positionV>
            <wp:extent cx="5768975" cy="254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19"/>
          </w:cols>
          <w:pgMar w:left="540" w:top="985" w:right="1440" w:bottom="1440" w:gutter="0" w:footer="0" w:header="0"/>
        </w:sectPr>
      </w:pPr>
    </w:p>
    <w:bookmarkStart w:id="30" w:name="page31"/>
    <w:bookmarkEnd w:id="30"/>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High Performance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28575</wp:posOffset>
            </wp:positionV>
            <wp:extent cx="5768975" cy="254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right="400"/>
        <w:spacing w:after="0" w:line="235"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IHS, Inc. In January 2023, IHS reflected a 41 cents per pound non-market adjustment based on their estimate of the growth of discounts in the prior periods. The 4th quarter 2022 average rate of $0.60 per pound is shown on a pro forma basis as if the non-market adjustment was made in the fourth quarter of 2022. In January 2026, IHS</w:t>
      </w:r>
    </w:p>
    <w:p>
      <w:pPr>
        <w:ind w:left="300" w:right="400"/>
        <w:spacing w:after="0" w:line="218" w:lineRule="auto"/>
        <w:rPr>
          <w:sz w:val="20"/>
          <w:szCs w:val="20"/>
          <w:color w:val="auto"/>
        </w:rPr>
      </w:pPr>
      <w:r>
        <w:rPr>
          <w:rFonts w:ascii="Times New Roman" w:cs="Times New Roman" w:eastAsia="Times New Roman" w:hAnsi="Times New Roman"/>
          <w:sz w:val="13"/>
          <w:szCs w:val="13"/>
          <w:color w:val="auto"/>
        </w:rPr>
        <w:t>reflected a 30 cents per pound non-market adjustment based on their estimate of the growth of discounts in the prior periods. The 4th quarter 2025 average rate of $0.54 per pound is shown on a pro forma basis as if the non-market adjustment was made in the fourth quarter of 2025.</w:t>
      </w:r>
    </w:p>
    <w:p>
      <w:pPr>
        <w:spacing w:after="0" w:line="17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price of plastic resin is driven by several factors, including supply and demand and the price of oil, ethylene and natural gas. Selling prices to customers are set considering numerous factors, including input costs, conversion costs and market forces. For a majority of its customers, High Performance Films has index-based pass-through pricing mechanisms for major raw material price fluctuations. However, changes in resin prices are not passed through for a period of 90 days. Pricing on the remainder of the business is based upon manufacturing costs and supply/demand dynamics within the markets that the Company competes.</w:t>
      </w:r>
    </w:p>
    <w:p>
      <w:pPr>
        <w:spacing w:after="0" w:line="6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Chinese Yuan in the chart below). Exports from the U.S. are generally denominated in U.S. Dollars. The Company’s foreign currency exposure on income from foreign operations relates to the Chinese Yuan.</w:t>
      </w:r>
    </w:p>
    <w:p>
      <w:pPr>
        <w:spacing w:after="0" w:line="5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High Performance Films is generally able to match the currency of its sales and costs for its product lines. Tredegar estimates that the change in the value of foreign currencies relative to the U.S. Dollar for High Performance Films had an unfavorable impact to EBITDA from ongoing operations of $0.3 million for the first quarter of 2026 compared to the same period of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color w:val="auto"/>
        </w:rPr>
        <w:t>Trends for the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March 31, 2026.</w:t>
      </w:r>
    </w:p>
    <w:p>
      <w:pPr>
        <w:spacing w:after="0" w:line="4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Based on this evaluation of our disclosure controls and procedures as of March 31, 2026, the Company's Chief Executive Officer and Chief Financial Officer concluded that, as of such date, our disclosure controls and procedures were effective.</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March 31, 2026, that has materially affected, or is reasonably likely to materially affect, its internal control over financial reporting (as defined in Rules 13a-15(f) and 15d-15(f) under the Exchange Act).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2025 Form 10-K, there are a number of risks and uncertainties that can have a material effect on the operating results of our businesses and our financial condition. There are no material updates or changes to our risk factors previously disclosed in the 2025 Form 10-K.</w:t>
      </w:r>
    </w:p>
    <w:p>
      <w:pPr>
        <w:spacing w:after="0" w:line="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and Officer Trading Arrangements</w:t>
      </w:r>
    </w:p>
    <w:p>
      <w:pPr>
        <w:spacing w:after="0" w:line="10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560" w:type="dxa"/>
            <w:vAlign w:val="bottom"/>
            <w:shd w:val="clear" w:color="auto" w:fill="CCEEFF"/>
          </w:tcPr>
          <w:p>
            <w:pPr>
              <w:spacing w:after="0"/>
              <w:rPr>
                <w:sz w:val="16"/>
                <w:szCs w:val="16"/>
                <w:color w:val="auto"/>
              </w:rPr>
            </w:pPr>
          </w:p>
        </w:tc>
        <w:tc>
          <w:tcPr>
            <w:tcW w:w="1000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Executive Retirement Agreement, General Waiver and Release, dated January 29, 2026, by and between Tredegar Corporation and John</w:t>
              </w:r>
            </w:hyperlink>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M. Steitz (filed as Exhibit 10.21 to Tredegar’s Annual Report on Form 10-K (File No. 1-10258) for the year ended December 31, 2025,</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189"/>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76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and incorporated herein by reference).</w:t>
              </w:r>
            </w:hyperlink>
          </w:p>
        </w:tc>
        <w:tc>
          <w:tcPr>
            <w:tcW w:w="698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16"/>
                <w:szCs w:val="16"/>
                <w:color w:val="auto"/>
              </w:rPr>
            </w:pPr>
          </w:p>
        </w:tc>
        <w:tc>
          <w:tcPr>
            <w:tcW w:w="100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 Sarbanes-Oxley Act of 2002.</w:t>
            </w: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00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shd w:val="clear" w:color="auto" w:fill="CCEEFF"/>
          </w:tcPr>
          <w:p>
            <w:pPr>
              <w:spacing w:after="0"/>
              <w:rPr>
                <w:sz w:val="16"/>
                <w:szCs w:val="16"/>
                <w:color w:val="auto"/>
              </w:rPr>
            </w:pPr>
          </w:p>
        </w:tc>
        <w:tc>
          <w:tcPr>
            <w:tcW w:w="100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Vice President and Chief Financial Officer of Tredegar Corporation, pursuant to Rules 13a-14(a) and 15d-14(a)</w:t>
            </w:r>
          </w:p>
        </w:tc>
      </w:tr>
      <w:tr>
        <w:trPr>
          <w:trHeight w:val="194"/>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9160" w:type="dxa"/>
            <w:vAlign w:val="bottom"/>
            <w:tcBorders>
              <w:top w:val="single" w:sz="8" w:color="0000FF"/>
              <w:bottom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8"/>
              </w:rPr>
              <w:t>promulgated under the Securities Exchange Act of 1934, as adopted pursuant to Section 302 of the Sarbanes-Oxley Act of 2002.</w:t>
            </w:r>
          </w:p>
        </w:tc>
        <w:tc>
          <w:tcPr>
            <w:tcW w:w="80" w:type="dxa"/>
            <w:vAlign w:val="bottom"/>
            <w:tcBorders>
              <w:top w:val="single" w:sz="8" w:color="CCEEFF"/>
              <w:bottom w:val="single" w:sz="8" w:color="0000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tcBorders>
              <w:top w:val="single" w:sz="8" w:color="CCEEFF"/>
            </w:tcBorders>
          </w:tcPr>
          <w:p>
            <w:pPr>
              <w:spacing w:after="0"/>
              <w:rPr>
                <w:sz w:val="16"/>
                <w:szCs w:val="16"/>
                <w:color w:val="auto"/>
              </w:rPr>
            </w:pPr>
          </w:p>
        </w:tc>
        <w:tc>
          <w:tcPr>
            <w:tcW w:w="10000" w:type="dxa"/>
            <w:vAlign w:val="bottom"/>
            <w:tcBorders>
              <w:top w:val="single" w:sz="8" w:color="CCEE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18 U.S.C. Section 1350, as adopted pursuant</w:t>
            </w: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shd w:val="clear" w:color="auto" w:fill="CCEEFF"/>
          </w:tcPr>
          <w:p>
            <w:pPr>
              <w:spacing w:after="0"/>
              <w:rPr>
                <w:sz w:val="16"/>
                <w:szCs w:val="16"/>
                <w:color w:val="auto"/>
              </w:rPr>
            </w:pPr>
          </w:p>
        </w:tc>
        <w:tc>
          <w:tcPr>
            <w:tcW w:w="100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Vice President and Chief Financial Officer of Tredegar Corporation, pursuant to 18 U.S.C. Section 1350, as adopted</w:t>
            </w:r>
          </w:p>
        </w:tc>
      </w:tr>
      <w:tr>
        <w:trPr>
          <w:trHeight w:val="190"/>
        </w:trPr>
        <w:tc>
          <w:tcPr>
            <w:tcW w:w="6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9500" w:type="dxa"/>
            <w:vAlign w:val="bottom"/>
            <w:tcBorders>
              <w:top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00" w:type="dxa"/>
            <w:vAlign w:val="bottom"/>
            <w:tcBorders>
              <w:top w:val="single" w:sz="8" w:color="CCEEFF"/>
            </w:tcBorders>
            <w:gridSpan w:val="5"/>
            <w:shd w:val="clear" w:color="auto" w:fill="CCEEFF"/>
          </w:tcPr>
          <w:p>
            <w:pPr>
              <w:spacing w:after="0"/>
              <w:rPr>
                <w:sz w:val="16"/>
                <w:szCs w:val="16"/>
                <w:color w:val="auto"/>
              </w:rPr>
            </w:pPr>
          </w:p>
        </w:tc>
      </w:tr>
      <w:tr>
        <w:trPr>
          <w:trHeight w:val="229"/>
        </w:trPr>
        <w:tc>
          <w:tcPr>
            <w:tcW w:w="6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Borders>
              <w:top w:val="single" w:sz="8" w:color="CCEEFF"/>
            </w:tcBorders>
          </w:tcPr>
          <w:p>
            <w:pPr>
              <w:spacing w:after="0"/>
              <w:rPr>
                <w:sz w:val="19"/>
                <w:szCs w:val="19"/>
                <w:color w:val="auto"/>
              </w:rPr>
            </w:pPr>
          </w:p>
        </w:tc>
        <w:tc>
          <w:tcPr>
            <w:tcW w:w="4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c>
          <w:tcPr>
            <w:tcW w:w="5700" w:type="dxa"/>
            <w:vAlign w:val="bottom"/>
            <w:tcBorders>
              <w:top w:val="single" w:sz="8" w:color="CCEEFF"/>
            </w:tcBorders>
            <w:gridSpan w:val="9"/>
          </w:tcPr>
          <w:p>
            <w:pPr>
              <w:spacing w:after="0"/>
              <w:rPr>
                <w:sz w:val="19"/>
                <w:szCs w:val="19"/>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shd w:val="clear" w:color="auto" w:fill="CCEEFF"/>
          </w:tcPr>
          <w:p>
            <w:pPr>
              <w:spacing w:after="0"/>
              <w:rPr>
                <w:sz w:val="19"/>
                <w:szCs w:val="19"/>
                <w:color w:val="auto"/>
              </w:rPr>
            </w:pPr>
          </w:p>
        </w:tc>
        <w:tc>
          <w:tcPr>
            <w:tcW w:w="100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r>
    </w:tbl>
    <w:p>
      <w:pPr>
        <w:ind w:left="1200" w:hanging="1174"/>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2026</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Arijit (Bapi) DasGupta</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Arijit (Bapi) DasGupta</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2026</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2026</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Paul Goldschmiedt</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Goldschmiedt</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Arijit (Bapi) DasGupta, certify that:</w:t>
      </w:r>
    </w:p>
    <w:p>
      <w:pPr>
        <w:spacing w:after="0" w:line="117"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Arijit (Bapi) DasGupta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Arijit (Bapi) DasGupta</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Frasier W. Brickhouse, II, certify that:</w:t>
      </w:r>
    </w:p>
    <w:p>
      <w:pPr>
        <w:spacing w:after="0" w:line="117"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Frasier W. Brickhouse,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Frasier W. Brickhouse, II</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2026 as filed with the Securities and Exchange Commission on the date hereof (the “Report”), I, Arijit (Bapi) DasGupta,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3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Arijit (Bapi) DasGupta Arijit (Bapi) DasGupta</w:t>
      </w:r>
    </w:p>
    <w:p>
      <w:pPr>
        <w:spacing w:after="0" w:line="1" w:lineRule="exact"/>
        <w:rPr>
          <w:rFonts w:ascii="Times New Roman" w:cs="Times New Roman" w:eastAsia="Times New Roman" w:hAnsi="Times New Roman"/>
          <w:sz w:val="18"/>
          <w:szCs w:val="18"/>
          <w:color w:val="auto"/>
        </w:rPr>
      </w:pPr>
    </w:p>
    <w:p>
      <w:pPr>
        <w:ind w:left="20" w:right="8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(Principal Executive Officer)</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7514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2026 as filed with the Securities and Exchange Commission on the date hereof (the “Report”), I, Frasier W. Brickhouse, II, Vice President, Chief Financial Officer and Treasurer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1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Frasier W. Brickhouse, II Frasier W. Brickhouse, II</w:t>
      </w:r>
    </w:p>
    <w:p>
      <w:pPr>
        <w:spacing w:after="0" w:line="1" w:lineRule="exact"/>
        <w:rPr>
          <w:rFonts w:ascii="Times New Roman" w:cs="Times New Roman" w:eastAsia="Times New Roman" w:hAnsi="Times New Roman"/>
          <w:sz w:val="18"/>
          <w:szCs w:val="18"/>
          <w:color w:val="auto"/>
        </w:rPr>
      </w:pPr>
    </w:p>
    <w:p>
      <w:pPr>
        <w:ind w:left="20" w:right="7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Chief Financial Officer and Treasurer (Principal Financial Officer)</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7514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lvl w:ilvl="1">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lvl w:ilvl="1">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2" Type="http://schemas.openxmlformats.org/officeDocument/2006/relationships/hyperlink" Target="https://www.sec.gov/Archives/edgar/data/850429/000162828026016665/tg-ex1021_20251231x10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2026-05-08T07:11:28Z</dcterms:created>
  <dcterms:modified xsi:type="dcterms:W3CDTF">2026-05-08T07:11:28Z</dcterms:modified>
</cp:coreProperties>
</file>