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0"/>
          <w:u w:val="single"/>
        </w:rPr>
        <w:t>1-10258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240" w:type="dxa"/>
        <w:jc w:val="center"/>
        <w:tblInd w:w="0" w:type="dxa"/>
        <w:tblLayout w:type="fixed"/>
        <w:tblCellMar>
          <w:top w:w="28" w:type="dxa"/>
          <w:left w:w="28" w:type="dxa"/>
          <w:bottom w:w="28" w:type="dxa"/>
          <w:right w:w="28" w:type="dxa"/>
        </w:tblCellMar>
      </w:tblPr>
      <w:tblGrid>
        <w:gridCol w:w="877"/>
        <w:gridCol w:w="773"/>
        <w:gridCol w:w="779"/>
        <w:gridCol w:w="109"/>
        <w:gridCol w:w="109"/>
        <w:gridCol w:w="109"/>
        <w:gridCol w:w="433"/>
        <w:gridCol w:w="433"/>
        <w:gridCol w:w="618"/>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54-1497771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271" w:type="dxa"/>
        <w:jc w:val="left"/>
        <w:tblInd w:w="0" w:type="dxa"/>
        <w:tblLayout w:type="fixed"/>
        <w:tblCellMar>
          <w:top w:w="28" w:type="dxa"/>
          <w:left w:w="28" w:type="dxa"/>
          <w:bottom w:w="28" w:type="dxa"/>
          <w:right w:w="28" w:type="dxa"/>
        </w:tblCellMar>
      </w:tblPr>
      <w:tblGrid>
        <w:gridCol w:w="558"/>
        <w:gridCol w:w="490"/>
        <w:gridCol w:w="490"/>
        <w:gridCol w:w="490"/>
        <w:gridCol w:w="490"/>
        <w:gridCol w:w="497"/>
        <w:gridCol w:w="109"/>
        <w:gridCol w:w="109"/>
        <w:gridCol w:w="109"/>
        <w:gridCol w:w="272"/>
        <w:gridCol w:w="272"/>
        <w:gridCol w:w="385"/>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Boulders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Richmond,</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23225</w:t>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pPr>
      <w:r>
        <w:rPr>
          <w:rFonts w:ascii="Times New Roman;serif" w:hAnsi="Times New Roman;serif"/>
          <w:b/>
          <w:color w:val="000000"/>
          <w:sz w:val="20"/>
        </w:rPr>
        <w:t xml:space="preserve">Registrant’s Telephone Number, Including Area Code: </w:t>
      </w:r>
      <w:r>
        <w:rPr>
          <w:rFonts w:ascii="Times New Roman;serif" w:hAnsi="Times New Roman;serif"/>
          <w:b/>
          <w:color w:val="000000"/>
          <w:sz w:val="20"/>
          <w:u w:val="single"/>
        </w:rPr>
        <w:t>(804) 330-1000</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TG</w:t>
            </w:r>
          </w:p>
        </w:tc>
        <w:tc>
          <w:tcPr>
            <w:tcW w:w="37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center"/>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44"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419"/>
        <w:gridCol w:w="419"/>
        <w:gridCol w:w="421"/>
        <w:gridCol w:w="109"/>
        <w:gridCol w:w="109"/>
        <w:gridCol w:w="109"/>
        <w:gridCol w:w="679"/>
        <w:gridCol w:w="679"/>
        <w:gridCol w:w="681"/>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45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80" w:after="12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The number of shares of Common Stock, no par value, outstanding as of July 31, 2026: 34,944,164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Tredegar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left"/>
        <w:rPr>
          <w:color w:val="000000"/>
        </w:rPr>
      </w:pPr>
      <w:r>
        <w:rPr>
          <w:color w:val="000000"/>
        </w:rPr>
        <w:t> </w:t>
      </w:r>
    </w:p>
    <w:tbl>
      <w:tblPr>
        <w:tblW w:w="8844" w:type="dxa"/>
        <w:jc w:val="left"/>
        <w:tblInd w:w="0" w:type="dxa"/>
        <w:tblLayout w:type="fixed"/>
        <w:tblCellMar>
          <w:top w:w="28" w:type="dxa"/>
          <w:left w:w="28" w:type="dxa"/>
          <w:bottom w:w="28" w:type="dxa"/>
          <w:right w:w="28" w:type="dxa"/>
        </w:tblCellMar>
      </w:tblPr>
      <w:tblGrid>
        <w:gridCol w:w="291"/>
        <w:gridCol w:w="258"/>
        <w:gridCol w:w="261"/>
        <w:gridCol w:w="2442"/>
        <w:gridCol w:w="2442"/>
        <w:gridCol w:w="2451"/>
        <w:gridCol w:w="109"/>
        <w:gridCol w:w="109"/>
        <w:gridCol w:w="109"/>
        <w:gridCol w:w="109"/>
        <w:gridCol w:w="109"/>
        <w:gridCol w:w="154"/>
      </w:tblGrid>
      <w:tr>
        <w:trPr/>
        <w:tc>
          <w:tcPr>
            <w:tcW w:w="2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3">
              <w:r>
                <w:rPr>
                  <w:rStyle w:val="InternetLink"/>
                  <w:rFonts w:ascii="Times New Roman;serif" w:hAnsi="Times New Roman;serif"/>
                  <w:b/>
                  <w:color w:val="0000FF"/>
                  <w:sz w:val="20"/>
                  <w:u w:val="singl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0">
              <w:r>
                <w:rPr>
                  <w:rStyle w:val="InternetLink"/>
                  <w:rFonts w:ascii="Times New Roman;serif" w:hAnsi="Times New Roman;serif"/>
                  <w:b/>
                  <w:color w:val="0000FF"/>
                  <w:sz w:val="20"/>
                  <w:u w:val="singl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3">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6">
              <w:r>
                <w:rPr>
                  <w:rStyle w:val="InternetLink"/>
                  <w:rFonts w:ascii="Times New Roman;serif" w:hAnsi="Times New Roman;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16">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9">
              <w:r>
                <w:rPr>
                  <w:rStyle w:val="InternetLink"/>
                  <w:rFonts w:ascii="Times New Roman;serif" w:hAnsi="Times New Roman;serif"/>
                  <w:b w:val="false"/>
                  <w:color w:val="0000FF"/>
                  <w:sz w:val="20"/>
                  <w:u w:val="single"/>
                </w:rPr>
                <w:t>Condensed Consolidated Statements of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19">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22">
              <w:r>
                <w:rPr>
                  <w:rStyle w:val="InternetLink"/>
                  <w:rFonts w:ascii="Times New Roman;serif" w:hAnsi="Times New Roman;serif"/>
                  <w:b w:val="false"/>
                  <w:color w:val="0000FF"/>
                  <w:sz w:val="20"/>
                  <w:u w:val="single"/>
                </w:rPr>
                <w:t>Condensed Consolidated Statements of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28">
              <w:r>
                <w:rPr>
                  <w:rStyle w:val="InternetLink"/>
                  <w:rFonts w:ascii="Times New Roman;serif" w:hAnsi="Times New Roman;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28">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31">
              <w:r>
                <w:rPr>
                  <w:rStyle w:val="InternetLink"/>
                  <w:rFonts w:ascii="Times New Roman;serif" w:hAnsi="Times New Roman;serif"/>
                  <w:b w:val="false"/>
                  <w:color w:val="0000FF"/>
                  <w:sz w:val="20"/>
                  <w:u w:val="single"/>
                </w:rPr>
                <w:t>Condensed Consolidated Statements of Shareholders'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31">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37">
              <w:r>
                <w:rPr>
                  <w:rStyle w:val="InternetLink"/>
                  <w:rFonts w:ascii="Times New Roman;serif" w:hAnsi="Times New Roman;serif"/>
                  <w:b w:val="false"/>
                  <w:color w:val="0000FF"/>
                  <w:sz w:val="20"/>
                  <w:u w:val="single"/>
                </w:rPr>
                <w:t>Notes to the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37">
              <w:r>
                <w:rPr>
                  <w:rStyle w:val="InternetLink"/>
                  <w:rFonts w:ascii="Times New Roman;serif" w:hAnsi="Times New Roman;serif"/>
                  <w:b w:val="false"/>
                  <w:color w:val="0000FF"/>
                  <w:sz w:val="20"/>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82">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82">
              <w:r>
                <w:rPr>
                  <w:rStyle w:val="InternetLink"/>
                  <w:rFonts w:ascii="Times New Roman;serif" w:hAnsi="Times New Roman;serif"/>
                  <w:b w:val="false"/>
                  <w:color w:val="0000FF"/>
                  <w:sz w:val="20"/>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12">
              <w:r>
                <w:rPr>
                  <w:rStyle w:val="InternetLink"/>
                  <w:rFonts w:ascii="Times New Roman;serif" w:hAnsi="Times New Roman;serif"/>
                  <w:b w:val="false"/>
                  <w:color w:val="0000FF"/>
                  <w:sz w:val="20"/>
                  <w:u w:val="single"/>
                </w:rPr>
                <w:t>Item 3</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12">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112">
              <w:r>
                <w:rPr>
                  <w:rStyle w:val="InternetLink"/>
                  <w:rFonts w:ascii="Times New Roman;serif" w:hAnsi="Times New Roman;serif"/>
                  <w:b w:val="false"/>
                  <w:color w:val="0000FF"/>
                  <w:sz w:val="20"/>
                  <w:u w:val="single"/>
                </w:rPr>
                <w:t>36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1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15">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115">
              <w:r>
                <w:rPr>
                  <w:rStyle w:val="InternetLink"/>
                  <w:rFonts w:ascii="Times New Roman;serif" w:hAnsi="Times New Roman;serif"/>
                  <w:b w:val="false"/>
                  <w:color w:val="0000FF"/>
                  <w:sz w:val="20"/>
                  <w:u w:val="single"/>
                </w:rPr>
                <w:t>39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18">
              <w:r>
                <w:rPr>
                  <w:rStyle w:val="InternetLink"/>
                  <w:rFonts w:ascii="Times New Roman;serif" w:hAnsi="Times New Roman;serif"/>
                  <w:b/>
                  <w:color w:val="0000FF"/>
                  <w:sz w:val="20"/>
                  <w:u w:val="singl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18">
              <w:r>
                <w:rPr>
                  <w:rStyle w:val="InternetLink"/>
                  <w:rFonts w:ascii="Times New Roman;serif" w:hAnsi="Times New Roman;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21">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21">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121">
              <w:r>
                <w:rPr>
                  <w:rStyle w:val="InternetLink"/>
                  <w:rFonts w:ascii="Times New Roman;serif" w:hAnsi="Times New Roman;serif"/>
                  <w:b w:val="false"/>
                  <w:color w:val="0000FF"/>
                  <w:sz w:val="20"/>
                  <w:u w:val="single"/>
                </w:rPr>
                <w:t>39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24">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24">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124">
              <w:r>
                <w:rPr>
                  <w:rStyle w:val="InternetLink"/>
                  <w:rFonts w:ascii="Times New Roman;serif" w:hAnsi="Times New Roman;serif"/>
                  <w:b w:val="false"/>
                  <w:color w:val="0000FF"/>
                  <w:sz w:val="20"/>
                  <w:u w:val="single"/>
                </w:rPr>
                <w:t>39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27">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a1cea942cf47be881b0cddaee48014_127">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a1cea942cf47be881b0cddaee48014_127">
              <w:r>
                <w:rPr>
                  <w:rStyle w:val="InternetLink"/>
                  <w:rFonts w:ascii="Times New Roman;serif" w:hAnsi="Times New Roman;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PART I - FINANCIAL INFORMATION</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9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349"/>
        <w:gridCol w:w="2316"/>
        <w:gridCol w:w="211"/>
        <w:gridCol w:w="826"/>
        <w:gridCol w:w="109"/>
        <w:gridCol w:w="109"/>
        <w:gridCol w:w="109"/>
        <w:gridCol w:w="109"/>
        <w:gridCol w:w="217"/>
        <w:gridCol w:w="850"/>
        <w:gridCol w:w="160"/>
      </w:tblGrid>
      <w:tr>
        <w:trPr/>
        <w:tc>
          <w:tcPr>
            <w:tcW w:w="284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recoverable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short-term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ABL revolving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obligations,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(authorized shares 150,000,000, issued and outstanding 34,925,717 shares at June 30, 2026 and 34,737,534 shares at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held in trust for savings restoration plan (118,542 shares at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412,925 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371,372 </w:t>
            </w:r>
          </w:p>
        </w:tc>
        <w:tc>
          <w:tcPr>
            <w:tcW w:w="16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78"/>
        <w:gridCol w:w="1402"/>
        <w:gridCol w:w="141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7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and other items: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345,229 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costs associated with exit and disposal activities, net of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1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20"/>
        <w:gridCol w:w="2468"/>
        <w:gridCol w:w="2442"/>
        <w:gridCol w:w="232"/>
        <w:gridCol w:w="679"/>
        <w:gridCol w:w="120"/>
        <w:gridCol w:w="120"/>
        <w:gridCol w:w="120"/>
        <w:gridCol w:w="120"/>
        <w:gridCol w:w="232"/>
        <w:gridCol w:w="679"/>
        <w:gridCol w:w="173"/>
      </w:tblGrid>
      <w:tr>
        <w:trPr/>
        <w:tc>
          <w:tcPr>
            <w:tcW w:w="2820"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7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7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translation adjustment ($0 tax in 2026 and 2025)</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adjustment (net of tax benefit of $406 in 2026 and net of tax expense of $171 in 2025)</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and net gains or losses (net of tax expense of $1 in 2026 and net of tax benefit of $14 in 2025)</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7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6"/>
        <w:gridCol w:w="2475"/>
        <w:gridCol w:w="2449"/>
        <w:gridCol w:w="211"/>
        <w:gridCol w:w="721"/>
        <w:gridCol w:w="109"/>
        <w:gridCol w:w="109"/>
        <w:gridCol w:w="109"/>
        <w:gridCol w:w="109"/>
        <w:gridCol w:w="211"/>
        <w:gridCol w:w="721"/>
        <w:gridCol w:w="155"/>
      </w:tblGrid>
      <w:tr>
        <w:trPr/>
        <w:tc>
          <w:tcPr>
            <w:tcW w:w="2826"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translation adjustment ($0 tax in 2026 and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adjustment (net of tax benefit of $161 in 2026 and net of tax expense of $103 in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and net gains or losses (net of tax benefit of $18 in 2026 and net of tax benefit of $38 in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939" w:type="dxa"/>
        <w:jc w:val="center"/>
        <w:tblInd w:w="0" w:type="dxa"/>
        <w:tblLayout w:type="fixed"/>
        <w:tblCellMar>
          <w:top w:w="28" w:type="dxa"/>
          <w:left w:w="28" w:type="dxa"/>
          <w:bottom w:w="28" w:type="dxa"/>
          <w:right w:w="28" w:type="dxa"/>
        </w:tblCellMar>
      </w:tblPr>
      <w:tblGrid>
        <w:gridCol w:w="1622"/>
        <w:gridCol w:w="1427"/>
        <w:gridCol w:w="1436"/>
        <w:gridCol w:w="211"/>
        <w:gridCol w:w="721"/>
        <w:gridCol w:w="109"/>
        <w:gridCol w:w="109"/>
        <w:gridCol w:w="109"/>
        <w:gridCol w:w="109"/>
        <w:gridCol w:w="211"/>
        <w:gridCol w:w="72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noncash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right-of-use leased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post-retirement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divested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recoverable/payable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Terphane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principal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changes in shareholders’ equity for the three month period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4"/>
        <w:gridCol w:w="479"/>
        <w:gridCol w:w="483"/>
        <w:gridCol w:w="222"/>
        <w:gridCol w:w="759"/>
        <w:gridCol w:w="114"/>
        <w:gridCol w:w="109"/>
        <w:gridCol w:w="109"/>
        <w:gridCol w:w="109"/>
        <w:gridCol w:w="225"/>
        <w:gridCol w:w="882"/>
        <w:gridCol w:w="116"/>
        <w:gridCol w:w="109"/>
        <w:gridCol w:w="109"/>
        <w:gridCol w:w="109"/>
        <w:gridCol w:w="302"/>
        <w:gridCol w:w="904"/>
        <w:gridCol w:w="156"/>
        <w:gridCol w:w="109"/>
        <w:gridCol w:w="109"/>
        <w:gridCol w:w="109"/>
        <w:gridCol w:w="418"/>
        <w:gridCol w:w="1223"/>
        <w:gridCol w:w="218"/>
        <w:gridCol w:w="109"/>
        <w:gridCol w:w="109"/>
        <w:gridCol w:w="109"/>
        <w:gridCol w:w="255"/>
        <w:gridCol w:w="1001"/>
        <w:gridCol w:w="196"/>
      </w:tblGrid>
      <w:tr>
        <w:trPr/>
        <w:tc>
          <w:tcPr>
            <w:tcW w:w="9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 Savings Restoration 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April 1, 2026</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and net gains or losses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employee common stock for tax withholdings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65,755 </w:t>
            </w:r>
          </w:p>
        </w:tc>
        <w:tc>
          <w:tcPr>
            <w:tcW w:w="1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158,566 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5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21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228,566 </w:t>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changes in shareholders’ equity for the six month period ended June 30, 2026: </w:t>
      </w:r>
    </w:p>
    <w:tbl>
      <w:tblPr>
        <w:tblW w:w="10205" w:type="dxa"/>
        <w:jc w:val="left"/>
        <w:tblInd w:w="0" w:type="dxa"/>
        <w:tblLayout w:type="fixed"/>
        <w:tblCellMar>
          <w:top w:w="28" w:type="dxa"/>
          <w:left w:w="28" w:type="dxa"/>
          <w:bottom w:w="28" w:type="dxa"/>
          <w:right w:w="28" w:type="dxa"/>
        </w:tblCellMar>
      </w:tblPr>
      <w:tblGrid>
        <w:gridCol w:w="1139"/>
        <w:gridCol w:w="726"/>
        <w:gridCol w:w="732"/>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405"/>
        <w:gridCol w:w="1183"/>
        <w:gridCol w:w="211"/>
        <w:gridCol w:w="109"/>
        <w:gridCol w:w="109"/>
        <w:gridCol w:w="109"/>
        <w:gridCol w:w="223"/>
        <w:gridCol w:w="874"/>
        <w:gridCol w:w="166"/>
      </w:tblGrid>
      <w:tr>
        <w:trPr/>
        <w:tc>
          <w:tcPr>
            <w:tcW w:w="113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2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employee common stock for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158,566 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228,566 </w:t>
            </w:r>
          </w:p>
        </w:tc>
        <w:tc>
          <w:tcPr>
            <w:tcW w:w="1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left"/>
        <w:rPr/>
      </w:pPr>
      <w:r>
        <w:rPr/>
      </w:r>
    </w:p>
    <w:p>
      <w:pPr>
        <w:pStyle w:val="TextBody"/>
        <w:bidi w:val="0"/>
        <w:spacing w:lineRule="auto" w:line="288" w:before="12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changes in shareholders’ equity for the three month period ended June 30, 2025: </w:t>
      </w:r>
    </w:p>
    <w:tbl>
      <w:tblPr>
        <w:tblW w:w="10205" w:type="dxa"/>
        <w:jc w:val="left"/>
        <w:tblInd w:w="0" w:type="dxa"/>
        <w:tblLayout w:type="fixed"/>
        <w:tblCellMar>
          <w:top w:w="28" w:type="dxa"/>
          <w:left w:w="28" w:type="dxa"/>
          <w:bottom w:w="28" w:type="dxa"/>
          <w:right w:w="28" w:type="dxa"/>
        </w:tblCellMar>
      </w:tblPr>
      <w:tblGrid>
        <w:gridCol w:w="1139"/>
        <w:gridCol w:w="726"/>
        <w:gridCol w:w="732"/>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405"/>
        <w:gridCol w:w="1183"/>
        <w:gridCol w:w="211"/>
        <w:gridCol w:w="109"/>
        <w:gridCol w:w="109"/>
        <w:gridCol w:w="109"/>
        <w:gridCol w:w="223"/>
        <w:gridCol w:w="874"/>
        <w:gridCol w:w="166"/>
      </w:tblGrid>
      <w:tr>
        <w:trPr/>
        <w:tc>
          <w:tcPr>
            <w:tcW w:w="113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2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191,370 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employee common stock for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125,244 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1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changes in shareholders’ equity for the six month period ended June 30, 2025: </w:t>
      </w:r>
    </w:p>
    <w:tbl>
      <w:tblPr>
        <w:tblW w:w="10205" w:type="dxa"/>
        <w:jc w:val="left"/>
        <w:tblInd w:w="0" w:type="dxa"/>
        <w:tblLayout w:type="fixed"/>
        <w:tblCellMar>
          <w:top w:w="28" w:type="dxa"/>
          <w:left w:w="28" w:type="dxa"/>
          <w:bottom w:w="28" w:type="dxa"/>
          <w:right w:w="28" w:type="dxa"/>
        </w:tblCellMar>
      </w:tblPr>
      <w:tblGrid>
        <w:gridCol w:w="1139"/>
        <w:gridCol w:w="726"/>
        <w:gridCol w:w="732"/>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405"/>
        <w:gridCol w:w="1183"/>
        <w:gridCol w:w="211"/>
        <w:gridCol w:w="109"/>
        <w:gridCol w:w="109"/>
        <w:gridCol w:w="109"/>
        <w:gridCol w:w="223"/>
        <w:gridCol w:w="874"/>
        <w:gridCol w:w="166"/>
      </w:tblGrid>
      <w:tr>
        <w:trPr/>
        <w:tc>
          <w:tcPr>
            <w:tcW w:w="113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2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employee common stock for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125,244 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1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Tredegar Corporation is engaged, through its subsidiaries, in the manufacture of aluminum extrusions and polyethylene and polypropylene plastic films. Unless the context requires otherwise, all references herein to “Tredegar,” “the Company,” “we,” “us” or “our” are to Tredegar Corporation and its consolidated subsidiaries. In the opinion of management, the accompanying condensed consolidated financial statements of the Company contain all adjustments necessary to state fairly, in all material respects, Tredegar’s condensed consolidated financial position as of June 30, 2026, the condensed consolidated results of operations for the three and six months ended June 30, 2026 and 2025, the condensed consolidated cash flows for the six months ended June 30, 2026 and 2025, and the condensed consolidated changes in shareholders’ equity for the three and six months ended June 30, 2026 and 2025, in accordance with U.S. generally accepted accounting principles (“GAAP”). All such adjustments, unless otherwise detailed in the notes to the condensed consolidated financial statements, are deemed to be of a normal, recurring nature.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on a calendar fiscal year except for the Aluminum Extrusions segment, which operates on a 52/53-week fiscal year basis.  As such, the fiscal second quarter for 2026 and 2025 for this segment references 13-week periods ended June 28, 2026 and June 29, 2025,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As a result, the Company’s prepaid and other current assets increased by $5.7 million as of December 31, 2025 since the Company made payments to the Aluminum Extrusions segment to fund its payroll during the intervening period between December 28, 2025 and December 31, 2025. There was no intercompany funding with Aluminum Extrusions between June 28, 2026 and June 30, 2026.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as of December 31, 2025 that is included herein was derived from the audited consolidated financial statements provided in the Company’s Annual Report on Form 10-K for the year ended December 31, 2025 (“2025 Form 10-K”) but does not include all disclosures required by GAAP. These financial statements should be read in conjunction with the audited consolidated financial statements and related notes included in the 2025 Form 10-K.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to be expected for the full year.</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renamed the segment formerly known as “PE Films.” This segment is now referred to as “High Performance Films.” The product previously known as polyethylene overwrap films was renamed to advanced packaging films. There were no changes to the operations reported within the High Performance Films segment. The Company continues to have two reportable segments: Aluminum Extrusions and High Performance Films. More information on the Company’s business segments is provided in Note 9.</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Sale of Flexible Packaging Films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1, 2024, the Company completed the sale of its flexible packaging films business (also referred to as “Terphane”) headquartered in Brazil to Oben Group (“Oben”). Commencing in the fourth quarter of 2024, all historical results for Terphane have been presented as discontinued operations. For more information on this transaction, see Note 10.</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to improve the disclosures about public business entity’s expenses and address requests from investors for more detailed information about the types of expenses in commonly presented expense captions. The amendments in this ASU will require the Company to disclose specified information about certain costs and expenses in the notes to the financial statements. This ASU is effective for annual periods beginning after December 15,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and interim periods beginning after December 15, 2027. Early adoption is permitted. The Company is currently evaluating the impact of this standard on our consolidated financial statements and related disclosures.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does not expect a material impact from the adoption of this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2. ACCOUNTS AND OTHER RECEIVABLES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accounts and other receivables, net include the following:</w:t>
      </w:r>
    </w:p>
    <w:tbl>
      <w:tblPr>
        <w:tblW w:w="6744" w:type="dxa"/>
        <w:jc w:val="left"/>
        <w:tblInd w:w="0" w:type="dxa"/>
        <w:tblLayout w:type="fixed"/>
        <w:tblCellMar>
          <w:top w:w="28" w:type="dxa"/>
          <w:left w:w="28" w:type="dxa"/>
          <w:bottom w:w="28" w:type="dxa"/>
          <w:right w:w="28" w:type="dxa"/>
        </w:tblCellMar>
      </w:tblPr>
      <w:tblGrid>
        <w:gridCol w:w="1247"/>
        <w:gridCol w:w="1098"/>
        <w:gridCol w:w="1104"/>
        <w:gridCol w:w="252"/>
        <w:gridCol w:w="862"/>
        <w:gridCol w:w="130"/>
        <w:gridCol w:w="109"/>
        <w:gridCol w:w="109"/>
        <w:gridCol w:w="109"/>
        <w:gridCol w:w="335"/>
        <w:gridCol w:w="1145"/>
        <w:gridCol w:w="24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4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receivables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80,027 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accounts and other receivables</w:t>
            </w:r>
          </w:p>
        </w:tc>
        <w:tc>
          <w:tcPr>
            <w:tcW w:w="11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82,122 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and other receivables, net</w:t>
            </w:r>
          </w:p>
        </w:tc>
        <w:tc>
          <w:tcPr>
            <w:tcW w:w="2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97,451 </w:t>
            </w:r>
          </w:p>
        </w:tc>
        <w:tc>
          <w:tcPr>
            <w:tcW w:w="1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81,811 </w:t>
            </w:r>
          </w:p>
        </w:tc>
        <w:tc>
          <w:tcPr>
            <w:tcW w:w="24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w:t>
      </w:r>
    </w:p>
    <w:tbl>
      <w:tblPr>
        <w:tblW w:w="5484" w:type="dxa"/>
        <w:jc w:val="left"/>
        <w:tblInd w:w="0" w:type="dxa"/>
        <w:tblLayout w:type="fixed"/>
        <w:tblCellMar>
          <w:top w:w="28" w:type="dxa"/>
          <w:left w:w="28" w:type="dxa"/>
          <w:bottom w:w="28" w:type="dxa"/>
          <w:right w:w="28" w:type="dxa"/>
        </w:tblCellMar>
      </w:tblPr>
      <w:tblGrid>
        <w:gridCol w:w="791"/>
        <w:gridCol w:w="696"/>
        <w:gridCol w:w="702"/>
        <w:gridCol w:w="252"/>
        <w:gridCol w:w="862"/>
        <w:gridCol w:w="130"/>
        <w:gridCol w:w="109"/>
        <w:gridCol w:w="109"/>
        <w:gridCol w:w="109"/>
        <w:gridCol w:w="335"/>
        <w:gridCol w:w="1145"/>
        <w:gridCol w:w="244"/>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supplies and other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88,081 </w:t>
            </w:r>
          </w:p>
        </w:tc>
        <w:tc>
          <w:tcPr>
            <w:tcW w:w="1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64,962 </w:t>
            </w:r>
          </w:p>
        </w:tc>
        <w:tc>
          <w:tcPr>
            <w:tcW w:w="24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4. PENSION AND OTHER POSTRETIREMENT BENEFITS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total pre-tax pension settlement loss of $92.3 million.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and six months ended June 30, 2026 and 2025.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providing non-qualified supplemental pension benefits, the Company provides postretirement life insurance and health care benefits ("Other Post-Retirement Benefits") for certain groups of employees. Tredegar and retirees share in the costs with employees hired on or before January 1, 1993, who receive a fixed subsidy to cover a portion of their health care premiums.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Tredegar terminated the Other Post-Retirement Benefits by prefunding $0.1 million, representing all required contributions for the remainder of 2025. As of September 30, 2025, the Other Post-Retirement Benefits total obligation and unrecognized pre-tax actuarial gain reported in the condensed consolidated balance sheets was $5.0 million and $1.3 million, respectively, which was realized into the income statement during the fourth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benefit cost for the pension and Other Post-Retirement Benefits reflected in the condensed consolidated statements of income for the three and six months ended June 30, 2026 and 2025, are shown below: </w:t>
      </w:r>
    </w:p>
    <w:tbl>
      <w:tblPr>
        <w:tblW w:w="10205" w:type="dxa"/>
        <w:jc w:val="left"/>
        <w:tblInd w:w="0" w:type="dxa"/>
        <w:tblLayout w:type="fixed"/>
        <w:tblCellMar>
          <w:top w:w="28" w:type="dxa"/>
          <w:left w:w="28" w:type="dxa"/>
          <w:bottom w:w="28" w:type="dxa"/>
          <w:right w:w="28" w:type="dxa"/>
        </w:tblCellMar>
      </w:tblPr>
      <w:tblGrid>
        <w:gridCol w:w="1808"/>
        <w:gridCol w:w="1593"/>
        <w:gridCol w:w="1585"/>
        <w:gridCol w:w="281"/>
        <w:gridCol w:w="542"/>
        <w:gridCol w:w="145"/>
        <w:gridCol w:w="145"/>
        <w:gridCol w:w="145"/>
        <w:gridCol w:w="145"/>
        <w:gridCol w:w="281"/>
        <w:gridCol w:w="542"/>
        <w:gridCol w:w="145"/>
        <w:gridCol w:w="109"/>
        <w:gridCol w:w="109"/>
        <w:gridCol w:w="109"/>
        <w:gridCol w:w="316"/>
        <w:gridCol w:w="610"/>
        <w:gridCol w:w="163"/>
        <w:gridCol w:w="163"/>
        <w:gridCol w:w="163"/>
        <w:gridCol w:w="163"/>
        <w:gridCol w:w="316"/>
        <w:gridCol w:w="384"/>
        <w:gridCol w:w="243"/>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9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Post-Retirement Benefits</w:t>
            </w:r>
          </w:p>
        </w:tc>
      </w:tr>
      <w:tr>
        <w:trPr/>
        <w:tc>
          <w:tcPr>
            <w:tcW w:w="4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4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(gains) losses and net transition asset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51"/>
        <w:gridCol w:w="1630"/>
        <w:gridCol w:w="1624"/>
        <w:gridCol w:w="264"/>
        <w:gridCol w:w="510"/>
        <w:gridCol w:w="136"/>
        <w:gridCol w:w="136"/>
        <w:gridCol w:w="136"/>
        <w:gridCol w:w="136"/>
        <w:gridCol w:w="264"/>
        <w:gridCol w:w="510"/>
        <w:gridCol w:w="136"/>
        <w:gridCol w:w="109"/>
        <w:gridCol w:w="109"/>
        <w:gridCol w:w="109"/>
        <w:gridCol w:w="294"/>
        <w:gridCol w:w="566"/>
        <w:gridCol w:w="151"/>
        <w:gridCol w:w="151"/>
        <w:gridCol w:w="151"/>
        <w:gridCol w:w="151"/>
        <w:gridCol w:w="294"/>
        <w:gridCol w:w="554"/>
        <w:gridCol w:w="233"/>
      </w:tblGrid>
      <w:tr>
        <w:trPr/>
        <w:tc>
          <w:tcPr>
            <w:tcW w:w="185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Post-Retirement Benefits</w:t>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(gains) losses and net transition asset</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6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3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Pension and other postretirement liabilities were $1.5 million and $1.4 million at June 30, 2026 and December 31, 2025, respectively ($0.2 million included in “Accrued expenses” at June 30, 2026 and December 31, 2025 with the remainder included in “Pension and other postretirement benefit obligations, net”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 </w:t>
      </w:r>
    </w:p>
    <w:tbl>
      <w:tblPr>
        <w:tblW w:w="10205" w:type="dxa"/>
        <w:jc w:val="left"/>
        <w:tblInd w:w="0" w:type="dxa"/>
        <w:tblLayout w:type="fixed"/>
        <w:tblCellMar>
          <w:top w:w="28" w:type="dxa"/>
          <w:left w:w="28" w:type="dxa"/>
          <w:bottom w:w="28" w:type="dxa"/>
          <w:right w:w="28" w:type="dxa"/>
        </w:tblCellMar>
      </w:tblPr>
      <w:tblGrid>
        <w:gridCol w:w="1721"/>
        <w:gridCol w:w="1492"/>
        <w:gridCol w:w="1489"/>
        <w:gridCol w:w="485"/>
        <w:gridCol w:w="266"/>
        <w:gridCol w:w="223"/>
        <w:gridCol w:w="223"/>
        <w:gridCol w:w="223"/>
        <w:gridCol w:w="223"/>
        <w:gridCol w:w="485"/>
        <w:gridCol w:w="266"/>
        <w:gridCol w:w="223"/>
        <w:gridCol w:w="109"/>
        <w:gridCol w:w="109"/>
        <w:gridCol w:w="109"/>
        <w:gridCol w:w="437"/>
        <w:gridCol w:w="284"/>
        <w:gridCol w:w="205"/>
        <w:gridCol w:w="205"/>
        <w:gridCol w:w="205"/>
        <w:gridCol w:w="205"/>
        <w:gridCol w:w="437"/>
        <w:gridCol w:w="284"/>
        <w:gridCol w:w="297"/>
      </w:tblGrid>
      <w:tr>
        <w:trPr/>
        <w:tc>
          <w:tcPr>
            <w:tcW w:w="172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702"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to compute basic earnings per share</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dilutive shares attributable to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share</w:t>
            </w:r>
          </w:p>
        </w:tc>
        <w:tc>
          <w:tcPr>
            <w:tcW w:w="751"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22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22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34,771 </w:t>
            </w:r>
          </w:p>
        </w:tc>
        <w:tc>
          <w:tcPr>
            <w:tcW w:w="205"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29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Incremental shares attributable to stock options are computed under the treasury stock method using the average market price during the related period. Average out-of-the-money options to purchase shares that were excluded from the calculation of incremental shares attributable to stock options were 1,072,073 and 1,116,417 for the three and six months ended June 30, 2026, respectively. Average out-of-the-money options to purchase shares that were excluded from the calculation of incremental shares attributable to stock options were 1,245,367 and 1,285,628 for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6. ACCUMULATED OTHER COMPREHENSIVE INCOME (LOSS)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three months ended June 30, 2026.</w:t>
      </w:r>
    </w:p>
    <w:tbl>
      <w:tblPr>
        <w:tblW w:w="10205" w:type="dxa"/>
        <w:jc w:val="left"/>
        <w:tblInd w:w="0" w:type="dxa"/>
        <w:tblLayout w:type="fixed"/>
        <w:tblCellMar>
          <w:top w:w="28" w:type="dxa"/>
          <w:left w:w="28" w:type="dxa"/>
          <w:bottom w:w="28" w:type="dxa"/>
          <w:right w:w="28" w:type="dxa"/>
        </w:tblCellMar>
      </w:tblPr>
      <w:tblGrid>
        <w:gridCol w:w="833"/>
        <w:gridCol w:w="593"/>
        <w:gridCol w:w="596"/>
        <w:gridCol w:w="310"/>
        <w:gridCol w:w="907"/>
        <w:gridCol w:w="162"/>
        <w:gridCol w:w="109"/>
        <w:gridCol w:w="109"/>
        <w:gridCol w:w="109"/>
        <w:gridCol w:w="390"/>
        <w:gridCol w:w="1143"/>
        <w:gridCol w:w="205"/>
        <w:gridCol w:w="109"/>
        <w:gridCol w:w="109"/>
        <w:gridCol w:w="109"/>
        <w:gridCol w:w="496"/>
        <w:gridCol w:w="1132"/>
        <w:gridCol w:w="257"/>
        <w:gridCol w:w="109"/>
        <w:gridCol w:w="109"/>
        <w:gridCol w:w="109"/>
        <w:gridCol w:w="470"/>
        <w:gridCol w:w="1377"/>
        <w:gridCol w:w="353"/>
      </w:tblGrid>
      <w:tr>
        <w:trPr/>
        <w:tc>
          <w:tcPr>
            <w:tcW w:w="83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2026</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0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5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3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six months ended June 30, 2026.</w:t>
      </w:r>
    </w:p>
    <w:tbl>
      <w:tblPr>
        <w:tblW w:w="10205" w:type="dxa"/>
        <w:jc w:val="left"/>
        <w:tblInd w:w="0" w:type="dxa"/>
        <w:tblLayout w:type="fixed"/>
        <w:tblCellMar>
          <w:top w:w="28" w:type="dxa"/>
          <w:left w:w="28" w:type="dxa"/>
          <w:bottom w:w="28" w:type="dxa"/>
          <w:right w:w="28" w:type="dxa"/>
        </w:tblCellMar>
      </w:tblPr>
      <w:tblGrid>
        <w:gridCol w:w="834"/>
        <w:gridCol w:w="592"/>
        <w:gridCol w:w="596"/>
        <w:gridCol w:w="310"/>
        <w:gridCol w:w="907"/>
        <w:gridCol w:w="162"/>
        <w:gridCol w:w="109"/>
        <w:gridCol w:w="109"/>
        <w:gridCol w:w="109"/>
        <w:gridCol w:w="390"/>
        <w:gridCol w:w="1143"/>
        <w:gridCol w:w="205"/>
        <w:gridCol w:w="109"/>
        <w:gridCol w:w="109"/>
        <w:gridCol w:w="109"/>
        <w:gridCol w:w="496"/>
        <w:gridCol w:w="1132"/>
        <w:gridCol w:w="257"/>
        <w:gridCol w:w="109"/>
        <w:gridCol w:w="109"/>
        <w:gridCol w:w="109"/>
        <w:gridCol w:w="470"/>
        <w:gridCol w:w="1377"/>
        <w:gridCol w:w="353"/>
      </w:tblGrid>
      <w:tr>
        <w:trPr/>
        <w:tc>
          <w:tcPr>
            <w:tcW w:w="83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0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5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3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three months ended June 30, 2025.</w:t>
      </w:r>
    </w:p>
    <w:tbl>
      <w:tblPr>
        <w:tblW w:w="10205" w:type="dxa"/>
        <w:jc w:val="left"/>
        <w:tblInd w:w="0" w:type="dxa"/>
        <w:tblLayout w:type="fixed"/>
        <w:tblCellMar>
          <w:top w:w="28" w:type="dxa"/>
          <w:left w:w="28" w:type="dxa"/>
          <w:bottom w:w="28" w:type="dxa"/>
          <w:right w:w="28" w:type="dxa"/>
        </w:tblCellMar>
      </w:tblPr>
      <w:tblGrid>
        <w:gridCol w:w="833"/>
        <w:gridCol w:w="593"/>
        <w:gridCol w:w="596"/>
        <w:gridCol w:w="310"/>
        <w:gridCol w:w="907"/>
        <w:gridCol w:w="162"/>
        <w:gridCol w:w="109"/>
        <w:gridCol w:w="109"/>
        <w:gridCol w:w="109"/>
        <w:gridCol w:w="466"/>
        <w:gridCol w:w="1030"/>
        <w:gridCol w:w="241"/>
        <w:gridCol w:w="109"/>
        <w:gridCol w:w="109"/>
        <w:gridCol w:w="109"/>
        <w:gridCol w:w="505"/>
        <w:gridCol w:w="1118"/>
        <w:gridCol w:w="263"/>
        <w:gridCol w:w="109"/>
        <w:gridCol w:w="109"/>
        <w:gridCol w:w="109"/>
        <w:gridCol w:w="470"/>
        <w:gridCol w:w="1377"/>
        <w:gridCol w:w="353"/>
      </w:tblGrid>
      <w:tr>
        <w:trPr/>
        <w:tc>
          <w:tcPr>
            <w:tcW w:w="83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2025</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3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six months ended June 30, 2025.</w:t>
      </w:r>
    </w:p>
    <w:tbl>
      <w:tblPr>
        <w:tblW w:w="10205" w:type="dxa"/>
        <w:jc w:val="left"/>
        <w:tblInd w:w="0" w:type="dxa"/>
        <w:tblLayout w:type="fixed"/>
        <w:tblCellMar>
          <w:top w:w="28" w:type="dxa"/>
          <w:left w:w="28" w:type="dxa"/>
          <w:bottom w:w="28" w:type="dxa"/>
          <w:right w:w="28" w:type="dxa"/>
        </w:tblCellMar>
      </w:tblPr>
      <w:tblGrid>
        <w:gridCol w:w="834"/>
        <w:gridCol w:w="592"/>
        <w:gridCol w:w="596"/>
        <w:gridCol w:w="310"/>
        <w:gridCol w:w="907"/>
        <w:gridCol w:w="162"/>
        <w:gridCol w:w="109"/>
        <w:gridCol w:w="109"/>
        <w:gridCol w:w="109"/>
        <w:gridCol w:w="466"/>
        <w:gridCol w:w="1030"/>
        <w:gridCol w:w="241"/>
        <w:gridCol w:w="109"/>
        <w:gridCol w:w="109"/>
        <w:gridCol w:w="109"/>
        <w:gridCol w:w="505"/>
        <w:gridCol w:w="1118"/>
        <w:gridCol w:w="263"/>
        <w:gridCol w:w="109"/>
        <w:gridCol w:w="109"/>
        <w:gridCol w:w="109"/>
        <w:gridCol w:w="470"/>
        <w:gridCol w:w="1377"/>
        <w:gridCol w:w="353"/>
      </w:tblGrid>
      <w:tr>
        <w:trPr/>
        <w:tc>
          <w:tcPr>
            <w:tcW w:w="83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6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3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reclassified out of accumulated other comprehensive income (loss) related to pension and Other Post-Retirement Benefits is included in the computation of net periodic pension costs. See Note 4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7. DERIVATIVES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uses derivative financial instruments for the purpose of hedging margin exposure from fixed-price forward sales contracts in Aluminum Extrusions. These derivative financial instruments are designated as and qualify as cash flow hedges and are recognized in the condensed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purchases of aluminum to meet fixed-price forward sales contract obligations was $15.0 million (6.2 million pounds of aluminum) at June 30, 2026 and $10.0 million (5.2 million pounds of aluminum) at December 31,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location and gross amounts of aluminum futures contract fair values (Level 2) in the condensed consolidated balance sheets as of June 30, 2026 and December 31, 2025: </w:t>
      </w:r>
    </w:p>
    <w:tbl>
      <w:tblPr>
        <w:tblW w:w="10205" w:type="dxa"/>
        <w:jc w:val="left"/>
        <w:tblInd w:w="0" w:type="dxa"/>
        <w:tblLayout w:type="fixed"/>
        <w:tblCellMar>
          <w:top w:w="28" w:type="dxa"/>
          <w:left w:w="28" w:type="dxa"/>
          <w:bottom w:w="28" w:type="dxa"/>
          <w:right w:w="28" w:type="dxa"/>
        </w:tblCellMar>
      </w:tblPr>
      <w:tblGrid>
        <w:gridCol w:w="1391"/>
        <w:gridCol w:w="1221"/>
        <w:gridCol w:w="1227"/>
        <w:gridCol w:w="773"/>
        <w:gridCol w:w="773"/>
        <w:gridCol w:w="775"/>
        <w:gridCol w:w="109"/>
        <w:gridCol w:w="109"/>
        <w:gridCol w:w="109"/>
        <w:gridCol w:w="277"/>
        <w:gridCol w:w="811"/>
        <w:gridCol w:w="143"/>
        <w:gridCol w:w="109"/>
        <w:gridCol w:w="109"/>
        <w:gridCol w:w="109"/>
        <w:gridCol w:w="463"/>
        <w:gridCol w:w="1352"/>
        <w:gridCol w:w="345"/>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10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w:t>
              <w:br/>
              <w:t>Account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Asset derivatives: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Asset derivatives:</w:t>
            </w:r>
          </w:p>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Liability derivatives: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4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3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(liability)</w:t>
            </w:r>
          </w:p>
        </w:tc>
        <w:tc>
          <w:tcPr>
            <w:tcW w:w="232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4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3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pre-tax effect on net income (loss) and other comprehensive income (loss) of derivative instruments classified as cash flow hedges and described in the previous paragraphs for the three and six month periods ended June 30, 2026 and 2025 is summarized in the table below: </w:t>
      </w:r>
    </w:p>
    <w:tbl>
      <w:tblPr>
        <w:tblW w:w="10205" w:type="dxa"/>
        <w:jc w:val="left"/>
        <w:tblInd w:w="0" w:type="dxa"/>
        <w:tblLayout w:type="fixed"/>
        <w:tblCellMar>
          <w:top w:w="28" w:type="dxa"/>
          <w:left w:w="28" w:type="dxa"/>
          <w:bottom w:w="28" w:type="dxa"/>
          <w:right w:w="28" w:type="dxa"/>
        </w:tblCellMar>
      </w:tblPr>
      <w:tblGrid>
        <w:gridCol w:w="2567"/>
        <w:gridCol w:w="2257"/>
        <w:gridCol w:w="2283"/>
        <w:gridCol w:w="308"/>
        <w:gridCol w:w="901"/>
        <w:gridCol w:w="157"/>
        <w:gridCol w:w="124"/>
        <w:gridCol w:w="124"/>
        <w:gridCol w:w="124"/>
        <w:gridCol w:w="344"/>
        <w:gridCol w:w="761"/>
        <w:gridCol w:w="255"/>
      </w:tblGrid>
      <w:tr>
        <w:trPr/>
        <w:tc>
          <w:tcPr>
            <w:tcW w:w="2567"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71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Flow Derivative Hedges</w:t>
            </w:r>
          </w:p>
        </w:tc>
      </w:tr>
      <w:tr>
        <w:trPr/>
        <w:tc>
          <w:tcPr>
            <w:tcW w:w="7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7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1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recognized in other comprehensive income (loss)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accumulated other comprehensive income (loss) to net income (effective portion)</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reclassified from accumulated other comprehensive income (loss) to net income (effective portion)</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10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r>
      <w:tr>
        <w:trPr/>
        <w:tc>
          <w:tcPr>
            <w:tcW w:w="7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1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recognized in other comprehensive income (loss)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accumulated other comprehensive income (loss) into net income (effective portion)</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r>
      <w:tr>
        <w:trPr/>
        <w:tc>
          <w:tcPr>
            <w:tcW w:w="710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reclassified from accumulated other comprehensive income (loss) to net income (effective portion)</w:t>
            </w:r>
          </w:p>
        </w:tc>
        <w:tc>
          <w:tcPr>
            <w:tcW w:w="3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expects $0.6 million of unrealized after-tax gains on aluminum derivative instruments reported in accumulated other comprehensive income (loss) to be reclassified to earnings within the next 12 months. For the three and six month periods ended June 30, 2026 and 2025, net gains or losses realized, from previously unrealized net gains or losses on hedges that had been discontinued,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Tredegar recorded tax expense (benefit) of $2.8 million on pre-tax income (loss) from continuing operations of $13.9 million in the first six months of 2026. The effective tax rate in the first six months of 2026 was 19.9% and 38.4% in the first six months of 2025. The effective tax rate for the first six months of 2026 varied from the statutory rate of 21% due to research and development tax credits while the effective tax rate for the first six months of 2025 varied from the statutory rate due to a mix of lower pre-tax income and higher nondeductible discrete items as a percentage of pre-tax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BUSINESS SEGMENTS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business segments are Aluminum Extrusions and High Performance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High Performance Films produces surface protection films, advanced packaging films and films for other markets.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used by the CODM excludes certain non-recurring items, such as restructuring costs, asset impairments and other items, which are reported separately. The CODM uses EBITDA from ongoing operations to evaluate the operating performance of Tredegar’s ongoing operations, monitor budget versus actual results, establish management’s compensation and allocate resources. EBITDA from ongoing operations is the primary measure of segment performance and is consistent with how the business is managed internally, in addition to being a key financial and analytic metric for borrowing capacity and estimated enterprise value.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sales less freight (“net sales”) as its measure of revenues from external customers at the segment level. This measure is separately included in the financial information regularly provided to the CODM. </w:t>
      </w:r>
    </w:p>
    <w:p>
      <w:pPr>
        <w:pStyle w:val="TextBody"/>
        <w:bidi w:val="0"/>
        <w:spacing w:before="10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revenue, segment profit (loss), and significant expenses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675"/>
        <w:gridCol w:w="1476"/>
        <w:gridCol w:w="1491"/>
        <w:gridCol w:w="329"/>
        <w:gridCol w:w="1289"/>
        <w:gridCol w:w="169"/>
        <w:gridCol w:w="109"/>
        <w:gridCol w:w="109"/>
        <w:gridCol w:w="109"/>
        <w:gridCol w:w="390"/>
        <w:gridCol w:w="1334"/>
        <w:gridCol w:w="202"/>
        <w:gridCol w:w="109"/>
        <w:gridCol w:w="109"/>
        <w:gridCol w:w="109"/>
        <w:gridCol w:w="211"/>
        <w:gridCol w:w="826"/>
        <w:gridCol w:w="159"/>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4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25,635 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7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5"/>
        <w:gridCol w:w="1476"/>
        <w:gridCol w:w="1491"/>
        <w:gridCol w:w="329"/>
        <w:gridCol w:w="1289"/>
        <w:gridCol w:w="169"/>
        <w:gridCol w:w="109"/>
        <w:gridCol w:w="109"/>
        <w:gridCol w:w="109"/>
        <w:gridCol w:w="390"/>
        <w:gridCol w:w="1334"/>
        <w:gridCol w:w="202"/>
        <w:gridCol w:w="109"/>
        <w:gridCol w:w="109"/>
        <w:gridCol w:w="109"/>
        <w:gridCol w:w="211"/>
        <w:gridCol w:w="826"/>
        <w:gridCol w:w="159"/>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4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7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TextBody"/>
        <w:bidi w:val="0"/>
        <w:spacing w:before="10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revenue, segment profit (loss), and significant expenses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675"/>
        <w:gridCol w:w="1476"/>
        <w:gridCol w:w="1491"/>
        <w:gridCol w:w="329"/>
        <w:gridCol w:w="1289"/>
        <w:gridCol w:w="169"/>
        <w:gridCol w:w="109"/>
        <w:gridCol w:w="109"/>
        <w:gridCol w:w="109"/>
        <w:gridCol w:w="390"/>
        <w:gridCol w:w="1334"/>
        <w:gridCol w:w="202"/>
        <w:gridCol w:w="109"/>
        <w:gridCol w:w="109"/>
        <w:gridCol w:w="109"/>
        <w:gridCol w:w="211"/>
        <w:gridCol w:w="826"/>
        <w:gridCol w:w="159"/>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4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47,168 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402,725 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26,192 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7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5"/>
        <w:gridCol w:w="1476"/>
        <w:gridCol w:w="1491"/>
        <w:gridCol w:w="329"/>
        <w:gridCol w:w="1289"/>
        <w:gridCol w:w="169"/>
        <w:gridCol w:w="109"/>
        <w:gridCol w:w="109"/>
        <w:gridCol w:w="109"/>
        <w:gridCol w:w="390"/>
        <w:gridCol w:w="1334"/>
        <w:gridCol w:w="202"/>
        <w:gridCol w:w="109"/>
        <w:gridCol w:w="109"/>
        <w:gridCol w:w="109"/>
        <w:gridCol w:w="211"/>
        <w:gridCol w:w="826"/>
        <w:gridCol w:w="159"/>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4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7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identifiable assets by segment at June 30, 2026 and December 31, 2025:</w:t>
      </w:r>
    </w:p>
    <w:tbl>
      <w:tblPr>
        <w:tblW w:w="5561" w:type="dxa"/>
        <w:jc w:val="left"/>
        <w:tblInd w:w="0" w:type="dxa"/>
        <w:tblLayout w:type="fixed"/>
        <w:tblCellMar>
          <w:top w:w="28" w:type="dxa"/>
          <w:left w:w="28" w:type="dxa"/>
          <w:bottom w:w="28" w:type="dxa"/>
          <w:right w:w="28" w:type="dxa"/>
        </w:tblCellMar>
      </w:tblPr>
      <w:tblGrid>
        <w:gridCol w:w="819"/>
        <w:gridCol w:w="721"/>
        <w:gridCol w:w="724"/>
        <w:gridCol w:w="229"/>
        <w:gridCol w:w="898"/>
        <w:gridCol w:w="118"/>
        <w:gridCol w:w="109"/>
        <w:gridCol w:w="109"/>
        <w:gridCol w:w="109"/>
        <w:gridCol w:w="305"/>
        <w:gridCol w:w="1197"/>
        <w:gridCol w:w="223"/>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308,993 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269,802 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363,683 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322,800 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412,925 </w:t>
            </w:r>
          </w:p>
        </w:tc>
        <w:tc>
          <w:tcPr>
            <w:tcW w:w="11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371,372 </w:t>
            </w:r>
          </w:p>
        </w:tc>
        <w:tc>
          <w:tcPr>
            <w:tcW w:w="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and amortization for the three and six months ended June 30, 2026 and 2025:</w:t>
      </w:r>
    </w:p>
    <w:tbl>
      <w:tblPr>
        <w:tblW w:w="7382" w:type="dxa"/>
        <w:jc w:val="left"/>
        <w:tblInd w:w="0" w:type="dxa"/>
        <w:tblLayout w:type="fixed"/>
        <w:tblCellMar>
          <w:top w:w="28" w:type="dxa"/>
          <w:left w:w="28" w:type="dxa"/>
          <w:bottom w:w="28" w:type="dxa"/>
          <w:right w:w="28" w:type="dxa"/>
        </w:tblCellMar>
      </w:tblPr>
      <w:tblGrid>
        <w:gridCol w:w="749"/>
        <w:gridCol w:w="659"/>
        <w:gridCol w:w="662"/>
        <w:gridCol w:w="243"/>
        <w:gridCol w:w="710"/>
        <w:gridCol w:w="125"/>
        <w:gridCol w:w="125"/>
        <w:gridCol w:w="125"/>
        <w:gridCol w:w="125"/>
        <w:gridCol w:w="243"/>
        <w:gridCol w:w="710"/>
        <w:gridCol w:w="125"/>
        <w:gridCol w:w="109"/>
        <w:gridCol w:w="109"/>
        <w:gridCol w:w="109"/>
        <w:gridCol w:w="211"/>
        <w:gridCol w:w="721"/>
        <w:gridCol w:w="109"/>
        <w:gridCol w:w="109"/>
        <w:gridCol w:w="109"/>
        <w:gridCol w:w="109"/>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for the three and six months ended June 30, 2026 and 2025:</w:t>
      </w:r>
    </w:p>
    <w:tbl>
      <w:tblPr>
        <w:tblW w:w="7307" w:type="dxa"/>
        <w:jc w:val="left"/>
        <w:tblInd w:w="0" w:type="dxa"/>
        <w:tblLayout w:type="fixed"/>
        <w:tblCellMar>
          <w:top w:w="28" w:type="dxa"/>
          <w:left w:w="28" w:type="dxa"/>
          <w:bottom w:w="28" w:type="dxa"/>
          <w:right w:w="28" w:type="dxa"/>
        </w:tblCellMar>
      </w:tblPr>
      <w:tblGrid>
        <w:gridCol w:w="749"/>
        <w:gridCol w:w="659"/>
        <w:gridCol w:w="662"/>
        <w:gridCol w:w="243"/>
        <w:gridCol w:w="710"/>
        <w:gridCol w:w="125"/>
        <w:gridCol w:w="125"/>
        <w:gridCol w:w="125"/>
        <w:gridCol w:w="125"/>
        <w:gridCol w:w="243"/>
        <w:gridCol w:w="710"/>
        <w:gridCol w:w="125"/>
        <w:gridCol w:w="109"/>
        <w:gridCol w:w="109"/>
        <w:gridCol w:w="109"/>
        <w:gridCol w:w="224"/>
        <w:gridCol w:w="654"/>
        <w:gridCol w:w="115"/>
        <w:gridCol w:w="115"/>
        <w:gridCol w:w="115"/>
        <w:gridCol w:w="115"/>
        <w:gridCol w:w="224"/>
        <w:gridCol w:w="654"/>
        <w:gridCol w:w="163"/>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4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1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disaggregate the Company’s net sales by geographic area and product group for the three and six months ended June 30, 2026 and 2025: </w:t>
      </w:r>
    </w:p>
    <w:tbl>
      <w:tblPr>
        <w:tblW w:w="9461" w:type="dxa"/>
        <w:jc w:val="left"/>
        <w:tblInd w:w="0" w:type="dxa"/>
        <w:tblLayout w:type="fixed"/>
        <w:tblCellMar>
          <w:top w:w="28" w:type="dxa"/>
          <w:left w:w="28" w:type="dxa"/>
          <w:bottom w:w="28" w:type="dxa"/>
          <w:right w:w="28" w:type="dxa"/>
        </w:tblCellMar>
      </w:tblPr>
      <w:tblGrid>
        <w:gridCol w:w="1226"/>
        <w:gridCol w:w="1080"/>
        <w:gridCol w:w="1085"/>
        <w:gridCol w:w="228"/>
        <w:gridCol w:w="894"/>
        <w:gridCol w:w="118"/>
        <w:gridCol w:w="118"/>
        <w:gridCol w:w="118"/>
        <w:gridCol w:w="118"/>
        <w:gridCol w:w="228"/>
        <w:gridCol w:w="894"/>
        <w:gridCol w:w="118"/>
        <w:gridCol w:w="118"/>
        <w:gridCol w:w="118"/>
        <w:gridCol w:w="118"/>
        <w:gridCol w:w="228"/>
        <w:gridCol w:w="894"/>
        <w:gridCol w:w="118"/>
        <w:gridCol w:w="118"/>
        <w:gridCol w:w="118"/>
        <w:gridCol w:w="118"/>
        <w:gridCol w:w="228"/>
        <w:gridCol w:w="894"/>
        <w:gridCol w:w="166"/>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461" w:type="dxa"/>
            <w:gridSpan w:val="24"/>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Net Sales by Geographic Area (a)</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360,845 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302,648 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Exports from the United States to:</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outside the United States: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209,764 </w:t>
            </w:r>
          </w:p>
        </w:tc>
        <w:tc>
          <w:tcPr>
            <w:tcW w:w="1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390,754 </w:t>
            </w:r>
          </w:p>
        </w:tc>
        <w:tc>
          <w:tcPr>
            <w:tcW w:w="1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61" w:type="dxa"/>
            <w:gridSpan w:val="24"/>
            <w:tcBorders>
              <w:top w:val="single" w:sz="16"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 Export sales relate mostly to High Performance Films. The geographic area for net sales is determined by the shipping destination. </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$8.2 million and $6.3 million in the second quarter of 2026 and 2025, respectively, and $13.7 million and $12.9 million in the first six months of 2026 and 2025, respectively. </w:t>
      </w:r>
    </w:p>
    <w:p>
      <w:pPr>
        <w:pStyle w:val="TextBody"/>
        <w:bidi w:val="0"/>
        <w:spacing w:before="10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8940" w:type="dxa"/>
        <w:jc w:val="left"/>
        <w:tblInd w:w="0" w:type="dxa"/>
        <w:tblLayout w:type="fixed"/>
        <w:tblCellMar>
          <w:top w:w="28" w:type="dxa"/>
          <w:left w:w="28" w:type="dxa"/>
          <w:bottom w:w="28" w:type="dxa"/>
          <w:right w:w="28" w:type="dxa"/>
        </w:tblCellMar>
      </w:tblPr>
      <w:tblGrid>
        <w:gridCol w:w="1203"/>
        <w:gridCol w:w="1061"/>
        <w:gridCol w:w="106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40" w:type="dxa"/>
            <w:gridSpan w:val="24"/>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Net Sales by Product Group</w:t>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Nonresidential building &amp; construction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durables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&amp; construction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protection films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209,764 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390,754 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10. DISCONTINUED OPERATIONS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Flexible Packaging Films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entered into an agreement to sell Terphane, headquartered in Brazil, to Oben for net cash-free and debt-free base consideration of $116 million.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1, 2024, Tredegar completed the sale of Terphane to Oben. At closing, Tredegar received $60 million in cash, which was net of Terphane debt assumed by Oben of $20 million and estimated Terphane cash retained by Oben of $2 million. The cash proceeds received by Tredegar at closing were after deducting net working capital adjustments and closing indebtedness ($20.5 million), escrow funds ($19.8 million), projected Brazil withholding taxes ($10.8 million), and transaction expenses ($4.4 million). In February 2025 and February 2026, the Company received $9.8 million and $0.6 million, respectively, from post-closing settlement of the transaction. The proceeds from the sale of Terphane were required to be used to pay down debt outstanding under the Company’s $125 million senior secured asset-based revolving credit facility (the "ABL Facility").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completion of the sale, the Company recognized a pre-tax loss of $74.9 million for the year ended December 31, 2024, which included the realization of other comprehensive losses on foreign currency translation adjustments, net of gains on derivative financial instruments of $102.3 million previously reflected in accumulated other comprehensive income (loss).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financial results of discontinued operations reflected in the Condensed Consolidated Statements of Income (Loss)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551"/>
        <w:gridCol w:w="1240"/>
        <w:gridCol w:w="1188"/>
        <w:gridCol w:w="330"/>
        <w:gridCol w:w="638"/>
        <w:gridCol w:w="170"/>
        <w:gridCol w:w="170"/>
        <w:gridCol w:w="170"/>
        <w:gridCol w:w="170"/>
        <w:gridCol w:w="330"/>
        <w:gridCol w:w="638"/>
        <w:gridCol w:w="170"/>
        <w:gridCol w:w="146"/>
        <w:gridCol w:w="146"/>
        <w:gridCol w:w="146"/>
        <w:gridCol w:w="301"/>
        <w:gridCol w:w="665"/>
        <w:gridCol w:w="155"/>
        <w:gridCol w:w="155"/>
        <w:gridCol w:w="155"/>
        <w:gridCol w:w="155"/>
        <w:gridCol w:w="301"/>
        <w:gridCol w:w="880"/>
        <w:gridCol w:w="235"/>
      </w:tblGrid>
      <w:tr>
        <w:trPr/>
        <w:tc>
          <w:tcPr>
            <w:tcW w:w="155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4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divested business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w:t>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(benefit)</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2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16" w:space="0" w:color="000000"/>
            </w:tcBorders>
            <w:tcMar>
              <w:top w:w="52"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An inconsequential income tax expense (benefit) was recognized during the three and six months ended June 30, 2025, primarily due to foreign tax credits generated from the final Brazilian withholding tax payment made during the periods, which offset the tax liability on the income from discontinued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significant operating, investing and financing cash flow information for discontinued operations:</w:t>
      </w:r>
    </w:p>
    <w:tbl>
      <w:tblPr>
        <w:tblW w:w="5485" w:type="dxa"/>
        <w:jc w:val="center"/>
        <w:tblInd w:w="0" w:type="dxa"/>
        <w:tblLayout w:type="fixed"/>
        <w:tblCellMar>
          <w:top w:w="28" w:type="dxa"/>
          <w:left w:w="28" w:type="dxa"/>
          <w:bottom w:w="28" w:type="dxa"/>
          <w:right w:w="28" w:type="dxa"/>
        </w:tblCellMar>
      </w:tblPr>
      <w:tblGrid>
        <w:gridCol w:w="1122"/>
        <w:gridCol w:w="989"/>
        <w:gridCol w:w="994"/>
        <w:gridCol w:w="224"/>
        <w:gridCol w:w="575"/>
        <w:gridCol w:w="115"/>
        <w:gridCol w:w="115"/>
        <w:gridCol w:w="115"/>
        <w:gridCol w:w="115"/>
        <w:gridCol w:w="224"/>
        <w:gridCol w:w="734"/>
        <w:gridCol w:w="163"/>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divested business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Terphane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1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450"/>
        <w:jc w:val="center"/>
        <w:rPr>
          <w:rFonts w:ascii="Times New Roman;serif" w:hAnsi="Times New Roman;serif"/>
          <w:b/>
          <w:color w:val="000000"/>
          <w:sz w:val="20"/>
          <w:u w:val="single"/>
        </w:rPr>
      </w:pPr>
      <w:r>
        <w:rPr>
          <w:rFonts w:ascii="Times New Roman;serif" w:hAnsi="Times New Roman;serif"/>
          <w:b/>
          <w:color w:val="000000"/>
          <w:sz w:val="20"/>
          <w:u w:val="single"/>
        </w:rPr>
        <w:t>Forward-looking and Cautionary Statements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trade policies and prolonged geopolitical conflicts on raw materials and supply chain constraints;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macroeconomic factors, such as inflation, interest rates and recession risks;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an increase in the operating costs incurred by the Company’s business units, including, for example, the cost of raw materials and energy;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risks associated with our cost-reduction and operational-improvement initiatives, including our ability to achieve the expected benefits within the expected timeframe or at all;</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continue to attract, develop and retain certain key officers or employees;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disruptions to the Company’s manufacturing facilities, including those resulting from labor shortages;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an information technology system failure or breach;</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risks of doing business in countries outside the U.S. that affect our international operations;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public health epidemics on employees, production and the global economy;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political, economic and regulatory factors concerning the Company’s products;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the imposition of tariffs and sanctions on imported aluminum ingot used by Bonnell Aluminum;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inability to replace aging equipment and information technology systems with necessary capital expenditures;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inability to develop, efficiently manufacture and deliver new products at competitive prices;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loss of sales to significant customers on which the Company’s business is highly dependent;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inability to achieve sales to new customers to replace lost business;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failure of the Company’s customers to achieve success or maintain market share;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noncompliance with any of the financial and other restrictive covenants in the ABL Facility;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protect our intellectual property rights;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2025 (the “2025 Form 10-K”). Readers are urged to review and consider carefully the disclosures Tredegar makes in its filings with the SEC.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References herein to “Tredegar,” “the Company,” “we,” “us” and “our” are to Tredegar Corporation and its subsidiaries, collectively, unless the context otherwise indicates or requires.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Unless otherwise stated or indicated, all comparisons are to the prior year period. References to "Notes" are to notes to our condensed consolidated financial statements found in Part I,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Estimates”in the Company’s Annual Report on Form 10-K for the fiscal year ended December 31, 2025 (the "2025 Form 10-K") have the greatest potential impact on our financial statements, so Tredegar considers these to be its critical accounting policies. Since December 31, 2025, there have been no changes in these policies or estimates that have had a material impact on our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Business Overview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Tredegar Corporation is an industrial manufacturer with two primary businesses: custom aluminum extrusions for the building &amp; construction (“B&amp;C”), automotive and specialty end-use markets in the United States through its Aluminum Extrusions segment (with exports comprising less than 5% of total sales volume) and surface protection films for high-technology applications in the global electronics industry through its High Performance Films segment. With approximately 1,800 employees, the Company operates manufacturing facilities in the U.S. and China.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2025, the Company renamed the segment formerly known as “PE Films.” This segment is now referred to as “High Performance Films.” The product previously known as polyethylene overwrap films was renamed to advanced packaging films. There were no changes to the operations reported within the High Performance Films segment. The Company continues to have two reportable segments: Aluminum Extrusions and High Performance Films.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 </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Earnings before interest and taxes ("EBIT") from ongoing operations is a non-GAAP financial measure included in the reconciliation of segment financial information to consolidated results for the Company in the </w:t>
      </w:r>
      <w:r>
        <w:rPr>
          <w:rFonts w:ascii="Times New Roman;serif" w:hAnsi="Times New Roman;serif"/>
          <w:b/>
          <w:i/>
          <w:color w:val="000000"/>
          <w:sz w:val="20"/>
        </w:rPr>
        <w:t>Segment Operations Review</w:t>
      </w:r>
      <w:r>
        <w:rPr>
          <w:color w:val="000000"/>
        </w:rPr>
        <w:t xml:space="preserve"> </w:t>
      </w:r>
      <w:r>
        <w:rPr>
          <w:rFonts w:ascii="Times New Roman;serif" w:hAnsi="Times New Roman;serif"/>
          <w:b w:val="false"/>
          <w:color w:val="000000"/>
          <w:sz w:val="20"/>
        </w:rPr>
        <w:t>section below.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Second quarter 2026 net income (loss) from continuing operations was $6.0 million ($0.17 per diluted share) compared to $1.8 million ($0.05 per diluted share) in the second quarter of 2025.</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Second Quarter Financial Results Highlights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EBITDA from ongoing operations for Aluminum Extrusions was $14.5 million in the second quarter of 2026 versus $9.3 million in the second quarter of 2025 and versus $11.7 million in the first quarter of 2026.</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EBITDA from ongoing operations for High Performance Films was $5.8 million in the second quarter of 2026 versus $6.7 million in the second quarter of 2025 and versus $5.1 million in the first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of 2026 Compared with the Second Quarter of 2025 Results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bridge of consolidated net income (loss) from continuing operations from the second quarter of 2025 to the second quarter of 2026 with management's related discussion and analysis below the table. </w:t>
      </w:r>
    </w:p>
    <w:tbl>
      <w:tblPr>
        <w:tblW w:w="9828" w:type="dxa"/>
        <w:jc w:val="left"/>
        <w:tblInd w:w="0" w:type="dxa"/>
        <w:tblLayout w:type="fixed"/>
        <w:tblCellMar>
          <w:top w:w="28" w:type="dxa"/>
          <w:left w:w="28" w:type="dxa"/>
          <w:bottom w:w="28" w:type="dxa"/>
          <w:right w:w="28" w:type="dxa"/>
        </w:tblCellMar>
      </w:tblPr>
      <w:tblGrid>
        <w:gridCol w:w="3081"/>
        <w:gridCol w:w="2713"/>
        <w:gridCol w:w="2726"/>
        <w:gridCol w:w="109"/>
        <w:gridCol w:w="109"/>
        <w:gridCol w:w="109"/>
        <w:gridCol w:w="211"/>
        <w:gridCol w:w="616"/>
        <w:gridCol w:w="154"/>
      </w:tblGrid>
      <w:tr>
        <w:trPr/>
        <w:tc>
          <w:tcPr>
            <w:tcW w:w="3081"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three months ended June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three months ended June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three months ended June 30, 2026</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Sales in the second quarter of 2026 increased by $37.1 million compared with the second quarter of 2025. Net sales (sales less freight) in Aluminum Extrusions increased $35.8 million, primarily due to the pass-through of higher metal costs, partially offset by lower volume. Net sales in High Performance Films increased $1.0 million, primarily due to an increase in sales volume in surface protection films, partially offset by unfavorable mix in surface protection films. For more information on net sales and volume, see the </w:t>
      </w:r>
      <w:r>
        <w:rPr>
          <w:rFonts w:ascii="Times New Roman;serif" w:hAnsi="Times New Roman;serif"/>
          <w:b/>
          <w:i/>
          <w:color w:val="000000"/>
          <w:sz w:val="20"/>
        </w:rPr>
        <w:t>Segment Operations Review</w:t>
      </w:r>
      <w:r>
        <w:rPr>
          <w:color w:val="000000"/>
        </w:rPr>
        <w:t xml:space="preserve"> </w:t>
      </w:r>
      <w:r>
        <w:rPr>
          <w:rFonts w:ascii="Times New Roman;serif" w:hAnsi="Times New Roman;serif"/>
          <w:b w:val="false"/>
          <w:color w:val="000000"/>
          <w:sz w:val="20"/>
        </w:rPr>
        <w:t>below.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Consolidated gross profit (sales minus cost of goods sold and freight) as a percentage of sales (gross profit margin) was 13.4% in the second quarter of 2026 compared to 13.6% in the second quarter of 2025. The gross profit margin in Aluminum Extrusions remained consistent with the prior period. The gross profit margin in High Performance Films decreased primarily due to a lower advanced packaging contribution margin associated with the pass-through lag associated with higher resin costs.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percentage of sales, selling, general and administrative (“SG&amp;A”) and research and development ("R&amp;D") expenses were 9.4% in the second quarter of 2026 compared with 11.6% in the second quarter of 2025. Second quarter sales increased 20.7% while SG&amp;A decreased 2.1% compared to the prior period. Lower SG&amp;A spending was primarily due to lower professional fees associated with business development activities ($1.1 million) and lower stock-based compensation ($0.4 million), partially offset by higher employee compensation ($0.8 million).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was $0.5 million in the second quarter of 2026 in comparison to $1.8 million in the second quarter of 2025. The decrease in interest expense was primarily due to the write-off of deferred financing fees related to Amendment No. 5 to the Company's Second Amended and Restated Credit Agreement of $0.8 million during the second quarter of 2025, lower weighted average total debt outstanding and lower interest rates.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from continuing operations in the second quarter of 2026 was 22.3% compared to 35.0% in the second quarter of 2025. The effective tax rate for the second quarter of 2026 was consistent with the U.S. statutory rate of 21% while the effective tax rate for the second quarter of 2025 varied from the statutory rate due to a mix of lower pre-tax income and higher nondeductible discrete items as a percentage of pre-tax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Pre-tax gains and losses associated with plant shutdowns, asset impairments, restructurings and other items for the second quarters of 2026 and 2025 detailed below are shown in the reconciliation of net sales and EBITDA from ongoing operations by segment in the table in the </w:t>
      </w:r>
      <w:r>
        <w:rPr>
          <w:rFonts w:ascii="Times New Roman;serif" w:hAnsi="Times New Roman;serif"/>
          <w:b/>
          <w:i/>
          <w:color w:val="000000"/>
          <w:sz w:val="20"/>
        </w:rPr>
        <w:t xml:space="preserve">Segment Operations Review </w:t>
      </w:r>
      <w:r>
        <w:rPr>
          <w:rFonts w:ascii="Times New Roman;serif" w:hAnsi="Times New Roman;serif"/>
          <w:b w:val="false"/>
          <w:color w:val="000000"/>
          <w:sz w:val="20"/>
        </w:rPr>
        <w:t>section below and are included in “Asset impairments and costs associated with exit and disposal activities, net of adjustments” in the condensed consolidated statements of income, unless otherwise noted.</w:t>
      </w:r>
    </w:p>
    <w:tbl>
      <w:tblPr>
        <w:tblW w:w="9446" w:type="dxa"/>
        <w:jc w:val="left"/>
        <w:tblInd w:w="0" w:type="dxa"/>
        <w:tblLayout w:type="fixed"/>
        <w:tblCellMar>
          <w:top w:w="28" w:type="dxa"/>
          <w:left w:w="28" w:type="dxa"/>
          <w:bottom w:w="28" w:type="dxa"/>
          <w:right w:w="28" w:type="dxa"/>
        </w:tblCellMar>
      </w:tblPr>
      <w:tblGrid>
        <w:gridCol w:w="2474"/>
        <w:gridCol w:w="2171"/>
        <w:gridCol w:w="2189"/>
        <w:gridCol w:w="368"/>
        <w:gridCol w:w="709"/>
        <w:gridCol w:w="189"/>
        <w:gridCol w:w="368"/>
        <w:gridCol w:w="709"/>
        <w:gridCol w:w="269"/>
      </w:tblGrid>
      <w:tr>
        <w:trPr/>
        <w:tc>
          <w:tcPr>
            <w:tcW w:w="247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68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6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expenses for ERP/MES project</w:t>
            </w:r>
            <w:r>
              <w:rPr>
                <w:rFonts w:ascii="Times New Roman;serif" w:hAnsi="Times New Roman;serif"/>
                <w:b w:val="false"/>
                <w:color w:val="000000"/>
                <w:sz w:val="13"/>
              </w:rPr>
              <w:t>1</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Storm damage to the Newnan, Georgia plant</w:t>
            </w:r>
            <w:r>
              <w:rPr>
                <w:rFonts w:ascii="Times New Roman;serif" w:hAnsi="Times New Roman;serif"/>
                <w:b w:val="false"/>
                <w:color w:val="000000"/>
                <w:sz w:val="13"/>
              </w:rPr>
              <w:t>1</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associated with the Aluminum Extruders Trade Case and other matters</w:t>
            </w:r>
            <w:r>
              <w:rPr>
                <w:rFonts w:ascii="Times New Roman;serif" w:hAnsi="Times New Roman;serif"/>
                <w:b w:val="false"/>
                <w:color w:val="000000"/>
                <w:sz w:val="13"/>
              </w:rPr>
              <w:t>1</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Aluminum Extrusions</w:t>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6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business development activities</w:t>
            </w:r>
            <w:r>
              <w:rPr>
                <w:rFonts w:ascii="Times New Roman;serif" w:hAnsi="Times New Roman;serif"/>
                <w:b w:val="false"/>
                <w:color w:val="000000"/>
                <w:sz w:val="13"/>
              </w:rPr>
              <w:t>1</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the transition to the ABL Facility</w:t>
            </w:r>
            <w:r>
              <w:rPr>
                <w:rFonts w:ascii="Times New Roman;serif" w:hAnsi="Times New Roman;serif"/>
                <w:b w:val="false"/>
                <w:color w:val="000000"/>
                <w:sz w:val="13"/>
              </w:rPr>
              <w:t>1</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on the sale of corporate-owned land</w:t>
            </w:r>
            <w:r>
              <w:rPr>
                <w:rFonts w:ascii="Times New Roman;serif" w:hAnsi="Times New Roman;serif"/>
                <w:b w:val="false"/>
                <w:color w:val="000000"/>
                <w:sz w:val="13"/>
              </w:rPr>
              <w:t>2</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Corporate</w:t>
            </w:r>
          </w:p>
        </w:tc>
        <w:tc>
          <w:tcPr>
            <w:tcW w:w="3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4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Included in “Selling, general and administrative expenses” in the condensed consolidated statements of income.</w:t>
              <w:br/>
              <w:t>2. Included in “Other income (expense), net” in the condensed consolidated statements of income.</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Average total debt outstanding and interest rates were as follows:</w:t>
      </w:r>
    </w:p>
    <w:tbl>
      <w:tblPr>
        <w:tblW w:w="9086" w:type="dxa"/>
        <w:jc w:val="left"/>
        <w:tblInd w:w="0" w:type="dxa"/>
        <w:tblLayout w:type="fixed"/>
        <w:tblCellMar>
          <w:top w:w="28" w:type="dxa"/>
          <w:left w:w="28" w:type="dxa"/>
          <w:bottom w:w="28" w:type="dxa"/>
          <w:right w:w="28" w:type="dxa"/>
        </w:tblCellMar>
      </w:tblPr>
      <w:tblGrid>
        <w:gridCol w:w="2355"/>
        <w:gridCol w:w="2072"/>
        <w:gridCol w:w="2083"/>
        <w:gridCol w:w="230"/>
        <w:gridCol w:w="559"/>
        <w:gridCol w:w="296"/>
        <w:gridCol w:w="119"/>
        <w:gridCol w:w="119"/>
        <w:gridCol w:w="119"/>
        <w:gridCol w:w="230"/>
        <w:gridCol w:w="559"/>
        <w:gridCol w:w="345"/>
      </w:tblGrid>
      <w:tr>
        <w:trPr/>
        <w:tc>
          <w:tcPr>
            <w:tcW w:w="235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Floating-rate debt with interest charged on a rollover basis plus a credit spread:</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outstanding debt balance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 rate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pStyle w:val="TextBody"/>
        <w:bidi w:val="0"/>
        <w:spacing w:before="100" w:after="283"/>
        <w:ind w:left="0" w:right="0" w:firstLine="450"/>
        <w:jc w:val="left"/>
        <w:rPr/>
      </w:pPr>
      <w:r>
        <w:rPr/>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2026 Compared with the First Six Months of 2025 Results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bridge of consolidated net income (loss) from continuing operations from the first six months of 2025 to the first six months of 2026 with management's related discussion and analysis below the table. </w:t>
      </w:r>
    </w:p>
    <w:tbl>
      <w:tblPr>
        <w:tblW w:w="9767" w:type="dxa"/>
        <w:jc w:val="left"/>
        <w:tblInd w:w="0" w:type="dxa"/>
        <w:tblLayout w:type="fixed"/>
        <w:tblCellMar>
          <w:top w:w="28" w:type="dxa"/>
          <w:left w:w="28" w:type="dxa"/>
          <w:bottom w:w="28" w:type="dxa"/>
          <w:right w:w="28" w:type="dxa"/>
        </w:tblCellMar>
      </w:tblPr>
      <w:tblGrid>
        <w:gridCol w:w="3021"/>
        <w:gridCol w:w="2660"/>
        <w:gridCol w:w="2673"/>
        <w:gridCol w:w="109"/>
        <w:gridCol w:w="109"/>
        <w:gridCol w:w="109"/>
        <w:gridCol w:w="211"/>
        <w:gridCol w:w="721"/>
        <w:gridCol w:w="154"/>
      </w:tblGrid>
      <w:tr>
        <w:trPr/>
        <w:tc>
          <w:tcPr>
            <w:tcW w:w="3021"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six months ended June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six months ended June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six months ended June 30, 2026</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Sales in the first six months of 2026 increased by $58.9 million compared with the first six months of 2025. Net sales (sales less freight) in Aluminum Extrusions increased $61.6 million, primarily due to the pass-through of higher metal costs, partially offset by lower volume. Net sales in High Performance Films decreased $3.0 million, primarily due to unfavorable mix in surface protection films. For more information on net sales and volume, see the </w:t>
      </w:r>
      <w:r>
        <w:rPr>
          <w:rFonts w:ascii="Times New Roman;serif" w:hAnsi="Times New Roman;serif"/>
          <w:b/>
          <w:i/>
          <w:color w:val="000000"/>
          <w:sz w:val="20"/>
        </w:rPr>
        <w:t>Segment Operations Review</w:t>
      </w:r>
      <w:r>
        <w:rPr>
          <w:color w:val="000000"/>
        </w:rPr>
        <w:t xml:space="preserve"> </w:t>
      </w:r>
      <w:r>
        <w:rPr>
          <w:rFonts w:ascii="Times New Roman;serif" w:hAnsi="Times New Roman;serif"/>
          <w:b w:val="false"/>
          <w:color w:val="000000"/>
          <w:sz w:val="20"/>
        </w:rPr>
        <w:t>below.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(sales minus cost of goods sold and freight) as a percentage of sales (gross profit margin) was 13.0% in the first six months of 2026 compared to 13.9% in the first six months of 2025. The gross profit margin in Aluminum Extrusions remained consistent with the prior period. The gross profit margin in High Performance Films decreased due to a lower Surface Protection contribution margin associated with lower volume, unfavorable mix, and the pass-through lag associated with higher resin costs, partially offset by favorable productivity and cost improvements.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percentage of sales, SG&amp;A and R&amp;D expenses were 9.2% in the first six months of 2026 compared with 12.1% in the first six months of 2025. Sales increased 17.1% while SG&amp;A decreased 11.3% compared to the prior period. Lower SG&amp;A spending was primarily due to lower professional fees associated with business development activities ($4.1 million) and lower stock-based compensation ($0.7 million).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was $0.8 million in the first six months of 2026 in comparison to $2.8 million in the first six months of 2025. The decrease was primarily due to the write-off of deferred financing fees related to Amendment No. 5 to the Second Amended and Restated Credit Agreement of $0.8 million during the first six months of 2025, lower weighted average total debt outstanding and lower interest rates.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from continuing operations in the first six months of 2026 was 19.9% compared to 38.4% in the first six months of 2025. The effective tax rate for the first six months of 2026 varied from the statutory rate of 21% due to research and development tax credits while the effective tax rate for the first six months of 2025 varied from the statutory rate due to a mix of lower pre-tax income and higher nondeductible discrete items as a percentage of pre-tax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Pre-tax gains and losses associated with plant shutdowns, asset impairments, restructurings and other items for the first six months of 2026 and 2025 detailed below are shown in the reconciliation of net sales and EBITDA from ongoing operations by segment in the table in the </w:t>
      </w:r>
      <w:r>
        <w:rPr>
          <w:rFonts w:ascii="Times New Roman;serif" w:hAnsi="Times New Roman;serif"/>
          <w:b/>
          <w:i/>
          <w:color w:val="000000"/>
          <w:sz w:val="20"/>
        </w:rPr>
        <w:t xml:space="preserve">Segment Operations Review </w:t>
      </w:r>
      <w:r>
        <w:rPr>
          <w:rFonts w:ascii="Times New Roman;serif" w:hAnsi="Times New Roman;serif"/>
          <w:b w:val="false"/>
          <w:color w:val="000000"/>
          <w:sz w:val="20"/>
        </w:rPr>
        <w:t>section below and are included in “Asset impairments and costs associated with exit and disposal activities, net of adjustments” in the condensed consolidated statements of income, unless otherwise noted.</w:t>
      </w:r>
    </w:p>
    <w:tbl>
      <w:tblPr>
        <w:tblW w:w="10205" w:type="dxa"/>
        <w:jc w:val="left"/>
        <w:tblInd w:w="0" w:type="dxa"/>
        <w:tblLayout w:type="fixed"/>
        <w:tblCellMar>
          <w:top w:w="28" w:type="dxa"/>
          <w:left w:w="28" w:type="dxa"/>
          <w:bottom w:w="28" w:type="dxa"/>
          <w:right w:w="28" w:type="dxa"/>
        </w:tblCellMar>
      </w:tblPr>
      <w:tblGrid>
        <w:gridCol w:w="2907"/>
        <w:gridCol w:w="2499"/>
        <w:gridCol w:w="2511"/>
        <w:gridCol w:w="307"/>
        <w:gridCol w:w="695"/>
        <w:gridCol w:w="158"/>
        <w:gridCol w:w="307"/>
        <w:gridCol w:w="592"/>
        <w:gridCol w:w="229"/>
      </w:tblGrid>
      <w:tr>
        <w:trPr/>
        <w:tc>
          <w:tcPr>
            <w:tcW w:w="2907"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9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9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expenses for ERP/MES project</w:t>
            </w:r>
            <w:r>
              <w:rPr>
                <w:rFonts w:ascii="Times New Roman;serif" w:hAnsi="Times New Roman;serif"/>
                <w:b w:val="false"/>
                <w:color w:val="000000"/>
                <w:sz w:val="13"/>
              </w:rPr>
              <w:t>1</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Storm damage to the Newnan, Georgia plant</w:t>
            </w:r>
            <w:r>
              <w:rPr>
                <w:rFonts w:ascii="Times New Roman;serif" w:hAnsi="Times New Roman;serif"/>
                <w:b w:val="false"/>
                <w:color w:val="000000"/>
                <w:sz w:val="13"/>
              </w:rPr>
              <w:t>1</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associated with the Aluminum Extruders Trade Case and other matters</w:t>
            </w:r>
            <w:r>
              <w:rPr>
                <w:rFonts w:ascii="Times New Roman;serif" w:hAnsi="Times New Roman;serif"/>
                <w:b w:val="false"/>
                <w:color w:val="000000"/>
                <w:sz w:val="13"/>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Aluminum premium charge as a result of unplanned maintenance interruptions</w:t>
            </w:r>
            <w:r>
              <w:rPr>
                <w:rFonts w:ascii="Times New Roman;serif" w:hAnsi="Times New Roman;serif"/>
                <w:b w:val="false"/>
                <w:color w:val="000000"/>
                <w:sz w:val="13"/>
              </w:rPr>
              <w:t>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Aluminum Extrusions</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6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business development activities</w:t>
            </w:r>
            <w:r>
              <w:rPr>
                <w:rFonts w:ascii="Times New Roman;serif" w:hAnsi="Times New Roman;serif"/>
                <w:b w:val="false"/>
                <w:color w:val="000000"/>
                <w:sz w:val="13"/>
              </w:rPr>
              <w:t>1</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remediation activities related to internal control over financial reporting</w:t>
            </w:r>
            <w:r>
              <w:rPr>
                <w:rFonts w:ascii="Times New Roman;serif" w:hAnsi="Times New Roman;serif"/>
                <w:b w:val="false"/>
                <w:color w:val="000000"/>
                <w:sz w:val="13"/>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Group annuity contract premium adjustment</w:t>
            </w:r>
            <w:r>
              <w:rPr>
                <w:rFonts w:ascii="Times New Roman;serif" w:hAnsi="Times New Roman;serif"/>
                <w:b w:val="false"/>
                <w:color w:val="000000"/>
                <w:sz w:val="13"/>
              </w:rPr>
              <w:t>3</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the transition to the ABL Facility</w:t>
            </w:r>
            <w:r>
              <w:rPr>
                <w:rFonts w:ascii="Times New Roman;serif" w:hAnsi="Times New Roman;serif"/>
                <w:b w:val="false"/>
                <w:color w:val="000000"/>
                <w:sz w:val="13"/>
              </w:rPr>
              <w:t>1</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on the sale of corporate-owned land</w:t>
            </w:r>
            <w:r>
              <w:rPr>
                <w:rFonts w:ascii="Times New Roman;serif" w:hAnsi="Times New Roman;serif"/>
                <w:b w:val="false"/>
                <w:color w:val="000000"/>
                <w:sz w:val="13"/>
              </w:rPr>
              <w:t>3</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Corporate</w:t>
            </w:r>
          </w:p>
        </w:tc>
        <w:tc>
          <w:tcPr>
            <w:tcW w:w="3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Included in “Selling, general and administrative expenses” in the condensed consolidated statements of income.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Included in “Cost of Goods Sold” in the condensed consolidated statements of income.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Included in “Other income (expense), net” in the condensed consolidated statements of income.</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Average total debt outstanding and interest rates were as follows:</w:t>
      </w:r>
    </w:p>
    <w:tbl>
      <w:tblPr>
        <w:tblW w:w="8893" w:type="dxa"/>
        <w:jc w:val="left"/>
        <w:tblInd w:w="0" w:type="dxa"/>
        <w:tblLayout w:type="fixed"/>
        <w:tblCellMar>
          <w:top w:w="28" w:type="dxa"/>
          <w:left w:w="28" w:type="dxa"/>
          <w:bottom w:w="28" w:type="dxa"/>
          <w:right w:w="28" w:type="dxa"/>
        </w:tblCellMar>
      </w:tblPr>
      <w:tblGrid>
        <w:gridCol w:w="2355"/>
        <w:gridCol w:w="2072"/>
        <w:gridCol w:w="2083"/>
        <w:gridCol w:w="213"/>
        <w:gridCol w:w="517"/>
        <w:gridCol w:w="274"/>
        <w:gridCol w:w="110"/>
        <w:gridCol w:w="110"/>
        <w:gridCol w:w="110"/>
        <w:gridCol w:w="213"/>
        <w:gridCol w:w="517"/>
        <w:gridCol w:w="319"/>
      </w:tblGrid>
      <w:tr>
        <w:trPr/>
        <w:tc>
          <w:tcPr>
            <w:tcW w:w="235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Floating-rate debt with interest charged on a rollover basis plus a credit spread:</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outstanding debt balance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 rate</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center"/>
        <w:rPr>
          <w:rFonts w:ascii="Times New Roman;serif" w:hAnsi="Times New Roman;serif"/>
          <w:b/>
          <w:color w:val="000000"/>
          <w:sz w:val="20"/>
          <w:u w:val="single"/>
        </w:rPr>
      </w:pPr>
      <w:r>
        <w:rPr>
          <w:rFonts w:ascii="Times New Roman;serif" w:hAnsi="Times New Roman;serif"/>
          <w:b/>
          <w:color w:val="000000"/>
          <w:sz w:val="20"/>
          <w:u w:val="single"/>
        </w:rPr>
        <w:t>Segment Operations Review</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Aluminum Extrusions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results for Aluminum Extrusions (also "Bonnell Aluminum") is provided below: </w:t>
      </w:r>
    </w:p>
    <w:tbl>
      <w:tblPr>
        <w:tblW w:w="10284" w:type="dxa"/>
        <w:jc w:val="left"/>
        <w:tblInd w:w="0" w:type="dxa"/>
        <w:tblLayout w:type="fixed"/>
        <w:tblCellMar>
          <w:top w:w="28" w:type="dxa"/>
          <w:left w:w="28" w:type="dxa"/>
          <w:bottom w:w="28" w:type="dxa"/>
          <w:right w:w="28" w:type="dxa"/>
        </w:tblCellMar>
      </w:tblPr>
      <w:tblGrid>
        <w:gridCol w:w="661"/>
        <w:gridCol w:w="344"/>
        <w:gridCol w:w="346"/>
        <w:gridCol w:w="109"/>
        <w:gridCol w:w="109"/>
        <w:gridCol w:w="109"/>
        <w:gridCol w:w="211"/>
        <w:gridCol w:w="826"/>
        <w:gridCol w:w="109"/>
        <w:gridCol w:w="109"/>
        <w:gridCol w:w="109"/>
        <w:gridCol w:w="109"/>
        <w:gridCol w:w="211"/>
        <w:gridCol w:w="826"/>
        <w:gridCol w:w="109"/>
        <w:gridCol w:w="109"/>
        <w:gridCol w:w="109"/>
        <w:gridCol w:w="109"/>
        <w:gridCol w:w="389"/>
        <w:gridCol w:w="389"/>
        <w:gridCol w:w="393"/>
        <w:gridCol w:w="109"/>
        <w:gridCol w:w="109"/>
        <w:gridCol w:w="109"/>
        <w:gridCol w:w="211"/>
        <w:gridCol w:w="826"/>
        <w:gridCol w:w="109"/>
        <w:gridCol w:w="109"/>
        <w:gridCol w:w="109"/>
        <w:gridCol w:w="109"/>
        <w:gridCol w:w="211"/>
        <w:gridCol w:w="826"/>
        <w:gridCol w:w="109"/>
        <w:gridCol w:w="109"/>
        <w:gridCol w:w="109"/>
        <w:gridCol w:w="109"/>
        <w:gridCol w:w="355"/>
        <w:gridCol w:w="355"/>
        <w:gridCol w:w="506"/>
      </w:tblGrid>
      <w:tr>
        <w:trPr/>
        <w:tc>
          <w:tcPr>
            <w:tcW w:w="6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 (lbs)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135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 from ongoing operations</w:t>
            </w:r>
            <w:r>
              <w:rPr>
                <w:rFonts w:ascii="Times New Roman;serif" w:hAnsi="Times New Roman;serif"/>
                <w:b w:val="false"/>
                <w:color w:val="000000"/>
                <w:sz w:val="13"/>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77.3%</w:t>
            </w:r>
          </w:p>
        </w:tc>
      </w:tr>
      <w:tr>
        <w:trPr/>
        <w:tc>
          <w:tcPr>
            <w:tcW w:w="135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84" w:type="dxa"/>
            <w:gridSpan w:val="39"/>
            <w:tcBorders>
              <w:top w:val="single" w:sz="12"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 Excludes related depreciation and amortization</w:t>
            </w:r>
          </w:p>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 Includes segment allocated employee-related benefit expense (income).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See the reconciliation below of this non-GAAP measure to the most comparable measure calculated in accordance with GAAP. *Not meaningful (“NM”)</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sales volume by end use market for the three and six months ended June 30, 2026 and 2025, and the three months ended March 31, 2026. </w:t>
      </w:r>
    </w:p>
    <w:tbl>
      <w:tblPr>
        <w:tblW w:w="10670" w:type="dxa"/>
        <w:jc w:val="left"/>
        <w:tblInd w:w="0" w:type="dxa"/>
        <w:tblLayout w:type="fixed"/>
        <w:tblCellMar>
          <w:top w:w="28" w:type="dxa"/>
          <w:left w:w="28" w:type="dxa"/>
          <w:bottom w:w="28" w:type="dxa"/>
          <w:right w:w="28" w:type="dxa"/>
        </w:tblCellMar>
      </w:tblPr>
      <w:tblGrid>
        <w:gridCol w:w="586"/>
        <w:gridCol w:w="515"/>
        <w:gridCol w:w="280"/>
        <w:gridCol w:w="109"/>
        <w:gridCol w:w="109"/>
        <w:gridCol w:w="109"/>
        <w:gridCol w:w="255"/>
        <w:gridCol w:w="256"/>
        <w:gridCol w:w="124"/>
        <w:gridCol w:w="109"/>
        <w:gridCol w:w="109"/>
        <w:gridCol w:w="109"/>
        <w:gridCol w:w="255"/>
        <w:gridCol w:w="256"/>
        <w:gridCol w:w="124"/>
        <w:gridCol w:w="109"/>
        <w:gridCol w:w="109"/>
        <w:gridCol w:w="109"/>
        <w:gridCol w:w="266"/>
        <w:gridCol w:w="260"/>
        <w:gridCol w:w="651"/>
        <w:gridCol w:w="109"/>
        <w:gridCol w:w="109"/>
        <w:gridCol w:w="109"/>
        <w:gridCol w:w="266"/>
        <w:gridCol w:w="245"/>
        <w:gridCol w:w="246"/>
        <w:gridCol w:w="109"/>
        <w:gridCol w:w="109"/>
        <w:gridCol w:w="109"/>
        <w:gridCol w:w="260"/>
        <w:gridCol w:w="260"/>
        <w:gridCol w:w="651"/>
        <w:gridCol w:w="109"/>
        <w:gridCol w:w="109"/>
        <w:gridCol w:w="109"/>
        <w:gridCol w:w="180"/>
        <w:gridCol w:w="180"/>
        <w:gridCol w:w="166"/>
        <w:gridCol w:w="109"/>
        <w:gridCol w:w="109"/>
        <w:gridCol w:w="109"/>
        <w:gridCol w:w="180"/>
        <w:gridCol w:w="180"/>
        <w:gridCol w:w="166"/>
        <w:gridCol w:w="109"/>
        <w:gridCol w:w="109"/>
        <w:gridCol w:w="109"/>
        <w:gridCol w:w="263"/>
        <w:gridCol w:w="263"/>
        <w:gridCol w:w="72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r>
      <w:tr>
        <w:trPr/>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of lbs)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r>
      <w:tr>
        <w:trPr/>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3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 by end-use market: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Non-residential B&amp;C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B&amp;C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Specialty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72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2026 Results vs. Second Quarter 2025 Results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sales in the second quarter of 2026</w:t>
      </w:r>
      <w:r>
        <w:rPr>
          <w:color w:val="000000"/>
          <w:shd w:fill="FFFFFF" w:val="clear"/>
        </w:rPr>
        <w:t xml:space="preserve"> </w:t>
      </w:r>
      <w:r>
        <w:rPr>
          <w:rFonts w:ascii="Times New Roman;serif" w:hAnsi="Times New Roman;serif"/>
          <w:b w:val="false"/>
          <w:color w:val="000000"/>
          <w:sz w:val="20"/>
          <w:shd w:fill="FFFFFF" w:val="clear"/>
        </w:rPr>
        <w:t>increas</w:t>
      </w:r>
      <w:r>
        <w:rPr>
          <w:rFonts w:ascii="Times New Roman;serif" w:hAnsi="Times New Roman;serif"/>
          <w:b w:val="false"/>
          <w:color w:val="000000"/>
          <w:sz w:val="20"/>
        </w:rPr>
        <w:t>ed 24.1% ve</w:t>
      </w:r>
      <w:r>
        <w:rPr>
          <w:rFonts w:ascii="Times New Roman;serif" w:hAnsi="Times New Roman;serif"/>
          <w:b w:val="false"/>
          <w:color w:val="000000"/>
          <w:sz w:val="20"/>
          <w:shd w:fill="FFFFFF" w:val="clear"/>
        </w:rPr>
        <w:t>rsus the second quarter of 2025 primarily due to the pass-through of higher metal costs, partially offset by lower volume. Sales volume in the second quarter of 2026 decrease</w:t>
      </w:r>
      <w:r>
        <w:rPr>
          <w:rFonts w:ascii="Times New Roman;serif" w:hAnsi="Times New Roman;serif"/>
          <w:b w:val="false"/>
          <w:color w:val="000000"/>
          <w:sz w:val="20"/>
        </w:rPr>
        <w:t>d 5.8% ver</w:t>
      </w:r>
      <w:r>
        <w:rPr>
          <w:rFonts w:ascii="Times New Roman;serif" w:hAnsi="Times New Roman;serif"/>
          <w:b w:val="false"/>
          <w:color w:val="000000"/>
          <w:sz w:val="20"/>
          <w:shd w:fill="FFFFFF" w:val="clear"/>
        </w:rPr>
        <w:t>sus the second quarter of 2025 and increa</w:t>
      </w:r>
      <w:r>
        <w:rPr>
          <w:rFonts w:ascii="Times New Roman;serif" w:hAnsi="Times New Roman;serif"/>
          <w:b w:val="false"/>
          <w:color w:val="000000"/>
          <w:sz w:val="20"/>
        </w:rPr>
        <w:t>sed 8.8% versus</w:t>
      </w:r>
      <w:r>
        <w:rPr>
          <w:color w:val="000000"/>
          <w:shd w:fill="FFFFFF" w:val="clear"/>
        </w:rPr>
        <w:t xml:space="preserve"> </w:t>
      </w:r>
      <w:r>
        <w:rPr>
          <w:rFonts w:ascii="Times New Roman;serif" w:hAnsi="Times New Roman;serif"/>
          <w:b w:val="false"/>
          <w:color w:val="000000"/>
          <w:sz w:val="20"/>
          <w:shd w:fill="FFFFFF" w:val="clear"/>
        </w:rPr>
        <w:t xml:space="preserve">the first quarter of 2026. </w:t>
      </w:r>
      <w:r>
        <w:rPr>
          <w:rFonts w:ascii="Times New Roman;serif" w:hAnsi="Times New Roman;serif"/>
          <w:b w:val="false"/>
          <w:color w:val="000000"/>
          <w:sz w:val="20"/>
        </w:rPr>
        <w:t>Bonnell Aluminum experienced a 16% decline in nonresidential building and construction volume, driven by higher costs, including significantly higher metal costs, and ongoing economic uncertainty. Nonresidential building and construction volume represented approximately 48% of total volume and remains Bonnell Aluminum’s most significant end-use market. Within the specialty market, consumer durables volume, representing 8% of total volume, decreased 18% due to consumer cautionary spending on discretionary purchases. Also within the specialty market, TSLOTS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shipments, representing approximately 11% of total volume, increased 45%, supported by increased demand for data</w:t>
        <w:noBreakHyphen/>
        <w:t>containment and data</w:t>
        <w:noBreakHyphen/>
        <w:t>center infrastructure. Automotive and transportation volume declined 16%, reflecting continued cost pressures on manufacturers and lower sales compared with the prior year period, which benefited from tariff-related pull-forward demand in the second quarter of 2025. Automotive and transportation represents approximately 7% of total volume.</w:t>
      </w:r>
      <w:r>
        <w:rPr>
          <w:color w:val="000000"/>
          <w:shd w:fill="FFFFFF" w:val="clear"/>
        </w:rPr>
        <w:t xml:space="preserve">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new orders in the second quarter of 2026 increased slightly to an average of 3.2 million pounds per week versus an average of 3.1 million pounds per week in the second quarter of 2025, supported by increased activity in TSLOTS</w:t>
      </w:r>
      <w:r>
        <w:rPr>
          <w:rFonts w:ascii="Times New Roman;serif" w:hAnsi="Times New Roman;serif"/>
          <w:b w:val="false"/>
          <w:color w:val="000000"/>
          <w:sz w:val="13"/>
        </w:rPr>
        <w:t xml:space="preserve">TM </w:t>
      </w:r>
      <w:r>
        <w:rPr>
          <w:rFonts w:ascii="Times New Roman;serif" w:hAnsi="Times New Roman;serif"/>
          <w:b w:val="false"/>
          <w:color w:val="000000"/>
          <w:sz w:val="20"/>
        </w:rPr>
        <w:t xml:space="preserve">for modular aluminum framing systems and renewable energy applications. Open orders at the end of the second quarter of 2026 were 23 million pounds versus 25 million pounds at the end of the second quarter of 2025 and 19 million pounds at the end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first quarter of 2026. This level of open orders falls within the normalized level that is typically associated with stable demand patterns and healthy market dynamics.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Market conditions remain impacted by U.S. trade policy. Following the increase in Section 232 aluminum tariffs to 50% in June 2025, Bonnell Aluminum experienced a decline in new orders of approximately 20%. Changes to the tariff structure announced in April 2026, which include measures intended to close the loophole that allowed undervalued aluminum extrusions to enter the U.S., appear to be contributing to a more balanced competitive environment.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Tariffs and duties continue to be passed through to customers under the Company’s metal</w:t>
        <w:noBreakHyphen/>
        <w:t>cost adjustment mechanism. The Company implemented additional price increases in the first quarter of 2026 and the third quarter of 2025 to offset tariff</w:t>
        <w:noBreakHyphen/>
        <w:t>related costs not covered by that mechanism.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second quarter of 2026 increased $5.2 million versus the second quarter of 2025, primarily due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$5.2 million increase in contribution margin (net sales less variable costs) associated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Lower volume ($1.9 million), higher labor rates ($2.0 million), unfavorable labor productivity primarily due to more labor intensive requirements for higher-value products ($1.0 million), higher maintenance, supply and die expense, partially associated with tariff impact ($0.8 million), and higher freight expense ($0.8 million), partially offset by pricing increases ($0.6 million) and favorable manufacturing costs primarily associated with casting capabilities due to scrap spreads, reflecting a wider cost differential between primary aluminum and recycled scrap input, and higher scrap utilization ($5.1 million favorable in the second quarter of 2026 versus $0.7 million unfavorable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$4.9 million in the second quarter of 2026 versus a charge of $0.7 million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primarily associated with wage and benefits increases ($0.5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Higher SG&amp;A expenses primarily associated with incentive compensation expense ($0.9 million).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Lower other expense for lower employee-related medical costs associated with medical claims ($1.5 million).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expects the benefit associated with FIFO inventory positions and metal price trends to be substantially neutralized during the third quarter.</w:t>
      </w:r>
    </w:p>
    <w:p>
      <w:pPr>
        <w:pStyle w:val="TextBody"/>
        <w:bidi w:val="0"/>
        <w:spacing w:lineRule="auto" w:line="26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2026 Results vs. First Six Months of 2025 Results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the first six months of 2026 increased 21.8% versus the first six months of 2025 primarily due to the pass-through of higher metal costs, partially offset by lower sales volume. Sales volume in the first six months of 2026 decreased 6.5% versus the first six months of 2025.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first six months of 2026 increased $7.8 million in comparison to the first six months of 2025 primarily due to:</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 $7.2 million increase in contribution margin associated with: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Favorable mix ($5.5 million) and favorable manufacturing costs primarily associated with casting capabilities due to scrap spreads, reflecting a wider cost differential between primary aluminum and recycled scrap input, and higher scrap utilization ($7.0 million favorable in the first six months of 2026 versus $0.9 million unfavorable in the first six months of 2025), partially offset by lower volume ($4.1 million), higher labor rates ($3.7 million), decreased labor productivity primarily due to more labor intensive requirements for higher-value products ($0.7 million), higher maintenance expense, primarily associated with downed equipment in the first quarter of 2026 and tariff impacts ($1.1 million), higher die expense, including tariff impact ($1.3 million), higher freight ($1.2 million), and higher utilities ($0.5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the flow-through under the FIFO method of aluminum raw material costs, which were previously acquired in a quickly changing commodity pricing environment and passed through to customers, resulted in a benefit of $7.8 million in the first six months of 2026 versus a benefit of $1.0 million in the first six months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primarily associated with wage and benefits-related expense increases ($1.1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SG&amp;A expenses primarily associated with higher incentive compensation, partially offset by lower routine environmental compliance expense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Lower other expense for lower employee-related medical costs associated with medical claims ($2.1 million).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Conflict-driven disruptions in the Strait of Hormuz beginning in March 2026 have constrained shipments and raised costs, contributing to historically low U.S. inventory levels. In response to ongoing geopolitical tensions in the Middle East and resulting contraction of the global aluminum market, we have proactively diversified Bonnell Aluminum’s supply chain portfolio to support long-term stability. Through the remainder of 2026, we have successfully secured nearly all of Bonnell Aluminum’s aluminum supply requirements and are proactively reviewing Bonnell Aluminum’s 2027 supply needs and sources to minimize exposure to the Middle East. Simultaneously, we are optimizing billet casting operations at our Carthage, TN, and Newnan, GA facilities to overcome localized production constraints. These strategic shifts in our supply chain and internal capabilities continue to strengthen our operational resilience, positioning Bonnell Aluminum to meet customer demand. </w:t>
      </w:r>
    </w:p>
    <w:p>
      <w:pPr>
        <w:pStyle w:val="TextBody"/>
        <w:bidi w:val="0"/>
        <w:spacing w:lineRule="auto" w:line="268" w:before="100" w:after="283"/>
        <w:ind w:left="0" w:right="0" w:firstLine="450"/>
        <w:jc w:val="left"/>
        <w:rPr/>
      </w:pPr>
      <w:r>
        <w:rPr>
          <w:rFonts w:ascii="Times New Roman;serif" w:hAnsi="Times New Roman;serif"/>
          <w:b w:val="false"/>
          <w:color w:val="000000"/>
          <w:sz w:val="20"/>
        </w:rPr>
        <w:t xml:space="preserve">Refer to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in this Form 10-Q for additional information on aluminum price trends. </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expenditures for Bonnell Aluminum are projected to be $20 million in 2026, including $4 million for productivity projects and $16 million for capital expenditures required to support continuity of operations. Depreciation expense is projected to be $14 million in 2026. Amortization expense is projected to be $2 million in 2026. The Company anticipates capital spending for Bonnell Aluminum to increase from the levels of the past two years and return to a pattern more closely aligned with depreciation and amortization, consistent with long-term historical patterns. This approach supports ongoing maintenance and efficiency initiatives while maintaining disciplined capital allocation.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High Performance Films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results for High Performance Films is provided below:</w:t>
      </w:r>
    </w:p>
    <w:tbl>
      <w:tblPr>
        <w:tblW w:w="10205" w:type="dxa"/>
        <w:jc w:val="left"/>
        <w:tblInd w:w="0" w:type="dxa"/>
        <w:tblLayout w:type="fixed"/>
        <w:tblCellMar>
          <w:top w:w="28" w:type="dxa"/>
          <w:left w:w="28" w:type="dxa"/>
          <w:bottom w:w="28" w:type="dxa"/>
          <w:right w:w="28" w:type="dxa"/>
        </w:tblCellMar>
      </w:tblPr>
      <w:tblGrid>
        <w:gridCol w:w="751"/>
        <w:gridCol w:w="460"/>
        <w:gridCol w:w="462"/>
        <w:gridCol w:w="109"/>
        <w:gridCol w:w="109"/>
        <w:gridCol w:w="109"/>
        <w:gridCol w:w="211"/>
        <w:gridCol w:w="721"/>
        <w:gridCol w:w="109"/>
        <w:gridCol w:w="109"/>
        <w:gridCol w:w="109"/>
        <w:gridCol w:w="109"/>
        <w:gridCol w:w="211"/>
        <w:gridCol w:w="721"/>
        <w:gridCol w:w="109"/>
        <w:gridCol w:w="109"/>
        <w:gridCol w:w="109"/>
        <w:gridCol w:w="109"/>
        <w:gridCol w:w="391"/>
        <w:gridCol w:w="391"/>
        <w:gridCol w:w="396"/>
        <w:gridCol w:w="109"/>
        <w:gridCol w:w="109"/>
        <w:gridCol w:w="109"/>
        <w:gridCol w:w="211"/>
        <w:gridCol w:w="721"/>
        <w:gridCol w:w="109"/>
        <w:gridCol w:w="109"/>
        <w:gridCol w:w="109"/>
        <w:gridCol w:w="109"/>
        <w:gridCol w:w="211"/>
        <w:gridCol w:w="721"/>
        <w:gridCol w:w="109"/>
        <w:gridCol w:w="109"/>
        <w:gridCol w:w="109"/>
        <w:gridCol w:w="109"/>
        <w:gridCol w:w="357"/>
        <w:gridCol w:w="357"/>
        <w:gridCol w:w="514"/>
      </w:tblGrid>
      <w:tr>
        <w:trPr/>
        <w:tc>
          <w:tcPr>
            <w:tcW w:w="75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r>
      <w:tr>
        <w:trPr/>
        <w:tc>
          <w:tcPr>
            <w:tcW w:w="16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r>
      <w:tr>
        <w:trPr/>
        <w:tc>
          <w:tcPr>
            <w:tcW w:w="16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 (lbs)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67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 from ongoing operations</w:t>
            </w:r>
            <w:r>
              <w:rPr>
                <w:rFonts w:ascii="Times New Roman;serif" w:hAnsi="Times New Roman;serif"/>
                <w:b w:val="false"/>
                <w:color w:val="000000"/>
                <w:sz w:val="13"/>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(28.1)%</w:t>
            </w:r>
          </w:p>
        </w:tc>
      </w:tr>
      <w:tr>
        <w:trPr/>
        <w:tc>
          <w:tcPr>
            <w:tcW w:w="167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12"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 Excludes related depreciation and amortization</w:t>
            </w:r>
          </w:p>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 Includes segment allocated employee-related benefit expense (income).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See the reconciliation below of this non-GAAP measure to the most comparable measure calculated in accordance with GAAP. *Not meaningful (“NM”)</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2026 Results vs. Second Quarter 2025 Results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sales</w:t>
      </w:r>
      <w:r>
        <w:rPr>
          <w:color w:val="000000"/>
          <w:shd w:fill="FFFFFF" w:val="clear"/>
        </w:rPr>
        <w:t xml:space="preserve"> </w:t>
      </w:r>
      <w:r>
        <w:rPr>
          <w:rFonts w:ascii="Times New Roman;serif" w:hAnsi="Times New Roman;serif"/>
          <w:b w:val="false"/>
          <w:color w:val="000000"/>
          <w:sz w:val="20"/>
          <w:shd w:fill="FFFFFF" w:val="clear"/>
        </w:rPr>
        <w:t xml:space="preserve">in the second </w:t>
      </w:r>
      <w:r>
        <w:rPr>
          <w:rFonts w:ascii="Times New Roman;serif" w:hAnsi="Times New Roman;serif"/>
          <w:b w:val="false"/>
          <w:color w:val="000000"/>
          <w:sz w:val="20"/>
        </w:rPr>
        <w:t xml:space="preserve">quarter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 xml:space="preserve">2026 increased 4.2% versus the second quarter of 2025 due to an increase in sales volume for surface protection films, partially offset by unfavorable mix in surface protection films. Surface Protection sales volume increased 17.8% in the second quarter of 2026 versus the second quarter of 2025. Volume for advanced packaging films, which are predominantly manufactured and sold in the U.S. and used in consumer staple items, decreased 17.8% in the second quarter of 2026 versus the second quarter of 2025.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EBITDA from ongoing operations in the second quarter of 2026 decreased $0.9 million versus the second quarter of 2025, primarily due to: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decrease in contribution margin of $0.7 million resulting from: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 $0.1 million increase from Surface Protection primarily due to favorable productivity and cost improvements ($0.8 million), partially offset by unfavorable mix ($0.2 million) and the pass-through lag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associated with higher resin costs (a charge of $0.5 million in the second quarter of 2026 versus no charge or benefit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$0.8 million decrease from advanced packaging films primarily due to the pass-through lag associated with higher resin costs (a charge of $0.7 million in the second quarter of 2026 versus no charge or benefit in the second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associated with employee-related compensation ($0.4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Lower SG&amp;A expense associated with lower employee-related compensation ($0.3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foreign currency transaction loss of $0.3 million in the second quarter of 2026 versus no gain or loss in the second quarter of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significant cyclical swings in the sales volume and EBITDA from ongoing operations for High Performance Films since the beginning of 2022, largely due to the unprecedented downturn in the display industry during the second half of 2022 and first half of 2023. EBITDA from ongoing operations for the past 4.5 years has averaged approximately $5.0 million per quarter. </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2026 Results vs. First Six Months of 2025 Results</w:t>
      </w:r>
    </w:p>
    <w:p>
      <w:pPr>
        <w:pStyle w:val="TextBody"/>
        <w:bidi w:val="0"/>
        <w:spacing w:lineRule="auto" w:line="26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sales in the first six months of 2026 decreased 5.9% compared to the first six months of 2025 primarily due to unfavorable mix in surface protection films. Surface Protection sales volume decreased 0.8% in the first six months of 2026 versus the first six months of 2025. Sales volume for surface protection films declined in the first six months of 2026 versus the first six months of 2025 as expected due to a significant customer’s inventory correction and scheduled maintenance activity for another customer in the first six months of 2026. Volume for advanced packaging films decreased 6.9% in the first six months of 2026 versus the first six months of 2025 primarily due to lower margin product. The top four customers comprised 85% and 86% of the net sales for High Performance Films for the first six months of 2026 and first six months of 2025, respectively.</w:t>
      </w:r>
    </w:p>
    <w:p>
      <w:pPr>
        <w:pStyle w:val="TextBody"/>
        <w:bidi w:val="0"/>
        <w:spacing w:lineRule="auto" w:line="26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first six months of 2026 decreased $3.4 million versus the first six months of 2025, primarily due to:</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decrease in contribution margin of $3.1 million resulting from:</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$2.7 million decrease from Surface Protection associated with lower volume and unfavorable mix ($3.4 million) and the pass-through lag associated with higher resin costs (a charge of $0.6 million in the first six months of 2026 versus a charge of $0.1 million in the first six months of 2025), partially offset by favorable productivity and cost improvements ($1.3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$0.4 million decrease from advanced packaging films primarily due to lower volume ($0.3 million), unfavorable productivity ($0.5 million) and the pass-through lag associated with higher resin costs (a charge of $0.8 million in the first six months of 2026 versus a charge of $0.1 million in the first six months of 2025), partially offset by favorable mix ($1.1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Higher fixed costs primarily associated with employee-related compensation ($0.4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Lower SG&amp;A expense associated with lower employee-related compensation ($0.6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foreign currency transaction loss of $0.6 million in the first six months of 2026 versus no gain or loss in the first six months of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the conflict-driven disruptions in the Strait of Hormuz beginning in March 2026 have caused an increase to resin costs, High Performance Films maintains pass-through mechanisms with customers and has not experienced supply issues to date.</w:t>
      </w:r>
    </w:p>
    <w:p>
      <w:pPr>
        <w:pStyle w:val="TextBody"/>
        <w:bidi w:val="0"/>
        <w:spacing w:lineRule="auto" w:line="288" w:before="100" w:after="283"/>
        <w:ind w:left="0" w:right="0" w:firstLine="450"/>
        <w:jc w:val="left"/>
        <w:rPr/>
      </w:pPr>
      <w:r>
        <w:rPr>
          <w:rFonts w:ascii="Times New Roman;serif" w:hAnsi="Times New Roman;serif"/>
          <w:b w:val="false"/>
          <w:color w:val="000000"/>
          <w:sz w:val="20"/>
        </w:rPr>
        <w:t>R</w:t>
      </w:r>
      <w:r>
        <w:rPr>
          <w:rFonts w:ascii="Times New Roman;serif" w:hAnsi="Times New Roman;serif"/>
          <w:b w:val="false"/>
          <w:color w:val="000000"/>
          <w:sz w:val="20"/>
          <w:shd w:fill="FFFFFF" w:val="clear"/>
        </w:rPr>
        <w:t xml:space="preserve">efer to Item 3. </w:t>
      </w:r>
      <w:r>
        <w:rPr>
          <w:rFonts w:ascii="Times New Roman;serif" w:hAnsi="Times New Roman;serif"/>
          <w:b w:val="false"/>
          <w:i/>
          <w:color w:val="000000"/>
          <w:sz w:val="20"/>
          <w:shd w:fill="FFFFFF" w:val="clear"/>
        </w:rPr>
        <w:t>Q</w:t>
      </w:r>
      <w:r>
        <w:rPr>
          <w:rFonts w:ascii="Times New Roman;serif" w:hAnsi="Times New Roman;serif"/>
          <w:b w:val="false"/>
          <w:i/>
          <w:color w:val="000000"/>
          <w:sz w:val="20"/>
        </w:rPr>
        <w:t>uantitative and Qualitative Disclosures About Market Risk</w:t>
      </w:r>
      <w:r>
        <w:rPr>
          <w:color w:val="000000"/>
        </w:rPr>
        <w:t xml:space="preserve"> </w:t>
      </w:r>
      <w:r>
        <w:rPr>
          <w:rFonts w:ascii="Times New Roman;serif" w:hAnsi="Times New Roman;serif"/>
          <w:b w:val="false"/>
          <w:color w:val="000000"/>
          <w:sz w:val="20"/>
        </w:rPr>
        <w:t>in this Form 10-Q f</w:t>
      </w:r>
      <w:r>
        <w:rPr>
          <w:rFonts w:ascii="Times New Roman;serif" w:hAnsi="Times New Roman;serif"/>
          <w:b w:val="false"/>
          <w:color w:val="000000"/>
          <w:sz w:val="20"/>
          <w:shd w:fill="FFFFFF" w:val="clear"/>
        </w:rPr>
        <w:t xml:space="preserve">or additional information on resin prices. </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expenditures for High Performance Films are projected to be $2 million in 2026, including $1 million for productivity projects and $1 million for capital expenditures required to support continuity of current operations. Depreciation expense is projected to be $4 million in 2026. There is no amortization expense for High Performance Films.</w:t>
      </w:r>
    </w:p>
    <w:p>
      <w:pPr>
        <w:pStyle w:val="TextBody"/>
        <w:bidi w:val="0"/>
        <w:spacing w:lineRule="auto" w:line="288" w:before="100" w:after="283"/>
        <w:jc w:val="left"/>
        <w:rPr>
          <w:rFonts w:ascii="Times New Roman;serif" w:hAnsi="Times New Roman;serif"/>
          <w:b/>
          <w:i/>
          <w:color w:val="000000"/>
          <w:sz w:val="20"/>
          <w:u w:val="single"/>
        </w:rPr>
      </w:pPr>
      <w:r>
        <w:rPr>
          <w:rFonts w:ascii="Times New Roman;serif" w:hAnsi="Times New Roman;serif"/>
          <w:b/>
          <w:i/>
          <w:color w:val="000000"/>
          <w:sz w:val="20"/>
          <w:u w:val="single"/>
        </w:rPr>
        <w:t>Corporate Expenses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Corporate expenses, net in the first six months of 2026 decreased $2.7 million compared to the first six months of 2025 due to lower professional fees associated with business development activities ($4.1 million), partially offset by a gain on the sale of corporate-owned land in 2025 ($1.5 million). The Company does not expect significant expenses from business development activities in 2026.</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Net capitalization and other credit measures are provided in </w:t>
      </w:r>
      <w:r>
        <w:rPr>
          <w:rFonts w:ascii="Times New Roman;serif" w:hAnsi="Times New Roman;serif"/>
          <w:b/>
          <w:i/>
          <w:color w:val="000000"/>
          <w:sz w:val="20"/>
        </w:rPr>
        <w:t xml:space="preserve">Liquidity and Capital Resources </w:t>
      </w:r>
      <w:r>
        <w:rPr>
          <w:rFonts w:ascii="Times New Roman;serif" w:hAnsi="Times New Roman;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i/>
          <w:color w:val="000000"/>
          <w:sz w:val="20"/>
          <w:u w:val="single"/>
        </w:rPr>
      </w:pPr>
      <w:r>
        <w:rPr>
          <w:rFonts w:ascii="Times New Roman;serif" w:hAnsi="Times New Roman;serif"/>
          <w:b/>
          <w:i/>
          <w:color w:val="000000"/>
          <w:sz w:val="20"/>
          <w:u w:val="single"/>
        </w:rPr>
        <w:t>Reconciliation of Net Sales and EBITDA from Ongoing Operations by Segment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segment financial information to consolidated results for the Company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679"/>
        <w:gridCol w:w="1288"/>
        <w:gridCol w:w="130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7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condensed consolidated statements of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from 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Performance Films: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450"/>
        <w:jc w:val="center"/>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2025 to June 30, 2026 are summarized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and other receivables increased $15.6 million (19.1%).</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and other receivables in Aluminum Extrusions increased $13.8 million primarily due to the pass-through of higher metal costs. DSO (represents trailing 12 months net sales divided by a rolling 12-month average of accounts and other receivables balances) was approximately 44.9 days for the 12 months ended June 30, 2026 and 44.8 days for the 12 months ended December 31, 2025.</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 xml:space="preserve">Accounts and other receivables in High Performance Films increased $1.8 million primarily due to higher sales volume. DSO was approximately 26.0 days for the 12 months ended June 30, 2026 and 25.4 days for the 12 months ended December 31, 2025. </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Inventories increased $23.1 million (35.6%).</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Inventories in Aluminum Extrusions increased $21.7 million primarily due to increased raw material levels from seasonally low levels at the end of last year, higher metal costs and raw material stocking as a result of the geopolitical uncertainty impacting aluminum-related supply chains. DIO (represents trailing 12 months costs of goods sold calculated on a FIFO basis divided by a rolling 12-month average of inventory balances calculated on the FIFO basis) was approximately 51.1 days for the 12 months ended June 30, 2026 and 48.8 days for the 12 months ended December 31, 2025.</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Inventories in High Performance Films increased $1.4 million primarily due to higher raw material levels and higher resin costs. DIO was approximately 56.7 days for the 12 months ended June 30, 2026 and 54.6 days for the 12 months ended December 31, 2025.</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Net property, plant and equipment increased $2.1 million primarily due to capital expenditures of $11.8 million and favorable foreign exchange of $0.2 million, partially offset by depreciation expense of $9.9 million.</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 xml:space="preserve">Identifiable intangible assets, net decreased $0.9 million (15.8%) due to amortization expense. </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payable increased $18.7 million (24.7%).</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payable in Aluminum Extrusions increased $15.5 million primarily due to increased raw material levels from seasonally low levels at the end of last year, higher metal costs and raw material levels. DPO (represents trailing 12 months costs of goods sold calculated on a FIFO basis divided by a rolling 12-month average of accounts payable balances) was approximately 46.6 days for both the 12 months ended June 30, 2026 and the 12 months ended December 31, 2025.</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payable in High Performance Films increased $4.0 million primarily due to the timing of vendor payments and increased raw material purchases. DPO was approximately 40.6 days for both the 12 months ended June 30, 2026 and the 12 months ended December 31,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$7.7 million in the first six months of 2026 compared to net cash used in operating activities of $2.9 million in the first six months of 2025. The change primarily reflects more favorable working capital movements in the first six months of 2026 compared to the first six months of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$8.7 million in the first six months of 2026 compared to net cash provided by investing activities of $6.1 million the first six months of 2025. The change is primarily due to decreased post-closing settlement proceeds associated with the sale of Terphane ($9.3 million) and a gain on the sale corporate-owned land ($1.5 million), partially offset by higher capital expenditures ($3.6 million).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$10.9 million in the first six months of 2026 compared to net cash used in financing activities of $0.6 million in the first six months of 2025. The change is primarily due to higher debt borrowings, net of principal payments ($10.2 million) under the ABL Facility (as defined below) in the first six months of 2026, partially offset by deferred financing fees paid associated with Amendment No. 5 (defined below) to the ABL Facility during the first six months of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cash and cash equivalents of $17.2 million, including cash and cash equivalents held in locations outside the U.S. of $3.4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Debt and Credit Agreements</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ABL Facility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Second Amended and Restated Credit Agreement (as amended, the "ABL Facility")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The maturity date of the ABL Facility is May 6, 2030. As of June 30, 2026, funds available to borrow under the ABL Facility was $76 million, or 60.8% of the aggregate commitment of $125 million. During 2025, the Company's letters of credit were reduced from approximately $12 million to $3 million, which directly increased the Company's borrowing availability.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Outstanding borrowings accrue interest at the rates elected by the Company depending on the type of loan and denomination of such borrowing. With respect to revolving loans denominated in U.S. Dollars, the Company may elect interest rates at: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Alternate Base Rate (“ABR”) plus the applicable ABR Spread (as defined in the ABL Facility) determined in accordance with an excess availability-based pricing grid. ABR is defined, in part, as the greater of (a) the Prime Rate in effect on such day, (b) the Federal Reserve Bank of New York Rate in effect on such day plus one-half of 1% and (c) the Adjusted Term SOFR Rate (defined below) for a one-month period plus 1%; or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Adjusted Term Secured Overnight Financing Rate ("SOFR") Rate plus the applicable Term Benchmark Spread (as defined in the ABL Facility) determined in accordance with an excess availability-based pricing grid. Adjusted Term SOFR Rate is defined as the Term SOFR Rate plus 0.10%, subject to an initial Floor (as defined in the ABL Facility) of 0%.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upon the quarterly average of daily availability under the ABL Facility, the interest rate pricing grid, is as follows:</w:t>
      </w:r>
    </w:p>
    <w:tbl>
      <w:tblPr>
        <w:tblW w:w="7665" w:type="dxa"/>
        <w:jc w:val="left"/>
        <w:tblInd w:w="0" w:type="dxa"/>
        <w:tblLayout w:type="fixed"/>
        <w:tblCellMar>
          <w:top w:w="28" w:type="dxa"/>
          <w:left w:w="28" w:type="dxa"/>
          <w:bottom w:w="28" w:type="dxa"/>
          <w:right w:w="28" w:type="dxa"/>
        </w:tblCellMar>
      </w:tblPr>
      <w:tblGrid>
        <w:gridCol w:w="1740"/>
        <w:gridCol w:w="1530"/>
        <w:gridCol w:w="1530"/>
        <w:gridCol w:w="500"/>
        <w:gridCol w:w="500"/>
        <w:gridCol w:w="500"/>
        <w:gridCol w:w="400"/>
        <w:gridCol w:w="400"/>
        <w:gridCol w:w="565"/>
      </w:tblGrid>
      <w:tr>
        <w:trPr/>
        <w:tc>
          <w:tcPr>
            <w:tcW w:w="17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76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under the ABL Facility (Basis Points)</w:t>
            </w:r>
          </w:p>
        </w:tc>
      </w:tr>
      <w:tr>
        <w:trPr/>
        <w:tc>
          <w:tcPr>
            <w:tcW w:w="4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Average of Daily Availability</w:t>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Term Benchmark</w:t>
              <w:br/>
              <w:t>Spread</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ABR</w:t>
              <w:br/>
              <w:t>Spread</w:t>
            </w:r>
          </w:p>
        </w:tc>
      </w:tr>
      <w:tr>
        <w:trPr/>
        <w:tc>
          <w:tcPr>
            <w:tcW w:w="4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&gt; 66% of $125 million aggregate commitment</w:t>
            </w:r>
          </w:p>
        </w:tc>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3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xml:space="preserve">≤ </w:t>
            </w:r>
            <w:r>
              <w:rPr>
                <w:rFonts w:ascii="Times New Roman;serif" w:hAnsi="Times New Roman;serif"/>
                <w:b w:val="false"/>
                <w:color w:val="000000"/>
                <w:sz w:val="20"/>
              </w:rPr>
              <w:t>66% but &gt; 33% of $125 million aggregate commitment</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xml:space="preserve">≤ </w:t>
            </w:r>
            <w:r>
              <w:rPr>
                <w:rFonts w:ascii="Times New Roman;serif" w:hAnsi="Times New Roman;serif"/>
                <w:b w:val="false"/>
                <w:color w:val="000000"/>
                <w:sz w:val="20"/>
              </w:rPr>
              <w:t>33% of $125 million aggregate commitment</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commitment fee is (i) 0.25% if the Average Usage (as defined in the ABL Facility) is greater than or equal to 50% and (ii) 0.375% if Average Usage is less than 50%.</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financial covenant is a minimum fixed charge coverage ratio (as defined in the ABL Facility) of 1.00:1.00 that will be triggered in the event that availability is less than the greater of (x) 10% of the Line Cap (as defined in the ABL Facility) and (y) $10 million and will continue until availability is equal to or greater than the greater of (x) 10% of the Line Cap and (y) $10 million for 30 consecutive days, as long as no events of default are continuing.</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at any time the availability under the ABL facility is less than the greater of (x) 20% of the Line Cap and (y) $20 million and until such subsequent date, if any, on which availability is greater than the greater of (x) 20% of the Line Cap and (y) $20 million for a period of thirty (30) consecutive calendar days, the Company’s current monthly reporting requirements to lenders changes to a weekly cadence.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Cash Dominion Period (as defined in the ABL Facility) is triggered when (x) availability falls below the greater of (i) 12.5% of the Line Cap and (ii) $12.6 million or (y) during the continuation of an event of default and continuing until (x) availability is above the greater of (i) 12.5% of the Line Cap and (ii) $12.6 million for 30 consecutive days and (y) no events of default are continuing. During a Cash Dominion Period, receipts that have not yet been applied to the ABL Facility are classified as restricted cash in the Company’s consolidated balance sheets.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2024). In the event that the Company cannot certify that all conditions to the borrowing have been met, the lenders can restrict the Company’s future borrowings under the ABL Facility.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ABL Facility, the lenders have been provided with the Company’s financial statements, covenant compliance certificates and projections to facilitate their ongoing assessment of the Company. Accordingly,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believes the likelihood that lenders would exercise the subjective acceleration clause whereby prohibiting future borrowings is remote.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computation of Credit EBITDA and fixed charge coverage ratio, as defined in the ABL Facility, is presented below.</w:t>
      </w:r>
    </w:p>
    <w:tbl>
      <w:tblPr>
        <w:tblW w:w="10205" w:type="dxa"/>
        <w:jc w:val="left"/>
        <w:tblInd w:w="0" w:type="dxa"/>
        <w:tblLayout w:type="fixed"/>
        <w:tblCellMar>
          <w:top w:w="28" w:type="dxa"/>
          <w:left w:w="28" w:type="dxa"/>
          <w:bottom w:w="28" w:type="dxa"/>
          <w:right w:w="28" w:type="dxa"/>
        </w:tblCellMar>
      </w:tblPr>
      <w:tblGrid>
        <w:gridCol w:w="2939"/>
        <w:gridCol w:w="2444"/>
        <w:gridCol w:w="2235"/>
        <w:gridCol w:w="501"/>
        <w:gridCol w:w="1716"/>
        <w:gridCol w:w="370"/>
      </w:tblGrid>
      <w:tr>
        <w:trPr/>
        <w:tc>
          <w:tcPr>
            <w:tcW w:w="293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Computations of Credit EBITDA (as defined in the ABL Facility) as of and for the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Twelve Months Ended June 30, 2026 *</w:t>
            </w:r>
          </w:p>
        </w:tc>
      </w:tr>
      <w:tr>
        <w:trPr/>
        <w:tc>
          <w:tcPr>
            <w:tcW w:w="1020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Computations of Credit EBITDA for the twelve months ended June 30, 2026 (in thousands):</w:t>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losses related to discontinued operations</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for continuing operations</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continuing operations</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non-cash losses and expenses, plus cash losses and expenses not to exceed $10,000, for continuing operations that are classified as unusual, extraordinary or which are related to plant shutdowns, asset impairments and/or restructurings (cash-related of $3,884)</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related to stock option grants and awards accounted for under the fair value-based method</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related to the application of the equity method of accounting</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related to adjustments in the estimated fair value of assets accounted for under the fair value method of accounting</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costs and expenses incurred in connection with the amendment process (Amendment No. 3 “ABL Transition”)</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costs and expenses incurred in connection with the amendment process (Amendment No. 5)</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Minus:</w:t>
            </w:r>
          </w:p>
        </w:tc>
        <w:tc>
          <w:tcPr>
            <w:tcW w:w="2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income related to discontinued operations</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benefits for continuing operations</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non-cash gains and income, plus cash gains and income in excess of $10,000, for continuing operations that are classified as unusual, extraordinary or which are related to plant shutdowns, asset impairments and/or restructurings</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related to changes in estimates for stock option grants and awards accounted for under the fair value-based method</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related to the application of the equity method of accounting</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related to adjustments in the estimated fair value of assets accounted for under the fair value method of accounting</w:t>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or minus, as applicable, pro forma EBITDA adjustments associated with acquisitions and asset dispositions</w:t>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EBITDA </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62,770 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 coverage ratio**:</w:t>
            </w:r>
          </w:p>
        </w:tc>
        <w:tc>
          <w:tcPr>
            <w:tcW w:w="25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EBITDA</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Unfinanced capital expenditures</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 coverage ratio</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r>
      <w:tr>
        <w:trPr/>
        <w:tc>
          <w:tcPr>
            <w:tcW w:w="10205"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*Credit EBITDA is not intended to represent net income (loss) or cash flow from operations as defined by GAAP and should not be considered as an alternative to either net income (loss) or to cash flow. </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Fixed Charge Coverage Ratio is computed as the ratio of (a) Credit EBITDA minus Unfinanced Capital Expenditures to (b) Fixed Charges.</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High Performance Films Guangzhou Loan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High Performance Films' business location in Guangzhou, China, Guangzhou Tredegar Film Products Co., Ltd. (“Guangzhou Tredegar”), entered into a 3.5 million Chinese Yuan, which is equivalent to $0.5 million as of December 31, 2025, unsecured revolving loan with the Industrial and Commercial Bank of China. The loan was to mature on October 20, 2026. The interest rate was the one-year loan prime rate published by the National Interbank Funding Center for the working day immediately preceding the drawdown date, minus 0.55%. As of October 20, 2025, the National Interbank Funding Center rate was 3.00%. The financial covenants required that the total amount of Guangzhou Tredegar’s current liabilities could not exceed 50% of the total amount of current assets and the short-term financing amount could not exceed 50% of Guangzhou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Tredegar’s total sales over the last 12 months. During the second quarter of 2026, Guangzhou Tredegar fully repaid all outstanding borrowings under the unsecured revolving loan. As of December 31, 2025, this loan was presented as current debt on the consolidated balance sheets.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on the ABL Facility and the High Performance Films Guangzhou Loan, see Note 7 in the Company's 2025 Form 10-K.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all debt covenants.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believes that existing borrowing availability, current cash balances and cash flow from operations will be sufficient to satisfy short term material cash requirements related to working capital, capital expenditures,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Tredegar has exposure to the volatility of interest rates, polyethylene and polypropylene resin prices, aluminum ingot and scrap prices, energy prices, foreign currencies and emerging markets. See </w:t>
      </w:r>
      <w:r>
        <w:rPr>
          <w:rFonts w:ascii="Times New Roman;serif" w:hAnsi="Times New Roman;serif"/>
          <w:b/>
          <w:i/>
          <w:color w:val="000000"/>
          <w:sz w:val="20"/>
        </w:rPr>
        <w:t>Liquidity and Capital Resources</w:t>
      </w:r>
      <w:r>
        <w:rPr>
          <w:color w:val="000000"/>
        </w:rPr>
        <w:t xml:space="preserve"> </w:t>
      </w:r>
      <w:r>
        <w:rPr>
          <w:rFonts w:ascii="Times New Roman;serif" w:hAnsi="Times New Roman;serif"/>
          <w:b w:val="false"/>
          <w:color w:val="000000"/>
          <w:sz w:val="20"/>
        </w:rPr>
        <w:t>above regarding interest rate exposures related to borrowings under the ABL Facility.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High Performance Films. There is no assurance of the Company’s ability to pass through higher raw material and energy costs to its customers.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in this Form 10-Q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volatility of quarterly average aluminum prices is shown in the chart below. </w:t>
      </w:r>
    </w:p>
    <w:p>
      <w:pPr>
        <w:pStyle w:val="TextBody"/>
        <w:bidi w:val="0"/>
        <w:spacing w:before="100" w:after="283"/>
        <w:ind w:left="0" w:right="0" w:firstLine="450"/>
        <w:jc w:val="center"/>
        <w:rPr/>
      </w:pPr>
      <w:r>
        <w:rPr/>
        <w:drawing>
          <wp:inline distT="0" distB="0" distL="0" distR="0">
            <wp:extent cx="6410325" cy="282892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6410325" cy="2828925"/>
                    </a:xfrm>
                    <a:prstGeom prst="rect">
                      <a:avLst/>
                    </a:prstGeom>
                  </pic:spPr>
                </pic:pic>
              </a:graphicData>
            </a:graphic>
          </wp:inline>
        </w:drawing>
      </w:r>
      <w:bookmarkStart w:id="0" w:name="i-1"/>
      <w:bookmarkEnd w:id="0"/>
    </w:p>
    <w:tbl>
      <w:tblPr>
        <w:tblW w:w="6449" w:type="dxa"/>
        <w:jc w:val="center"/>
        <w:tblInd w:w="0" w:type="dxa"/>
        <w:tblLayout w:type="fixed"/>
        <w:tblCellMar>
          <w:top w:w="28" w:type="dxa"/>
          <w:left w:w="28" w:type="dxa"/>
          <w:bottom w:w="28" w:type="dxa"/>
          <w:right w:w="28" w:type="dxa"/>
        </w:tblCellMar>
      </w:tblPr>
      <w:tblGrid>
        <w:gridCol w:w="2059"/>
        <w:gridCol w:w="1814"/>
        <w:gridCol w:w="2576"/>
      </w:tblGrid>
      <w:tr>
        <w:trPr/>
        <w:tc>
          <w:tcPr>
            <w:tcW w:w="205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Source: Quarterly averages computed by the Company using daily Midwest average prices provided by Platts.</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volatility of quarterly average natural gas prices is shown in the chart below. </w:t>
      </w:r>
    </w:p>
    <w:p>
      <w:pPr>
        <w:pStyle w:val="TextBody"/>
        <w:bidi w:val="0"/>
        <w:spacing w:before="100" w:after="283"/>
        <w:jc w:val="center"/>
        <w:rPr/>
      </w:pPr>
      <w:r>
        <w:rPr/>
        <w:drawing>
          <wp:inline distT="0" distB="0" distL="0" distR="0">
            <wp:extent cx="6410325" cy="282892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6410325" cy="2828925"/>
                    </a:xfrm>
                    <a:prstGeom prst="rect">
                      <a:avLst/>
                    </a:prstGeom>
                  </pic:spPr>
                </pic:pic>
              </a:graphicData>
            </a:graphic>
          </wp:inline>
        </w:drawing>
      </w:r>
      <w:bookmarkStart w:id="1" w:name="i-2"/>
      <w:bookmarkEnd w:id="1"/>
    </w:p>
    <w:tbl>
      <w:tblPr>
        <w:tblW w:w="5415" w:type="dxa"/>
        <w:jc w:val="center"/>
        <w:tblInd w:w="0" w:type="dxa"/>
        <w:tblLayout w:type="fixed"/>
        <w:tblCellMar>
          <w:top w:w="28" w:type="dxa"/>
          <w:left w:w="28" w:type="dxa"/>
          <w:bottom w:w="28" w:type="dxa"/>
          <w:right w:w="28" w:type="dxa"/>
        </w:tblCellMar>
      </w:tblPr>
      <w:tblGrid>
        <w:gridCol w:w="1732"/>
        <w:gridCol w:w="1520"/>
        <w:gridCol w:w="2163"/>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Source: Quarterly averages computed by Tredegar using monthly NYMEX settlement prices.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volatility of average quarterly prices of polyethylene resin in the U.S. (a primary raw material for High Performance Films) is shown in the chart below. </w:t>
      </w:r>
    </w:p>
    <w:p>
      <w:pPr>
        <w:pStyle w:val="TextBody"/>
        <w:bidi w:val="0"/>
        <w:spacing w:before="100" w:after="283"/>
        <w:jc w:val="center"/>
        <w:rPr/>
      </w:pPr>
      <w:r>
        <w:rPr/>
        <w:drawing>
          <wp:inline distT="0" distB="0" distL="0" distR="0">
            <wp:extent cx="6410325" cy="2828925"/>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4"/>
                    <a:stretch>
                      <a:fillRect/>
                    </a:stretch>
                  </pic:blipFill>
                  <pic:spPr bwMode="auto">
                    <a:xfrm>
                      <a:off x="0" y="0"/>
                      <a:ext cx="6410325" cy="2828925"/>
                    </a:xfrm>
                    <a:prstGeom prst="rect">
                      <a:avLst/>
                    </a:prstGeom>
                  </pic:spPr>
                </pic:pic>
              </a:graphicData>
            </a:graphic>
          </wp:inline>
        </w:drawing>
      </w:r>
      <w:bookmarkStart w:id="2" w:name="i-3"/>
      <w:bookmarkEnd w:id="2"/>
    </w:p>
    <w:tbl>
      <w:tblPr>
        <w:tblW w:w="10205" w:type="dxa"/>
        <w:jc w:val="center"/>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4"/>
              </w:rPr>
            </w:pPr>
            <w:r>
              <w:rPr>
                <w:rFonts w:ascii="Times New Roman;serif" w:hAnsi="Times New Roman;serif"/>
                <w:b w:val="false"/>
                <w:color w:val="000000"/>
                <w:sz w:val="14"/>
              </w:rPr>
              <w:t>Source: Quarterly averages computed by Tredegar using monthly data provided by Chemical Market Analytics (CMA). In January 2023, the reporting service implemented a non-market adjustment of $0.41 per pound based on its estimate of discounts in the prior period. In January 2026, an additional non-market adjustment of $0.30 per pound was implemented based on estimated discounts in the prior period. These adjustments reflect changes in pricing methodology rather than underlying market movements and affect comparability between reporting periods. Had the January 2026 adjustment been reflected in fourth quarter 2025, the reported average fourth quarter 2025 price would have been approximately $0.54 per pound.</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price of plastic resin is driven by several factors, including supply and demand and the price of oil, ethylene and natural gas. Selling prices to customers are set considering numerous factors, including input costs, conversion costs and market forces. For a majority of its customers, High Performance Films has index-based pass-through pricing mechanisms for major raw material price fluctuations. However, the quarterly average change in resin prices is not passed through for a period of 90 days. Pricing on the remainder of the business is based upon manufacturing costs and supply/demand dynamics within the markets that the Company competes.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Chinese Yuan in the chart below). Exports from the U.S. are generally denominated in U.S. Dollars. The Company’s foreign currency exposure on income from foreign operations relates to the Chinese Yuan.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High Performance Films is generally able to match the currency of its sales and costs for its product lines. Tredegar estimates that the change in the value of foreign currencies relative to the U.S. Dollar for High Performance Films had an unfavorable impact to EBITDA from ongoing operations of $0.3 million and $0.6 million for the second quarter of 2026 and the first six months of 2026 compared to the same periods of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Trends for the Chinese Yuan exchange rates relative to the U.S. Dollar are shown in the chart below.</w:t>
      </w:r>
    </w:p>
    <w:p>
      <w:pPr>
        <w:pStyle w:val="TextBody"/>
        <w:bidi w:val="0"/>
        <w:spacing w:before="100" w:after="283"/>
        <w:jc w:val="center"/>
        <w:rPr/>
      </w:pPr>
      <w:r>
        <w:rPr/>
        <w:drawing>
          <wp:inline distT="0" distB="0" distL="0" distR="0">
            <wp:extent cx="6410325" cy="2828925"/>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5"/>
                    <a:stretch>
                      <a:fillRect/>
                    </a:stretch>
                  </pic:blipFill>
                  <pic:spPr bwMode="auto">
                    <a:xfrm>
                      <a:off x="0" y="0"/>
                      <a:ext cx="6410325" cy="2828925"/>
                    </a:xfrm>
                    <a:prstGeom prst="rect">
                      <a:avLst/>
                    </a:prstGeom>
                  </pic:spPr>
                </pic:pic>
              </a:graphicData>
            </a:graphic>
          </wp:inline>
        </w:drawing>
      </w:r>
      <w:bookmarkStart w:id="3" w:name="i-4"/>
      <w:bookmarkEnd w:id="3"/>
    </w:p>
    <w:tbl>
      <w:tblPr>
        <w:tblW w:w="5865" w:type="dxa"/>
        <w:jc w:val="center"/>
        <w:tblInd w:w="0" w:type="dxa"/>
        <w:tblLayout w:type="fixed"/>
        <w:tblCellMar>
          <w:top w:w="28" w:type="dxa"/>
          <w:left w:w="28" w:type="dxa"/>
          <w:bottom w:w="28" w:type="dxa"/>
          <w:right w:w="28" w:type="dxa"/>
        </w:tblCellMar>
      </w:tblPr>
      <w:tblGrid>
        <w:gridCol w:w="1876"/>
        <w:gridCol w:w="1646"/>
        <w:gridCol w:w="2343"/>
      </w:tblGrid>
      <w:tr>
        <w:trPr/>
        <w:tc>
          <w:tcPr>
            <w:tcW w:w="187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Source: Quarterly averages computed by Tredegar using daily closing data provided by Bloomberg.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ind w:left="0" w:right="0" w:firstLine="450"/>
        <w:jc w:val="center"/>
        <w:rPr>
          <w:rFonts w:ascii="Times New Roman;serif" w:hAnsi="Times New Roman;serif"/>
          <w:b/>
          <w:i/>
          <w:color w:val="000000"/>
          <w:sz w:val="20"/>
          <w:u w:val="single"/>
        </w:rPr>
      </w:pPr>
      <w:r>
        <w:rPr>
          <w:rFonts w:ascii="Times New Roman;serif" w:hAnsi="Times New Roman;serif"/>
          <w:b/>
          <w:i/>
          <w:color w:val="000000"/>
          <w:sz w:val="20"/>
          <w:u w:val="single"/>
        </w:rPr>
        <w:t>Evaluation of Disclosure Controls and Procedures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June 30, 2026.</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this evaluation of our disclosure controls and procedures as of June 30, 2026, the Company's Chief Executive Officer and Chief Financial Officer concluded that, as of such date, our disclosure controls and procedures were effective. </w:t>
      </w:r>
    </w:p>
    <w:p>
      <w:pPr>
        <w:pStyle w:val="TextBody"/>
        <w:bidi w:val="0"/>
        <w:spacing w:lineRule="auto" w:line="288" w:before="10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Changes in Internal Control Over Financial Reporting</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quarter ended June 30, 2026, that has materially affected, or is reasonably likely to materially affect, its internal control over financial reporting (as defined in Rules 13a-15(f) and 15d-15(f)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disclosed in “Item 1A. Risk Factors” in the 2025 Form 10-K, there are a number of risks and uncertainties that can have a material effect on the operating results of our businesses and our financial condition. There are no material updates or changes to our risk factors previously disclosed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Director and Officer Trading Arrangements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9"/>
        <w:gridCol w:w="166"/>
        <w:gridCol w:w="167"/>
        <w:gridCol w:w="109"/>
        <w:gridCol w:w="109"/>
        <w:gridCol w:w="109"/>
        <w:gridCol w:w="2857"/>
        <w:gridCol w:w="2688"/>
        <w:gridCol w:w="3811"/>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g-ex101_20260630x10q.htm">
              <w:r>
                <w:rPr>
                  <w:rStyle w:val="InternetLink"/>
                  <w:rFonts w:ascii="Times New Roman;serif" w:hAnsi="Times New Roman;serif"/>
                  <w:b w:val="false"/>
                  <w:color w:val="0000FF"/>
                  <w:sz w:val="20"/>
                  <w:u w:val="single"/>
                </w:rPr>
                <w:t>Executive Separation Agreement, dated May 4, 2026, by and between Tredegar Corporation and Dr. Arijit (Bapi) DasGupta.</w:t>
              </w:r>
            </w:hyperlink>
          </w:p>
        </w:tc>
      </w:tr>
      <w:tr>
        <w:trPr/>
        <w:tc>
          <w:tcPr>
            <w:tcW w:w="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g-ex102_20260630x10q.htm">
              <w:r>
                <w:rPr>
                  <w:rStyle w:val="InternetLink"/>
                  <w:rFonts w:ascii="Times New Roman;serif" w:hAnsi="Times New Roman;serif"/>
                  <w:b w:val="false"/>
                  <w:color w:val="0000FF"/>
                  <w:sz w:val="20"/>
                  <w:u w:val="single"/>
                </w:rPr>
                <w:t>Executive Separation Agreement, dated May 4, 2026, by and between Tredegar Corporation and Frasier W. Brickhouse II.</w:t>
              </w:r>
            </w:hyperlink>
          </w:p>
        </w:tc>
      </w:tr>
      <w:tr>
        <w:trPr/>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g-ex311_20260630x10q.htm">
              <w:r>
                <w:rPr>
                  <w:rStyle w:val="InternetLink"/>
                  <w:rFonts w:ascii="Times New Roman;serif" w:hAnsi="Times New Roman;serif"/>
                  <w:b w:val="false"/>
                  <w:color w:val="0000FF"/>
                  <w:sz w:val="20"/>
                  <w:u w:val="single"/>
                </w:rPr>
                <w:t>Certification of President and Chief Executive Officer of Tredegar Corporation, pursuant to Rules 13a-14(a) and 15d-14(a) promulgated under the Securities Exchange Act of 1934, as adopted pursuant to Section 302 of the Sarbanes-Oxley Act of 2002.</w:t>
              </w:r>
            </w:hyperlink>
          </w:p>
        </w:tc>
      </w:tr>
      <w:tr>
        <w:trPr/>
        <w:tc>
          <w:tcPr>
            <w:tcW w:w="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g-ex312_20260630x10q.htm">
              <w:r>
                <w:rPr>
                  <w:rStyle w:val="InternetLink"/>
                  <w:rFonts w:ascii="Times New Roman;serif" w:hAnsi="Times New Roman;serif"/>
                  <w:b w:val="false"/>
                  <w:color w:val="0000FF"/>
                  <w:sz w:val="20"/>
                  <w:u w:val="single"/>
                </w:rPr>
                <w:t>Certification of Vice President and Chief Financial Officer of Tredegar Corporation, pursuant to Rules 13a-14(a) and 15d-14(a) promulgated under the Securities Exchange Act of 1934, as adopted pursuant to Section 302 of the Sarbanes-Oxley Act of 2002.</w:t>
              </w:r>
            </w:hyperlink>
          </w:p>
        </w:tc>
      </w:tr>
      <w:tr>
        <w:trPr/>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g-ex321_20260630x10q.htm">
              <w:r>
                <w:rPr>
                  <w:rStyle w:val="InternetLink"/>
                  <w:rFonts w:ascii="Times New Roman;serif" w:hAnsi="Times New Roman;serif"/>
                  <w:b w:val="false"/>
                  <w:color w:val="0000FF"/>
                  <w:sz w:val="20"/>
                  <w:u w:val="single"/>
                </w:rPr>
                <w:t>Certification of President and Chief Executive Officer of Tredegar Corporation, pursuant to 18 U.S.C. Section 1350, as adopted pursuant to Section 906 of the Sarbanes-Oxley Act of 2002.</w:t>
              </w:r>
            </w:hyperlink>
          </w:p>
        </w:tc>
      </w:tr>
      <w:tr>
        <w:trPr/>
        <w:tc>
          <w:tcPr>
            <w:tcW w:w="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g-ex322_20260630x10q.htm">
              <w:r>
                <w:rPr>
                  <w:rStyle w:val="InternetLink"/>
                  <w:rFonts w:ascii="Times New Roman;serif" w:hAnsi="Times New Roman;serif"/>
                  <w:b w:val="false"/>
                  <w:color w:val="0000FF"/>
                  <w:sz w:val="20"/>
                  <w:u w:val="single"/>
                </w:rPr>
                <w:t>Certification of Vice President and Chief Financial Officer of Tredegar Corporation, pursuant to 18 U.S.C. Section 1350, as adopted pursuant to Section 906 of the Sarbanes-Oxley Act of 2002.</w:t>
              </w:r>
            </w:hyperlink>
          </w:p>
        </w:tc>
      </w:tr>
      <w:tr>
        <w:trPr/>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and Related Items.</w:t>
            </w:r>
          </w:p>
        </w:tc>
      </w:tr>
      <w:tr>
        <w:trPr/>
        <w:tc>
          <w:tcPr>
            <w:tcW w:w="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r>
      <w:tr>
        <w:trPr/>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compensatory plans or arrangements or management contracts.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6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1290"/>
        <w:gridCol w:w="1290"/>
        <w:gridCol w:w="18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Arijit (Bapi) DasGupta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Arijit (Bapi) DasGupta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Goldschmiedt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Goldschmiedt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May 4, 2026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Dr. Arijit (Bapi) DasGupta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 Executive Separation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Bapi,</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Tredegar Corporation, a Virginia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has appointed you to serve as the President and Chief Executive Officer of the Company. You shall perform duties consistent with that position and as assigned to you by the Board. You shall serve under the direction of and report directly to the Board, and shall serve the Company faithfully, diligently, competently, and to the best of your ability.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this role, you shall serve as a member of the Board and a director or officer of the Company’s subsidiaries. The board of directors of each entity shall undertake every lawful effort to ensure that you continue throughout the term of your employment to be elected or reelected as a director or officer. Your role as a director of the Board and director or officer of the Company’s subsidiaries is contingent upon your employment with the Company. Accordingly, unless otherwise agreed to by the parties, you shall be deemed to have resigned as a director of the Board and director or officer of the Company’s subsidiaries immediately after your separation from employment, regardless of whether you submit a formal, written resignation as a director of the Board or director or officer of any subsidiary.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Your offer letter dated December 29, 2025 sets forth the compensation and other benefits of employment you will receive while in this role. You will remain an employee at-will at all times during your employment. However, to induce you to remain in the employ of the Company and in consideration of your continued service to the Company, the Company agrees that you shall receive certain payments and benefits in the event of your termination of employment as set forth in this Executive Separation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w:t>
      </w:r>
    </w:p>
    <w:p>
      <w:pPr>
        <w:pStyle w:val="TextBody"/>
        <w:bidi w:val="0"/>
        <w:spacing w:lineRule="auto" w:line="288" w:before="100" w:after="283"/>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p>
    <w:p>
      <w:pPr>
        <w:pStyle w:val="TextBody"/>
        <w:bidi w:val="0"/>
        <w:spacing w:lineRule="auto" w:line="288" w:before="100" w:after="283"/>
        <w:ind w:left="0" w:right="0" w:hanging="3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i/>
          <w:color w:val="000000"/>
          <w:sz w:val="24"/>
        </w:rPr>
        <w:t>Accrued Rights</w:t>
      </w:r>
      <w:r>
        <w:rPr>
          <w:color w:val="000000"/>
        </w:rPr>
        <w:t xml:space="preserve">” </w:t>
      </w:r>
      <w:r>
        <w:rPr>
          <w:rFonts w:ascii="Times New Roman;serif" w:hAnsi="Times New Roman;serif"/>
          <w:b w:val="false"/>
          <w:color w:val="000000"/>
          <w:sz w:val="24"/>
        </w:rPr>
        <w:t>means (i) any unpaid annual base salary accrued through the Date of Termination, (ii) any accrued but unpaid vacation pay, (iii) rights to elect continuation coverage under the Consolidated Omnibus Budget Reconciliation Act of 1985 (“</w:t>
      </w:r>
      <w:r>
        <w:rPr>
          <w:rFonts w:ascii="Times New Roman;serif" w:hAnsi="Times New Roman;serif"/>
          <w:b/>
          <w:i/>
          <w:color w:val="000000"/>
          <w:sz w:val="24"/>
        </w:rPr>
        <w:t>COBRA</w:t>
      </w:r>
      <w:r>
        <w:rPr>
          <w:color w:val="000000"/>
        </w:rPr>
        <w:t>”</w:t>
      </w:r>
      <w:r>
        <w:rPr>
          <w:rFonts w:ascii="Times New Roman;serif" w:hAnsi="Times New Roman;serif"/>
          <w:b w:val="false"/>
          <w:color w:val="000000"/>
          <w:sz w:val="24"/>
        </w:rPr>
        <w:t>) and (iv) any previously unreimbursed business expenses incurred by you on behalf of the Company.</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color w:val="000000"/>
        </w:rPr>
        <w:t>“</w:t>
      </w:r>
      <w:r>
        <w:rPr>
          <w:rFonts w:ascii="Times New Roman;serif" w:hAnsi="Times New Roman;serif"/>
          <w:b/>
          <w:i/>
          <w:color w:val="000000"/>
          <w:sz w:val="24"/>
        </w:rPr>
        <w:t>Annual Base Salary</w:t>
      </w:r>
      <w:r>
        <w:rPr>
          <w:color w:val="000000"/>
        </w:rPr>
        <w:t xml:space="preserve">” </w:t>
      </w:r>
      <w:r>
        <w:rPr>
          <w:rFonts w:ascii="Times New Roman;serif" w:hAnsi="Times New Roman;serif"/>
          <w:b w:val="false"/>
          <w:color w:val="000000"/>
          <w:sz w:val="24"/>
        </w:rPr>
        <w:t>means your annual base salary at the rate in effect immediately before a Qualifying Termination.</w:t>
      </w:r>
    </w:p>
    <w:p>
      <w:pPr>
        <w:pStyle w:val="TextBody"/>
        <w:bidi w:val="0"/>
        <w:spacing w:lineRule="auto" w:line="288" w:before="100" w:after="283"/>
        <w:ind w:left="0" w:right="0" w:hanging="36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means a termination by the Company of your employment with the Company because of: (A) an intentional act or omission that constitutes a material breach by you of any of your obligations under this Agreement, including but not limited to, your failure to follow a lawful directive of the Board or otherwise perform duties assigned to you by the Board; (B) your conviction of, or plea of nolo contendere to, (1) any felony or (2) another crime involving dishonesty or moral turpitude or which could reflect negatively upon you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or otherwise impair or impede the Company’s operations or damage the reputation or goodwill of the Company; (C) you engaging in any misconduct, negligence, act of dishonesty, violence or threat of violence (including any violation of federal securities laws) that in the reasonable judgment of the Board is or could be materially injurious to the Company or any of its subsidiaries; (D) your material breach of a written policy of the Company or the rules of any governmental or regulatory body applicable to the Company that in the reasonable judgment of the Board is or could be materially and financially injurious to the Company or any of its subsidiaries; or (E) any other misconduct by you which in the Board’s reasonable judgment will likely be materially injurious to the financial condition, operations or business reputation of the Company or any of its subsidiaries. Notwithstanding anything in this Section 1(c) to the contrary, no event or condition described in Sections 1(c)(A), (C), (D) or (E) shall constitute Cause unless (x) within ninety (90) days from the Board first acquiring actual knowledge of the existence of the Cause condition, the Board provides you written notice of its intention to terminate your employment for Cause and the grounds for such termination; (y) such grounds for termination (if susceptible to correction) are not corrected by you within ten (10) days of your receipt of such notice (or, in the event that such grounds cannot be corrected within such ten-day (10) period, you have not taken all reasonable steps within such ten-day (10) period to correct such grounds as promptly as practicable thereafter); and (z) the Board terminates your employment with the Company immediately following expiration of such ten-day (10) period. For purposes of this Section 1(c), any attempt by you to correct a stated Cause shall not be deemed an admission by you that the Board’s assertion of Cause is valid.</w:t>
      </w:r>
    </w:p>
    <w:p>
      <w:pPr>
        <w:pStyle w:val="TextBody"/>
        <w:bidi w:val="0"/>
        <w:spacing w:lineRule="auto" w:line="288" w:before="100" w:after="283"/>
        <w:ind w:left="0" w:right="0" w:hanging="360"/>
        <w:jc w:val="left"/>
        <w:rPr/>
      </w:pPr>
      <w:r>
        <w:rPr>
          <w:rFonts w:ascii="Times New Roman;serif" w:hAnsi="Times New Roman;serif"/>
          <w:b w:val="false"/>
          <w:color w:val="000000"/>
          <w:sz w:val="24"/>
        </w:rPr>
        <w:t>d.</w:t>
      </w:r>
      <w:r>
        <w:rPr>
          <w:color w:val="000000"/>
        </w:rPr>
        <w:t xml:space="preserve"> “</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shall mean the Internal Revenue Code of 1986, as amended, and the Treasury regulations promulgated thereunder.</w:t>
      </w:r>
    </w:p>
    <w:p>
      <w:pPr>
        <w:pStyle w:val="TextBody"/>
        <w:bidi w:val="0"/>
        <w:spacing w:lineRule="auto" w:line="288" w:before="100" w:after="283"/>
        <w:ind w:left="0" w:right="0" w:hanging="360"/>
        <w:jc w:val="left"/>
        <w:rPr/>
      </w:pPr>
      <w:r>
        <w:rPr>
          <w:rFonts w:ascii="Times New Roman;serif" w:hAnsi="Times New Roman;serif"/>
          <w:b w:val="false"/>
          <w:color w:val="000000"/>
          <w:sz w:val="24"/>
        </w:rPr>
        <w:t>e.</w:t>
      </w:r>
      <w:r>
        <w:rPr>
          <w:color w:val="000000"/>
        </w:rPr>
        <w:t xml:space="preserve"> “</w:t>
      </w:r>
      <w:r>
        <w:rPr>
          <w:rFonts w:ascii="Times New Roman;serif" w:hAnsi="Times New Roman;serif"/>
          <w:b/>
          <w:i/>
          <w:color w:val="000000"/>
          <w:sz w:val="24"/>
        </w:rPr>
        <w:t>Date of Termination</w:t>
      </w:r>
      <w:r>
        <w:rPr>
          <w:color w:val="000000"/>
        </w:rPr>
        <w:t xml:space="preserve">” </w:t>
      </w:r>
      <w:r>
        <w:rPr>
          <w:rFonts w:ascii="Times New Roman;serif" w:hAnsi="Times New Roman;serif"/>
          <w:b w:val="false"/>
          <w:color w:val="000000"/>
          <w:sz w:val="24"/>
        </w:rPr>
        <w:t>means the date specified in the Notice of Termination (which shall not be less than ten (10) days from the date such Notice of Termination is given).</w:t>
      </w:r>
    </w:p>
    <w:p>
      <w:pPr>
        <w:pStyle w:val="TextBody"/>
        <w:bidi w:val="0"/>
        <w:spacing w:lineRule="auto" w:line="288" w:before="100" w:after="283"/>
        <w:ind w:left="0" w:right="0" w:hanging="360"/>
        <w:jc w:val="left"/>
        <w:rPr/>
      </w:pPr>
      <w:r>
        <w:rPr>
          <w:rFonts w:ascii="Times New Roman;serif" w:hAnsi="Times New Roman;serif"/>
          <w:b w:val="false"/>
          <w:color w:val="000000"/>
          <w:sz w:val="24"/>
        </w:rPr>
        <w:t>f.</w:t>
      </w: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means January 1, 2026.</w:t>
      </w:r>
    </w:p>
    <w:p>
      <w:pPr>
        <w:pStyle w:val="TextBody"/>
        <w:bidi w:val="0"/>
        <w:spacing w:lineRule="auto" w:line="288" w:before="100" w:after="283"/>
        <w:ind w:left="0" w:right="0" w:hanging="360"/>
        <w:jc w:val="left"/>
        <w:rPr/>
      </w:pPr>
      <w:r>
        <w:rPr>
          <w:rFonts w:ascii="Times New Roman;serif" w:hAnsi="Times New Roman;serif"/>
          <w:b w:val="false"/>
          <w:color w:val="000000"/>
          <w:sz w:val="24"/>
        </w:rPr>
        <w:t>g.</w:t>
      </w:r>
      <w:r>
        <w:rPr>
          <w:color w:val="000000"/>
        </w:rPr>
        <w:t>“</w:t>
      </w:r>
      <w:r>
        <w:rPr>
          <w:rFonts w:ascii="Times New Roman;serif" w:hAnsi="Times New Roman;serif"/>
          <w:b/>
          <w:i/>
          <w:color w:val="000000"/>
          <w:sz w:val="24"/>
        </w:rPr>
        <w:t>Equity Plan</w:t>
      </w:r>
      <w:r>
        <w:rPr>
          <w:color w:val="000000"/>
        </w:rPr>
        <w:t xml:space="preserve">” </w:t>
      </w:r>
      <w:r>
        <w:rPr>
          <w:rFonts w:ascii="Times New Roman;serif" w:hAnsi="Times New Roman;serif"/>
          <w:b w:val="false"/>
          <w:color w:val="000000"/>
          <w:sz w:val="24"/>
        </w:rPr>
        <w:t>means the Tredegar Corporation 2018 Equity Incentive Plan, as amended and restated May 6, 2021.</w:t>
      </w:r>
    </w:p>
    <w:p>
      <w:pPr>
        <w:pStyle w:val="TextBody"/>
        <w:bidi w:val="0"/>
        <w:spacing w:lineRule="auto" w:line="288" w:before="100" w:after="283"/>
        <w:ind w:left="0" w:right="0" w:hanging="360"/>
        <w:jc w:val="left"/>
        <w:rPr/>
      </w:pPr>
      <w:r>
        <w:rPr>
          <w:rFonts w:ascii="Times New Roman;serif" w:hAnsi="Times New Roman;serif"/>
          <w:b w:val="false"/>
          <w:color w:val="000000"/>
          <w:sz w:val="24"/>
        </w:rPr>
        <w:t>h.</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without your express written consent, any of the following: (i) a change in your position with the Company which in your reasonable judgment does not represent a promotion from your status or position immediately prior to the Effective Date or the assignment to you of any duties or responsibilities or diminution of duties or responsibilities which in your reasonable judgment are inconsistent with your position with the Company in effect immediately prior to the Effective Date; (ii) a material diminution in your Annual Base Salary or a failure by the Company to pay material compensation due and payable to you in connection with your employment; (iii) a failure by the Company to continue in effect compensation or benefit plans in which you participate, which in the aggregate provide you compensation and benefits substantially equivalent to those prior to the Effective Date; (iv) the Company’s requiring your office nearest to your principal residence to be located at a different place which is more than fifty (50) miles from where such office is located as of the Effective Date; (v) the failure of the Company to obtain a satisfactory agreement from any Successor (as defined in Section 5(a) hereof) to assume and agree to perform this Agreement, as contemplated in Section 5(a) hereof; or (vi) a material breach by the Company of any term or provision of this Agreement. Notwithstanding, no event or condition described in this Section 1(i) shall constitute Good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Reason unless, (x) within 60 days from the date that you first acquire actual knowledge of the existence of the Good Reason condition described in this Section 1(i), you provide the Board written notice of your intention to terminate your employment for Good Reason and the grounds for such termination; (y) such grounds for termination (if susceptible to correction) are not corrected by the Board within 30 calendar days of the Board’s receipt of such notice (or, in the event that such grounds cannot be corrected within such 30 calendar-day period, the Board has not taken all reasonable steps within such 30 calendar-day period to correct such grounds as promptly as practicable thereafter); and (z) you terminate your employment with the Company immediately following expiration of such 30-day period. For purposes of this Section 1(h), any attempt by the Board to correct a stated Good Reason shall not be deemed an admission by the Board that your assertion of Good Reason is valid.</w:t>
      </w:r>
    </w:p>
    <w:p>
      <w:pPr>
        <w:pStyle w:val="TextBody"/>
        <w:bidi w:val="0"/>
        <w:spacing w:lineRule="auto" w:line="288" w:before="100" w:after="283"/>
        <w:ind w:left="0" w:right="0" w:hanging="360"/>
        <w:jc w:val="left"/>
        <w:rPr/>
      </w:pPr>
      <w:r>
        <w:rPr>
          <w:rFonts w:ascii="Times New Roman;serif" w:hAnsi="Times New Roman;serif"/>
          <w:b w:val="false"/>
          <w:color w:val="000000"/>
          <w:sz w:val="24"/>
        </w:rPr>
        <w:t>i.</w:t>
      </w:r>
      <w:r>
        <w:rPr>
          <w:color w:val="000000"/>
        </w:rPr>
        <w:t>“</w:t>
      </w:r>
      <w:r>
        <w:rPr>
          <w:rFonts w:ascii="Times New Roman;serif" w:hAnsi="Times New Roman;serif"/>
          <w:b/>
          <w:i/>
          <w:color w:val="000000"/>
          <w:sz w:val="24"/>
        </w:rPr>
        <w:t>Notice of Termination</w:t>
      </w:r>
      <w:r>
        <w:rPr>
          <w:color w:val="000000"/>
        </w:rPr>
        <w:t xml:space="preserve">” </w:t>
      </w:r>
      <w:r>
        <w:rPr>
          <w:rFonts w:ascii="Times New Roman;serif" w:hAnsi="Times New Roman;serif"/>
          <w:b w:val="false"/>
          <w:color w:val="000000"/>
          <w:sz w:val="24"/>
        </w:rPr>
        <w:t>means a written notice as provided in Section 11 hereof.</w:t>
      </w:r>
    </w:p>
    <w:p>
      <w:pPr>
        <w:pStyle w:val="TextBody"/>
        <w:bidi w:val="0"/>
        <w:spacing w:lineRule="auto" w:line="288" w:before="100" w:after="283"/>
        <w:ind w:left="0" w:right="0" w:hanging="360"/>
        <w:jc w:val="left"/>
        <w:rPr/>
      </w:pPr>
      <w:r>
        <w:rPr>
          <w:rFonts w:ascii="Times New Roman;serif" w:hAnsi="Times New Roman;serif"/>
          <w:b w:val="false"/>
          <w:color w:val="000000"/>
          <w:sz w:val="24"/>
        </w:rPr>
        <w:t>j.</w:t>
      </w: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 individual, corporation, partnership, joint venture, limited liability company, governmental authority, unincorporated organization, trust, association or other entity.</w:t>
      </w:r>
    </w:p>
    <w:p>
      <w:pPr>
        <w:pStyle w:val="TextBody"/>
        <w:bidi w:val="0"/>
        <w:spacing w:lineRule="auto" w:line="288" w:before="100" w:after="283"/>
        <w:ind w:left="0" w:right="0" w:hanging="360"/>
        <w:jc w:val="left"/>
        <w:rPr/>
      </w:pPr>
      <w:r>
        <w:rPr>
          <w:rFonts w:ascii="Times New Roman;serif" w:hAnsi="Times New Roman;serif"/>
          <w:b w:val="false"/>
          <w:color w:val="000000"/>
          <w:sz w:val="24"/>
        </w:rPr>
        <w:t>k.</w:t>
      </w:r>
      <w:r>
        <w:rPr>
          <w:color w:val="000000"/>
        </w:rPr>
        <w:t>“</w:t>
      </w:r>
      <w:r>
        <w:rPr>
          <w:rFonts w:ascii="Times New Roman;serif" w:hAnsi="Times New Roman;serif"/>
          <w:b/>
          <w:i/>
          <w:color w:val="000000"/>
          <w:sz w:val="24"/>
        </w:rPr>
        <w:t>Qualifying Termination</w:t>
      </w:r>
      <w:r>
        <w:rPr>
          <w:color w:val="000000"/>
        </w:rPr>
        <w:t xml:space="preserve">” </w:t>
      </w:r>
      <w:r>
        <w:rPr>
          <w:rFonts w:ascii="Times New Roman;serif" w:hAnsi="Times New Roman;serif"/>
          <w:b w:val="false"/>
          <w:color w:val="000000"/>
          <w:sz w:val="24"/>
        </w:rPr>
        <w:t>means your employment with the Company is terminated by you for Good Reason or your Retirement or by the Company without Cause. In no event will the termination of your employment with the Company as a result of any of the following circumstances result in a Qualifying Termination: (i) your death, (ii) your disability (as defined in a disability insurance policy sponsored by the Company, irrespective of whether you are covered by such policy), (iii) a termination by the Company of your employment for Cause or (iv) a resignation by you without Good Reason.</w:t>
      </w:r>
    </w:p>
    <w:p>
      <w:pPr>
        <w:pStyle w:val="TextBody"/>
        <w:bidi w:val="0"/>
        <w:spacing w:lineRule="auto" w:line="288" w:before="100" w:after="283"/>
        <w:ind w:left="0" w:right="0" w:hanging="360"/>
        <w:jc w:val="left"/>
        <w:rPr/>
      </w:pPr>
      <w:r>
        <w:rPr>
          <w:rFonts w:ascii="Times New Roman;serif" w:hAnsi="Times New Roman;serif"/>
          <w:b w:val="false"/>
          <w:color w:val="000000"/>
          <w:sz w:val="24"/>
        </w:rPr>
        <w:t>l.</w:t>
      </w:r>
      <w:r>
        <w:rPr>
          <w:color w:val="000000"/>
        </w:rPr>
        <w:t>“</w:t>
      </w:r>
      <w:r>
        <w:rPr>
          <w:rFonts w:ascii="Times New Roman;serif" w:hAnsi="Times New Roman;serif"/>
          <w:b/>
          <w:i/>
          <w:color w:val="000000"/>
          <w:sz w:val="24"/>
        </w:rPr>
        <w:t>Retirement”</w:t>
      </w:r>
      <w:r>
        <w:rPr>
          <w:color w:val="000000"/>
        </w:rPr>
        <w:t xml:space="preserve"> </w:t>
      </w:r>
      <w:r>
        <w:rPr>
          <w:rFonts w:ascii="Times New Roman;serif" w:hAnsi="Times New Roman;serif"/>
          <w:b w:val="false"/>
          <w:color w:val="000000"/>
          <w:sz w:val="24"/>
        </w:rPr>
        <w:t>means your voluntary termination of employment after satisfying all of the following conditions: (i) you have attained at least the age of sixty (60); (ii) you have completed a minimum of ten (10) years of continuous service with Company or its affiliates; and (iii) you have provided Company with at least one-hundred and eighty (180) days prior notice of the intended retirement date, unless waived by the Company. The Company may require reasonable transition assistance during the notice period, consistent with your duties and seniority.</w:t>
      </w:r>
    </w:p>
    <w:p>
      <w:pPr>
        <w:pStyle w:val="TextBody"/>
        <w:bidi w:val="0"/>
        <w:spacing w:lineRule="auto" w:line="288" w:before="100" w:after="283"/>
        <w:ind w:left="0" w:right="0" w:hanging="360"/>
        <w:jc w:val="left"/>
        <w:rPr/>
      </w:pPr>
      <w:r>
        <w:rPr>
          <w:rFonts w:ascii="Times New Roman;serif" w:hAnsi="Times New Roman;serif"/>
          <w:b w:val="false"/>
          <w:color w:val="000000"/>
          <w:sz w:val="24"/>
        </w:rPr>
        <w:t>m.</w:t>
      </w:r>
      <w:r>
        <w:rPr>
          <w:color w:val="000000"/>
        </w:rPr>
        <w:t>“</w:t>
      </w:r>
      <w:r>
        <w:rPr>
          <w:rFonts w:ascii="Times New Roman;serif" w:hAnsi="Times New Roman;serif"/>
          <w:b/>
          <w:i/>
          <w:color w:val="000000"/>
          <w:sz w:val="24"/>
        </w:rPr>
        <w:t>Separation Benefits</w:t>
      </w:r>
      <w:r>
        <w:rPr>
          <w:color w:val="000000"/>
        </w:rPr>
        <w:t xml:space="preserve">” </w:t>
      </w:r>
      <w:r>
        <w:rPr>
          <w:rFonts w:ascii="Times New Roman;serif" w:hAnsi="Times New Roman;serif"/>
          <w:b w:val="false"/>
          <w:color w:val="000000"/>
          <w:sz w:val="24"/>
        </w:rPr>
        <w:t>means the payments and benefits payable to you on a Qualifying Termination pursuant to Section 2 of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n.</w:t>
      </w:r>
      <w:r>
        <w:rPr>
          <w:color w:val="000000"/>
        </w:rPr>
        <w:t>“</w:t>
      </w:r>
      <w:r>
        <w:rPr>
          <w:rFonts w:ascii="Times New Roman;serif" w:hAnsi="Times New Roman;serif"/>
          <w:b/>
          <w:i/>
          <w:color w:val="000000"/>
          <w:sz w:val="24"/>
        </w:rPr>
        <w:t>Waiver and Release</w:t>
      </w:r>
      <w:r>
        <w:rPr>
          <w:color w:val="000000"/>
        </w:rPr>
        <w:t xml:space="preserve">” </w:t>
      </w:r>
      <w:r>
        <w:rPr>
          <w:rFonts w:ascii="Times New Roman;serif" w:hAnsi="Times New Roman;serif"/>
          <w:b w:val="false"/>
          <w:color w:val="000000"/>
          <w:sz w:val="24"/>
        </w:rPr>
        <w:t xml:space="preserve">means the Waiver and Release Agreement (substantially in the form attached to this Agreement as </w:t>
      </w:r>
      <w:r>
        <w:rPr>
          <w:rFonts w:ascii="Times New Roman;serif" w:hAnsi="Times New Roman;serif"/>
          <w:b/>
          <w:color w:val="000000"/>
          <w:sz w:val="24"/>
          <w:u w:val="single"/>
        </w:rPr>
        <w:t>Exhibit A</w:t>
      </w:r>
      <w:r>
        <w:rPr>
          <w:rFonts w:ascii="Times New Roman;serif" w:hAnsi="Times New Roman;serif"/>
          <w:b w:val="false"/>
          <w:color w:val="000000"/>
          <w:sz w:val="24"/>
        </w:rPr>
        <w:t>) that is presented to, and signed by, you in conjunction with your termination of employment with the Company. The timely execution of the Waiver and Release is a condition precedent to the payment of the Separation Benefits under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Separation Benefits.</w: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a.Following a Qualifying Termination, and subject to your timely execution of the Waiver and Release, you shall be provided the following benefits:</w:t>
      </w:r>
    </w:p>
    <w:p>
      <w:pPr>
        <w:pStyle w:val="TextBody"/>
        <w:bidi w:val="0"/>
        <w:spacing w:lineRule="auto" w:line="288" w:before="100" w:after="283"/>
        <w:ind w:left="0" w:right="0" w:hanging="487"/>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Accrued Rights.</w:t>
      </w:r>
      <w:r>
        <w:rPr>
          <w:color w:val="000000"/>
        </w:rPr>
        <w:t xml:space="preserve"> </w:t>
      </w:r>
      <w:r>
        <w:rPr>
          <w:rFonts w:ascii="Times New Roman;serif" w:hAnsi="Times New Roman;serif"/>
          <w:b w:val="false"/>
          <w:color w:val="000000"/>
          <w:sz w:val="24"/>
        </w:rPr>
        <w:t>The Company shall pay you your Accrued Rights by the latter of the next regularly scheduled payroll date after your Date of Termination or the fifth (5</w:t>
      </w:r>
      <w:r>
        <w:rPr>
          <w:rFonts w:ascii="Times New Roman;serif" w:hAnsi="Times New Roman;serif"/>
          <w:b w:val="false"/>
          <w:color w:val="000000"/>
          <w:sz w:val="16"/>
        </w:rPr>
        <w:t>th</w:t>
      </w:r>
      <w:r>
        <w:rPr>
          <w:rFonts w:ascii="Times New Roman;serif" w:hAnsi="Times New Roman;serif"/>
          <w:b w:val="false"/>
          <w:color w:val="000000"/>
          <w:sz w:val="24"/>
        </w:rPr>
        <w:t>) business day after your Date of Termination.</w:t>
      </w:r>
    </w:p>
    <w:p>
      <w:pPr>
        <w:pStyle w:val="TextBody"/>
        <w:bidi w:val="0"/>
        <w:spacing w:lineRule="auto" w:line="288" w:before="100" w:after="283"/>
        <w:ind w:left="0" w:right="0" w:hanging="553"/>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Prorated Share of Equity and Cash-Based Awards.</w:t>
      </w:r>
      <w:r>
        <w:rPr>
          <w:color w:val="000000"/>
        </w:rPr>
        <w:t xml:space="preserve"> </w:t>
      </w:r>
      <w:r>
        <w:rPr>
          <w:rFonts w:ascii="Times New Roman;serif" w:hAnsi="Times New Roman;serif"/>
          <w:b w:val="false"/>
          <w:color w:val="000000"/>
          <w:sz w:val="24"/>
        </w:rPr>
        <w:t xml:space="preserve">The Company shall provide you with a prorated share of new Restricted Stock grants, new Performance Unit grants, if earned, and Short-Term Incentive Plan awards, if earned, for the year in which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the Qualifying Termination occurs, each to vest or be paid on the normal schedule, even if you are not an employee on the vesting or payout dates.</w:t>
      </w:r>
    </w:p>
    <w:p>
      <w:pPr>
        <w:pStyle w:val="TextBody"/>
        <w:bidi w:val="0"/>
        <w:spacing w:lineRule="auto" w:line="288" w:before="100" w:after="283"/>
        <w:ind w:left="0" w:right="0" w:hanging="620"/>
        <w:jc w:val="left"/>
        <w:rPr/>
      </w:pPr>
      <w:r>
        <w:rPr>
          <w:rFonts w:ascii="Times New Roman;serif" w:hAnsi="Times New Roman;serif"/>
          <w:b w:val="false"/>
          <w:color w:val="000000"/>
          <w:sz w:val="24"/>
        </w:rPr>
        <w:t>iii.</w:t>
      </w:r>
      <w:r>
        <w:rPr>
          <w:rFonts w:ascii="Times New Roman;serif" w:hAnsi="Times New Roman;serif"/>
          <w:b w:val="false"/>
          <w:color w:val="000000"/>
          <w:sz w:val="24"/>
          <w:u w:val="single"/>
        </w:rPr>
        <w:t>COBRA Continuation Coverage.</w:t>
      </w:r>
      <w:r>
        <w:rPr>
          <w:color w:val="000000"/>
        </w:rPr>
        <w:t xml:space="preserve"> </w:t>
      </w:r>
      <w:r>
        <w:rPr>
          <w:rFonts w:ascii="Times New Roman;serif" w:hAnsi="Times New Roman;serif"/>
          <w:b w:val="false"/>
          <w:color w:val="000000"/>
          <w:sz w:val="24"/>
        </w:rPr>
        <w:t>The Company shall pay you for twelve (12) months of COBRA premium payments based on your medical selection in the Company’s health plan as of the date of the Qualifying Termination occurs.</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Payments if Termination for Cause or by You Without Good Reason.</w:t>
      </w:r>
      <w:r>
        <w:rPr>
          <w:color w:val="000000"/>
        </w:rPr>
        <w:t xml:space="preserve"> </w:t>
      </w:r>
      <w:r>
        <w:rPr>
          <w:rFonts w:ascii="Times New Roman;serif" w:hAnsi="Times New Roman;serif"/>
          <w:b w:val="false"/>
          <w:color w:val="000000"/>
          <w:sz w:val="24"/>
        </w:rPr>
        <w:t>If your employment with the Company is terminated for any reason other than a Qualifying Termination (including as a result of a termination by the Company for Cause or your resignation without Good Reason), you shall only be entitled to your Accrued Rights. Thereafter, the Company shall have no further obligation to you under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 xml:space="preserve">Application of Sections 280G and 4999 of the Code. </w:t>
      </w:r>
      <w:r>
        <w:rPr>
          <w:rFonts w:ascii="Times New Roman;serif" w:hAnsi="Times New Roman;serif"/>
          <w:b w:val="false"/>
          <w:color w:val="000000"/>
          <w:sz w:val="24"/>
        </w:rPr>
        <w:t>Notwithstanding anything in this Agreement to the contrary, if you are a “disqualified individual” (as defined in Section 280G(c) of the Code), and the payments and benefits provided for in this Agreement, together with any other payments and benefits which you have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you from the Company and/or such person(s) will be $1.00 less than three (3) times your “base amount” (as defined in Section 280G(b)(3) of the Code), for the purpose that no portion of such amounts and benefits received by you will be subject to the excise tax imposed by Section 4999 of the Code or (b) paid in full, whichever produces the better “net after-tax position” to you (taking into account any applicable excise tax under Section 4999 of the Code and any other applicable taxes). Additionally:</w: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pStyle w:val="TextBody"/>
        <w:bidi w:val="0"/>
        <w:spacing w:lineRule="auto" w:line="288" w:before="100" w:after="283"/>
        <w:ind w:left="0" w:right="0" w:hanging="360"/>
        <w:jc w:val="left"/>
        <w:rPr/>
      </w:pPr>
      <w:r>
        <w:rPr>
          <w:rFonts w:ascii="Times New Roman;serif" w:hAnsi="Times New Roman;serif"/>
          <w:b w:val="false"/>
          <w:color w:val="000000"/>
          <w:sz w:val="24"/>
        </w:rPr>
        <w:t>b.The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mutually selected for this purpose by both you and the Company (such firm being, the “</w:t>
      </w:r>
      <w:r>
        <w:rPr>
          <w:rFonts w:ascii="Times New Roman;serif" w:hAnsi="Times New Roman;serif"/>
          <w:b/>
          <w:i/>
          <w:color w:val="000000"/>
          <w:sz w:val="24"/>
        </w:rPr>
        <w:t>280G Firm</w:t>
      </w:r>
      <w:r>
        <w:rPr>
          <w:color w:val="000000"/>
        </w:rPr>
        <w:t>”</w:t>
      </w:r>
      <w:r>
        <w:rPr>
          <w:rFonts w:ascii="Times New Roman;serif" w:hAnsi="Times New Roman;serif"/>
          <w:b w:val="false"/>
          <w:color w:val="000000"/>
          <w:sz w:val="24"/>
        </w:rPr>
        <w:t>), with such selection to occur prior to taking steps to implement a transaction giving rise to the payment of any “parachute payments.” In order to assess whether payments under this Agreement or otherwise qualify as reasonable compensation that is exempt from being a parachute payment under Section 280G of the Code, the 280G Firm may retain the services of an independent valuation expert.</w: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c.If a reduced payment or benefit is made or provided and through error or otherwise that payment or benefit, when aggregated with other payments and benefits from the Company (or its affiliates) used in determining if a “parachute payment” exists, exceeds $1.00 less than three (3) times your base amount, then you must immediately repay such excess to the Company upon notification that an overpayment has been made. Nothing in this section will require the Company to be responsible for, or have any liability or obligation with respect to, your excise tax liabilities under Section 4999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d.Any determination required under this section will be made by the Company in its reasonable discretion and the Company’s determination will be final and binding on you; provided, however, that the Company shall pursue all available mitigation efforts.</w:t>
      </w:r>
    </w:p>
    <w:p>
      <w:pPr>
        <w:pStyle w:val="TextBody"/>
        <w:bidi w:val="0"/>
        <w:spacing w:lineRule="auto" w:line="288" w:before="100" w:after="283"/>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This Agreement is intended to either avoid the application of, or comply with, Section 409A of the Code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To that end, this Agreement must at all times be interpreted in a manner that is consistent with Section 409A. Notwithstanding any other provision in this Agreement to the contrary, the Board of Directors has the right, in their sole discretion, to adopt such amendments to this Agreement or take such other actions (including amendments and actions with retroactive effect) as they determine are minimally necessary for this Agreement to comply with Section 409A. Any payment following a “</w:t>
      </w:r>
      <w:r>
        <w:rPr>
          <w:rFonts w:ascii="Times New Roman;serif" w:hAnsi="Times New Roman;serif"/>
          <w:b w:val="false"/>
          <w:i/>
          <w:color w:val="000000"/>
          <w:sz w:val="24"/>
        </w:rPr>
        <w:t>separation from service</w:t>
      </w:r>
      <w:r>
        <w:rPr>
          <w:color w:val="000000"/>
        </w:rPr>
        <w:t xml:space="preserve">” </w:t>
      </w:r>
      <w:r>
        <w:rPr>
          <w:rFonts w:ascii="Times New Roman;serif" w:hAnsi="Times New Roman;serif"/>
          <w:b w:val="false"/>
          <w:color w:val="000000"/>
          <w:sz w:val="24"/>
        </w:rPr>
        <w:t>(as defined in Treasury Regulation Section 1.409A-1(h)) that would be subject to Section 409A(a)(2)(A)(i) of the Code as a distribution following a separation from service of a “</w:t>
      </w:r>
      <w:r>
        <w:rPr>
          <w:rFonts w:ascii="Times New Roman;serif" w:hAnsi="Times New Roman;serif"/>
          <w:b w:val="false"/>
          <w:i/>
          <w:color w:val="000000"/>
          <w:sz w:val="24"/>
        </w:rPr>
        <w:t>specified employee</w:t>
      </w:r>
      <w:r>
        <w:rPr>
          <w:color w:val="000000"/>
        </w:rPr>
        <w:t xml:space="preserve">” </w:t>
      </w:r>
      <w:r>
        <w:rPr>
          <w:rFonts w:ascii="Times New Roman;serif" w:hAnsi="Times New Roman;serif"/>
          <w:b w:val="false"/>
          <w:color w:val="000000"/>
          <w:sz w:val="24"/>
        </w:rPr>
        <w:t>(as defined under Section 409A(a) (2)(B)(i) of the Code) will be made on the first to occur of (i) ten (10) days after the expiration of the six month period following such separation from service, (ii) death, or (iii) such earlier date that complies with Section 409A. Each payment that a Participant may receive under this Plan or an Award Agreement will be treated as a “</w:t>
      </w:r>
      <w:r>
        <w:rPr>
          <w:rFonts w:ascii="Times New Roman;serif" w:hAnsi="Times New Roman;serif"/>
          <w:b w:val="false"/>
          <w:i/>
          <w:color w:val="000000"/>
          <w:sz w:val="24"/>
        </w:rPr>
        <w:t>separate payment</w:t>
      </w:r>
      <w:r>
        <w:rPr>
          <w:color w:val="000000"/>
        </w:rPr>
        <w:t xml:space="preserve">” </w:t>
      </w:r>
      <w:r>
        <w:rPr>
          <w:rFonts w:ascii="Times New Roman;serif" w:hAnsi="Times New Roman;serif"/>
          <w:b w:val="false"/>
          <w:color w:val="000000"/>
          <w:sz w:val="24"/>
        </w:rPr>
        <w:t>for purposes of Section 409A.</w:t>
      </w:r>
    </w:p>
    <w:p>
      <w:pPr>
        <w:pStyle w:val="TextBody"/>
        <w:bidi w:val="0"/>
        <w:spacing w:lineRule="auto" w:line="288" w:before="100" w:after="283"/>
        <w:ind w:left="0" w:right="0" w:hanging="36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Term.</w:t>
      </w:r>
      <w:r>
        <w:rPr>
          <w:color w:val="000000"/>
        </w:rPr>
        <w:t xml:space="preserve"> </w:t>
      </w:r>
      <w:r>
        <w:rPr>
          <w:rFonts w:ascii="Times New Roman;serif" w:hAnsi="Times New Roman;serif"/>
          <w:b w:val="false"/>
          <w:color w:val="000000"/>
          <w:sz w:val="24"/>
        </w:rPr>
        <w:t>This Agreement shall commence on the Effective Date and shall continue in accordance with its terms.</w:t>
      </w:r>
    </w:p>
    <w:p>
      <w:pPr>
        <w:pStyle w:val="TextBody"/>
        <w:bidi w:val="0"/>
        <w:spacing w:lineRule="auto" w:line="288" w:before="100" w:after="283"/>
        <w:ind w:left="0" w:right="0" w:hanging="36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Successors; Binding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Successors of the Company</w:t>
      </w:r>
      <w:r>
        <w:rPr>
          <w:rFonts w:ascii="Times New Roman;serif" w:hAnsi="Times New Roman;serif"/>
          <w:b w:val="false"/>
          <w:color w:val="000000"/>
          <w:sz w:val="24"/>
        </w:rPr>
        <w:t>. The Company will require any successor to all or substantially all of the business and/or assets of the Company to expressly assume and agree, by an agreement in form and substance satisfactory to you, to perform this Agreement in the same manner and to the same extent that the Company would be required to perform it if no such succession had taken place.</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Your Successor</w:t>
      </w:r>
      <w:r>
        <w:rPr>
          <w:rFonts w:ascii="Times New Roman;serif" w:hAnsi="Times New Roman;serif"/>
          <w:b w:val="false"/>
          <w:color w:val="000000"/>
          <w:sz w:val="24"/>
        </w:rPr>
        <w:t>. This Agreement shall inure to the benefit of and be enforceable by your personal or legal representatives, executors, administrators, successors, heirs, distributees, devises and legatees. If you should die following your Date of Termination while any amount would still be payable to you hereunder if you had continued to live, all such amounts, unless otherwise provided herein, shall be paid in accordance with the terms of this Agreement to your devisee, legatee or other designee or, if there is no such designee, to your estate.</w:t>
      </w:r>
    </w:p>
    <w:p>
      <w:pPr>
        <w:pStyle w:val="TextBody"/>
        <w:bidi w:val="0"/>
        <w:spacing w:lineRule="auto" w:line="288" w:before="100" w:after="283"/>
        <w:ind w:left="0" w:right="0" w:hanging="36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Relationship to Other Agreements.</w:t>
      </w:r>
      <w:r>
        <w:rPr>
          <w:color w:val="000000"/>
        </w:rPr>
        <w:t xml:space="preserve"> </w:t>
      </w:r>
      <w:r>
        <w:rPr>
          <w:rFonts w:ascii="Times New Roman;serif" w:hAnsi="Times New Roman;serif"/>
          <w:b w:val="false"/>
          <w:color w:val="000000"/>
          <w:sz w:val="24"/>
        </w:rPr>
        <w:t>This Agreement, the Exhibits attached hereto, the agreements specifically incorporated herein and the Equity Plan are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 For avoidance of doubt, this Agreement shall not supersede or replace any contractual restrictive covenant obligations to which you may be subject, which shall remain in full force and effect according to their terms, and shall be in addition to your obligations under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Nature of Payments.</w:t>
      </w:r>
      <w:r>
        <w:rPr>
          <w:color w:val="000000"/>
        </w:rPr>
        <w:t xml:space="preserve"> </w:t>
      </w:r>
      <w:r>
        <w:rPr>
          <w:rFonts w:ascii="Times New Roman;serif" w:hAnsi="Times New Roman;serif"/>
          <w:b w:val="false"/>
          <w:color w:val="000000"/>
          <w:sz w:val="24"/>
        </w:rPr>
        <w:t>All payments to you under this Agreement shall be considered either payments in consideration of your continued service to the Company or separation payments in consideration of your past service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ind w:left="0" w:right="0" w:hanging="36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Validity.</w:t>
      </w:r>
      <w:r>
        <w:rPr>
          <w:color w:val="000000"/>
        </w:rPr>
        <w:t xml:space="preserve"> </w:t>
      </w:r>
      <w:r>
        <w:rPr>
          <w:rFonts w:ascii="Times New Roman;serif" w:hAnsi="Times New Roman;serif"/>
          <w:b w:val="false"/>
          <w:color w:val="000000"/>
          <w:sz w:val="24"/>
        </w:rPr>
        <w:t>The invalidity or unenforceability of any provision of this Agreement shall not affect the validity or enforceability of any other provision of this Agreement, which shall remain in full force and effect.</w:t>
      </w:r>
    </w:p>
    <w:p>
      <w:pPr>
        <w:pStyle w:val="TextBody"/>
        <w:bidi w:val="0"/>
        <w:spacing w:lineRule="auto" w:line="288" w:before="100" w:after="283"/>
        <w:ind w:left="0" w:right="0" w:hanging="36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Countermarks.</w:t>
      </w:r>
      <w:r>
        <w:rPr>
          <w:color w:val="000000"/>
        </w:rPr>
        <w:t xml:space="preserve"> </w:t>
      </w:r>
      <w:r>
        <w:rPr>
          <w:rFonts w:ascii="Times New Roman;serif" w:hAnsi="Times New Roman;serif"/>
          <w:b w:val="false"/>
          <w:color w:val="000000"/>
          <w:sz w:val="24"/>
        </w:rPr>
        <w:t>This Agreement may be executed in several counterparts, each of which shall be deemed to be an original but all of which together will constitute one and the same instrument.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Notice.</w:t>
      </w:r>
      <w:r>
        <w:rPr>
          <w:color w:val="000000"/>
        </w:rPr>
        <w:t xml:space="preserve"> </w:t>
      </w:r>
      <w:r>
        <w:rPr>
          <w:rFonts w:ascii="Times New Roman;serif" w:hAnsi="Times New Roman;serif"/>
          <w:b w:val="false"/>
          <w:color w:val="000000"/>
          <w:sz w:val="24"/>
        </w:rPr>
        <w:t>Any purported termination of your employment by the Company or by you shall be communicated to the other party by a Notice of Termination. A Notice of Termination shall indicate the specific termination provision in this Agreement relied upon and shall set forth in reasonable detail the facts and circumstances claimed to provide a basis for termination of your employment under the provision so indicated.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provided that all notices to the Company shall be directed to the attention of the Board with a copy to the Secretary of the Company or to such other address as either party may have furnished to the other in writing in accordance herewith, except that notice of change of address shall be effective only upon receipt.</w:t>
      </w:r>
    </w:p>
    <w:p>
      <w:pPr>
        <w:pStyle w:val="TextBody"/>
        <w:bidi w:val="0"/>
        <w:spacing w:lineRule="auto" w:line="288" w:before="100" w:after="283"/>
        <w:ind w:left="0" w:right="0" w:firstLine="720"/>
        <w:jc w:val="left"/>
        <w:rPr/>
      </w:pPr>
      <w:r>
        <w:rPr>
          <w:rFonts w:ascii="Times New Roman;serif" w:hAnsi="Times New Roman;serif"/>
          <w:b/>
          <w:color w:val="000000"/>
          <w:sz w:val="24"/>
          <w:u w:val="single"/>
        </w:rPr>
        <w:t>If to the Company:</w:t>
      </w:r>
      <w:r>
        <w:rPr>
          <w:color w:val="000000"/>
        </w:rPr>
        <w:t xml:space="preserve"> </w:t>
      </w:r>
      <w:r>
        <w:rPr>
          <w:rFonts w:ascii="Times New Roman;serif" w:hAnsi="Times New Roman;serif"/>
          <w:b w:val="false"/>
          <w:color w:val="000000"/>
          <w:sz w:val="24"/>
        </w:rPr>
        <w:t>Tredegar Corporation</w:t>
      </w:r>
    </w:p>
    <w:p>
      <w:pPr>
        <w:pStyle w:val="TextBody"/>
        <w:bidi w:val="0"/>
        <w:spacing w:lineRule="auto" w:line="288" w:before="0" w:after="0"/>
        <w:ind w:left="0" w:right="0" w:firstLine="2856"/>
        <w:jc w:val="left"/>
        <w:rPr>
          <w:rFonts w:ascii="Times New Roman;serif" w:hAnsi="Times New Roman;serif"/>
          <w:b w:val="false"/>
          <w:color w:val="000000"/>
          <w:sz w:val="24"/>
        </w:rPr>
      </w:pPr>
      <w:r>
        <w:rPr>
          <w:rFonts w:ascii="Times New Roman;serif" w:hAnsi="Times New Roman;serif"/>
          <w:b w:val="false"/>
          <w:color w:val="000000"/>
          <w:sz w:val="24"/>
        </w:rPr>
        <w:t>1100 Boulders Parkway</w:t>
      </w:r>
    </w:p>
    <w:p>
      <w:pPr>
        <w:pStyle w:val="TextBody"/>
        <w:bidi w:val="0"/>
        <w:spacing w:lineRule="auto" w:line="288" w:before="0" w:after="0"/>
        <w:ind w:left="0" w:right="0" w:firstLine="2856"/>
        <w:jc w:val="left"/>
        <w:rPr>
          <w:rFonts w:ascii="Times New Roman;serif" w:hAnsi="Times New Roman;serif"/>
          <w:b w:val="false"/>
          <w:color w:val="000000"/>
          <w:sz w:val="24"/>
        </w:rPr>
      </w:pPr>
      <w:r>
        <w:rPr>
          <w:rFonts w:ascii="Times New Roman;serif" w:hAnsi="Times New Roman;serif"/>
          <w:b w:val="false"/>
          <w:color w:val="000000"/>
          <w:sz w:val="24"/>
        </w:rPr>
        <w:t>Richmond, VA 23225</w:t>
      </w:r>
    </w:p>
    <w:p>
      <w:pPr>
        <w:pStyle w:val="TextBody"/>
        <w:bidi w:val="0"/>
        <w:spacing w:lineRule="auto" w:line="288" w:before="0" w:after="0"/>
        <w:ind w:left="0" w:right="0" w:firstLine="2856"/>
        <w:jc w:val="left"/>
        <w:rPr>
          <w:rFonts w:ascii="Times New Roman;serif" w:hAnsi="Times New Roman;serif"/>
          <w:b w:val="false"/>
          <w:color w:val="000000"/>
          <w:sz w:val="24"/>
        </w:rPr>
      </w:pPr>
      <w:r>
        <w:rPr>
          <w:rFonts w:ascii="Times New Roman;serif" w:hAnsi="Times New Roman;serif"/>
          <w:b w:val="false"/>
          <w:color w:val="000000"/>
          <w:sz w:val="24"/>
        </w:rPr>
        <w:t>Attn: Chairman of the Board of Directors</w:t>
      </w:r>
    </w:p>
    <w:p>
      <w:pPr>
        <w:pStyle w:val="TextBody"/>
        <w:bidi w:val="0"/>
        <w:spacing w:lineRule="auto" w:line="288" w:before="100" w:after="283"/>
        <w:ind w:left="0" w:right="0" w:firstLine="720"/>
        <w:jc w:val="left"/>
        <w:rPr/>
      </w:pPr>
      <w:r>
        <w:rPr>
          <w:rFonts w:ascii="Times New Roman;serif" w:hAnsi="Times New Roman;serif"/>
          <w:b w:val="false"/>
          <w:i/>
          <w:color w:val="000000"/>
          <w:sz w:val="24"/>
        </w:rPr>
        <w:t xml:space="preserve">With a Copy to: </w:t>
      </w:r>
      <w:r>
        <w:rPr>
          <w:rFonts w:ascii="Times New Roman;serif" w:hAnsi="Times New Roman;serif"/>
          <w:b w:val="false"/>
          <w:color w:val="000000"/>
          <w:sz w:val="24"/>
        </w:rPr>
        <w:t>McGuireWoods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Gateway Plaza</w:t>
      </w:r>
    </w:p>
    <w:p>
      <w:pPr>
        <w:pStyle w:val="TextBody"/>
        <w:bidi w:val="0"/>
        <w:spacing w:lineRule="auto" w:line="288" w:before="0" w:after="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800 East Canal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Richmond, VA 23219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Igor Babichenko</w:t>
      </w:r>
    </w:p>
    <w:p>
      <w:pPr>
        <w:pStyle w:val="TextBody"/>
        <w:bidi w:val="0"/>
        <w:spacing w:lineRule="auto" w:line="288" w:before="100" w:after="283"/>
        <w:ind w:left="0" w:right="0" w:firstLine="720"/>
        <w:jc w:val="left"/>
        <w:rPr/>
      </w:pPr>
      <w:r>
        <w:rPr>
          <w:rFonts w:ascii="Times New Roman;serif" w:hAnsi="Times New Roman;serif"/>
          <w:b/>
          <w:color w:val="000000"/>
          <w:sz w:val="24"/>
          <w:u w:val="single"/>
        </w:rPr>
        <w:t>If to the Executive:</w:t>
      </w:r>
      <w:r>
        <w:rPr>
          <w:color w:val="000000"/>
        </w:rPr>
        <w:t xml:space="preserve"> </w:t>
      </w:r>
      <w:r>
        <w:rPr>
          <w:rFonts w:ascii="Times New Roman;serif" w:hAnsi="Times New Roman;serif"/>
          <w:b w:val="false"/>
          <w:color w:val="000000"/>
          <w:sz w:val="24"/>
        </w:rPr>
        <w:t>Dr. Arijit (Bapi) DasGupta</w:t>
      </w:r>
    </w:p>
    <w:p>
      <w:pPr>
        <w:pStyle w:val="TextBody"/>
        <w:bidi w:val="0"/>
        <w:spacing w:lineRule="auto" w:line="288" w:before="0" w:after="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100" w:after="283"/>
        <w:ind w:left="0" w:right="0" w:hanging="36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Amendment.</w:t>
      </w:r>
      <w:r>
        <w:rPr>
          <w:color w:val="000000"/>
        </w:rPr>
        <w:t xml:space="preserve"> </w:t>
      </w:r>
      <w:r>
        <w:rPr>
          <w:rFonts w:ascii="Times New Roman;serif" w:hAnsi="Times New Roman;serif"/>
          <w:b w:val="false"/>
          <w:color w:val="000000"/>
          <w:sz w:val="24"/>
        </w:rPr>
        <w:t>The Company reserves the right to amend or terminate this Agreement at any time by providing at least thirty (30) days advance written notice to you; provided however, but no such amendment or termination that has the effect of reducing or diminishing any of your rights under this Agreement will be effective without your written consent.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Survival.</w:t>
      </w:r>
      <w:r>
        <w:rPr>
          <w:color w:val="000000"/>
        </w:rPr>
        <w:t xml:space="preserve"> </w:t>
      </w:r>
      <w:r>
        <w:rPr>
          <w:rFonts w:ascii="Times New Roman;serif" w:hAnsi="Times New Roman;serif"/>
          <w:b w:val="false"/>
          <w:color w:val="000000"/>
          <w:sz w:val="24"/>
        </w:rPr>
        <w:t>This Agreement shall terminate as provided herein, except that, to the extent the context requires, the provisions intended to survive the termination of this Agreement shall survive.</w:t>
      </w:r>
    </w:p>
    <w:p>
      <w:pPr>
        <w:pStyle w:val="TextBody"/>
        <w:bidi w:val="0"/>
        <w:spacing w:lineRule="auto" w:line="288" w:before="100" w:after="283"/>
        <w:ind w:left="0" w:right="0" w:hanging="36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Governing Law; Venue and Disputes.</w:t>
      </w:r>
      <w:r>
        <w:rPr>
          <w:color w:val="000000"/>
        </w:rPr>
        <w:t xml:space="preserve"> </w:t>
      </w:r>
      <w:r>
        <w:rPr>
          <w:rFonts w:ascii="Times New Roman;serif" w:hAnsi="Times New Roman;serif"/>
          <w:b w:val="false"/>
          <w:color w:val="000000"/>
          <w:sz w:val="24"/>
        </w:rPr>
        <w:t>The validity, interpretation, construction and performance of this Agreement shall be governed by the laws of the Commonwealth of Virginia. You and the Company hereby agree that any suit, action or proceeding arising out of or related to this Agreement shall be brought in any state court in Chesterfield, Virginia, or the federal district court for the Eastern District of Virginia, Richmond Division, and that you and the Company shall submit to such venue. Additionally:</w:t>
      </w:r>
    </w:p>
    <w:p>
      <w:pPr>
        <w:pStyle w:val="TextBody"/>
        <w:bidi w:val="0"/>
        <w:spacing w:lineRule="auto" w:line="288" w:before="100" w:after="283"/>
        <w:ind w:left="0" w:right="0" w:hanging="3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Attorney Fees and Prevailing Party.</w:t>
      </w:r>
      <w:r>
        <w:rPr>
          <w:color w:val="000000"/>
        </w:rPr>
        <w:t xml:space="preserve"> </w:t>
      </w:r>
      <w:r>
        <w:rPr>
          <w:rFonts w:ascii="Times New Roman;serif" w:hAnsi="Times New Roman;serif"/>
          <w:b w:val="false"/>
          <w:color w:val="000000"/>
          <w:sz w:val="24"/>
        </w:rPr>
        <w:t xml:space="preserve">If there is any suit, action, or proceeding alleging a breach of this Agreement, then the Company shall provide you with advancement of legal fees and expenses associated with your court costs and attorneys’ fees; provided, however, that the prevailing party in any such suit, action, or proceeding, on trial or appeal, shall be entitled to recover from the non-prevailing party, in addition to any other relief awarded, its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reasonable and necessary attorneys’ fees, costs, and expenses incurred in such suit, action, or proceeding. If there is no prevailing party, each party will pay its own attorneys’ fees, costs, and expenses. Whether a prevailing party exists shall be determined solely by the court on a claim-by-claim basis and the court, in its sole discretion, shall determine the amount of reasonable and necessary attorneys’ fees, costs, and/or expenses, if any, for which a party is entitled.</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Guiding Principles.</w:t>
      </w:r>
      <w:r>
        <w:rPr>
          <w:color w:val="000000"/>
        </w:rPr>
        <w:t xml:space="preserve"> </w:t>
      </w:r>
      <w:r>
        <w:rPr>
          <w:rFonts w:ascii="Times New Roman;serif" w:hAnsi="Times New Roman;serif"/>
          <w:b w:val="false"/>
          <w:color w:val="000000"/>
          <w:sz w:val="24"/>
        </w:rPr>
        <w:t>The following guiding principles shall be applied by a court in any determination of a prevailing party: (x) the intent of the parties is to avoid any suit, action, or proceeding arising from a breach of this Agreement, and therefore, the parties will work together to resolve any such dispute; (y) none of the parties will proceed with a suit, action, or proceeding arising from a breach of this Agreement until after exhausting all reasonable efforts to resolve such dispute using good faith, an impasse has resulted and a satisfactory result cannot be reached without moving forward with such suit, action, or proceeding; and (z) none of the parties will bring any suit, action, or proceeding or claim (including cross- claims) arising from a breach of this Agreement until after such party has fully evaluated the merits of such purported claim or cause of action and made a determination that such party has a good-faith basis to move forward with such suit, action, proceeding or claim (including cross-claims).</w:t>
      </w:r>
    </w:p>
    <w:p>
      <w:pPr>
        <w:pStyle w:val="TextBody"/>
        <w:bidi w:val="0"/>
        <w:spacing w:lineRule="auto" w:line="288" w:before="100" w:after="283"/>
        <w:ind w:left="0" w:right="0" w:hanging="3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Appeals.</w:t>
      </w:r>
      <w:r>
        <w:rPr>
          <w:color w:val="000000"/>
        </w:rPr>
        <w:t xml:space="preserve"> </w:t>
      </w:r>
      <w:r>
        <w:rPr>
          <w:rFonts w:ascii="Times New Roman;serif" w:hAnsi="Times New Roman;serif"/>
          <w:b w:val="false"/>
          <w:color w:val="000000"/>
          <w:sz w:val="24"/>
        </w:rPr>
        <w:t>In any appeal from the award or denial of attorneys’ fees, the judge reviewing the award may not modify the decision of the court making or denying an award, or the decision of the court as to the amount of the award, except upon a finding of an abuse of discretion.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Sincerely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 E. Tack, III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Carl E. Tack, III, Chair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Tredegar Executive Compensation Committee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 agree to the terms described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/s/Arijit (Bapi) DasGupta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May 4,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EXECUTIVE SEPARATION AGREEMENT, GENERAL WAIVER AND RELEASE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Executive Separation Agreement, General Waiver and Release (“Agreement”) is between [Executive], on behalf of himself and his agents, representatives, assignees, heirs, executors, beneficiaries, and trustees (collectively “Executive”), and Tredegar Corporation, on behalf of itself, its divisions, parents, subsidiaries, affiliates, and each of their predecessors, successors, related entities, directors, officers, fiduciaries, employees, agents, attorneys and representatives (collectively “Employer”). In consideration of the mutual covenants and promises contained herein, the parties hereby agree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 </w:t>
      </w:r>
      <w:r>
        <w:rPr>
          <w:rFonts w:ascii="Times New Roman;serif" w:hAnsi="Times New Roman;serif"/>
          <w:b/>
          <w:color w:val="000000"/>
          <w:sz w:val="24"/>
          <w:u w:val="single"/>
        </w:rPr>
        <w:t>Separation; Separation Benefits</w:t>
      </w:r>
      <w:r>
        <w:rPr>
          <w:rFonts w:ascii="Times New Roman;serif" w:hAnsi="Times New Roman;serif"/>
          <w:b/>
          <w:color w:val="000000"/>
          <w:sz w:val="24"/>
        </w:rPr>
        <w:t xml:space="preserve">. </w:t>
      </w:r>
      <w:r>
        <w:rPr>
          <w:rFonts w:ascii="Times New Roman;serif" w:hAnsi="Times New Roman;serif"/>
          <w:b w:val="false"/>
          <w:color w:val="000000"/>
          <w:sz w:val="24"/>
        </w:rPr>
        <w:t>Executive is currently employed by Employer as its [TITLE]. Executive’s employment with Employer, and any officer or director duties Executive holds with any Tredegar Corporation subsidy as a result of Executive’s employment, shall terminate on ______, 202_ (“Separation Date”). Executive shall receive Executive’s normal compensation through the Separation Date, and Executive’s benefits shall terminate in accordance with the applicable policies and summary plan descriptions, except as specified herein. In complete settlement of any and all claims that Executive may have against Employer and other covenants and promises contained herein:</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Separation Pay</w:t>
      </w:r>
      <w:r>
        <w:rPr>
          <w:rFonts w:ascii="Times New Roman;serif" w:hAnsi="Times New Roman;serif"/>
          <w:b w:val="false"/>
          <w:color w:val="000000"/>
          <w:sz w:val="24"/>
        </w:rPr>
        <w:t>. Employer agrees to pay Executive the gross sum of ________________ and __/100 Dollars ($______.__) (“Separation Pay”), which constitutes Executive’s annual base salary. The Separation Pay shall be paid to Executive in regular installments as soon as practicable following the Effective Date (as such term is defined herein) in accordance with Employer’s regularly scheduled payroll dates (“Severance Payment Installments”) and subject to the terms 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COBRA Payment</w:t>
      </w:r>
      <w:r>
        <w:rPr>
          <w:rFonts w:ascii="Times New Roman;serif" w:hAnsi="Times New Roman;serif"/>
          <w:b w:val="false"/>
          <w:color w:val="000000"/>
          <w:sz w:val="24"/>
        </w:rPr>
        <w:t>. In the event that Executive elects continuation coverage under COBRA, Employer agrees to pay the COBRA premium for up to ____ months as further described below (the “COBRA Payment”).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Restricted Stock Awards</w:t>
      </w:r>
      <w:r>
        <w:rPr>
          <w:rFonts w:ascii="Times New Roman;serif" w:hAnsi="Times New Roman;serif"/>
          <w:b w:val="false"/>
          <w:color w:val="000000"/>
          <w:sz w:val="24"/>
        </w:rPr>
        <w:t>. Employer agrees the following outstanding restricted stock awards (“Restricted Stock”) shall vest to the same extent, and on the same dates, that such Restricted Stock would have vested if Executive had remained employed through and including the [Year] vesting dates, notwithstanding that Executive’s Separation Date precedes the [Year] vesting date:</w:t>
      </w:r>
    </w:p>
    <w:tbl>
      <w:tblPr>
        <w:tblW w:w="4603" w:type="dxa"/>
        <w:jc w:val="left"/>
        <w:tblInd w:w="0" w:type="dxa"/>
        <w:tblLayout w:type="fixed"/>
        <w:tblCellMar>
          <w:top w:w="28" w:type="dxa"/>
          <w:left w:w="28" w:type="dxa"/>
          <w:bottom w:w="28" w:type="dxa"/>
          <w:right w:w="28" w:type="dxa"/>
        </w:tblCellMar>
      </w:tblPr>
      <w:tblGrid>
        <w:gridCol w:w="467"/>
        <w:gridCol w:w="409"/>
        <w:gridCol w:w="413"/>
        <w:gridCol w:w="609"/>
        <w:gridCol w:w="609"/>
        <w:gridCol w:w="611"/>
        <w:gridCol w:w="434"/>
        <w:gridCol w:w="434"/>
        <w:gridCol w:w="617"/>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Award Date</w:t>
            </w:r>
          </w:p>
        </w:tc>
        <w:tc>
          <w:tcPr>
            <w:tcW w:w="18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Number of Shares</w:t>
            </w:r>
          </w:p>
        </w:tc>
        <w:tc>
          <w:tcPr>
            <w:tcW w:w="14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Vesting Dates</w:t>
            </w:r>
          </w:p>
        </w:tc>
      </w:tr>
      <w:tr>
        <w:trPr/>
        <w:tc>
          <w:tcPr>
            <w:tcW w:w="128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remaining restricted stock awards will be forfeited.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Performance Unit Awards</w:t>
      </w:r>
      <w:r>
        <w:rPr>
          <w:rFonts w:ascii="Times New Roman;serif" w:hAnsi="Times New Roman;serif"/>
          <w:b w:val="false"/>
          <w:color w:val="000000"/>
          <w:sz w:val="24"/>
        </w:rPr>
        <w:t>. The following outstanding cash-based performance unit awards (“Performance Units”) shall be deemed earned as of the Separation Date to the extent that the applicable performance goals, objectives or measures are achieved in accordance with their terms, which shall be settled at the end of the applicable measurement period for each award:</w:t>
      </w:r>
    </w:p>
    <w:tbl>
      <w:tblPr>
        <w:tblW w:w="8726" w:type="dxa"/>
        <w:jc w:val="left"/>
        <w:tblInd w:w="0" w:type="dxa"/>
        <w:tblLayout w:type="fixed"/>
        <w:tblCellMar>
          <w:top w:w="28" w:type="dxa"/>
          <w:left w:w="28" w:type="dxa"/>
          <w:bottom w:w="28" w:type="dxa"/>
          <w:right w:w="28" w:type="dxa"/>
        </w:tblCellMar>
      </w:tblPr>
      <w:tblGrid>
        <w:gridCol w:w="467"/>
        <w:gridCol w:w="409"/>
        <w:gridCol w:w="413"/>
        <w:gridCol w:w="569"/>
        <w:gridCol w:w="569"/>
        <w:gridCol w:w="571"/>
        <w:gridCol w:w="1089"/>
        <w:gridCol w:w="1089"/>
        <w:gridCol w:w="1091"/>
        <w:gridCol w:w="718"/>
        <w:gridCol w:w="718"/>
        <w:gridCol w:w="1023"/>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Award Date</w:t>
            </w:r>
          </w:p>
        </w:tc>
        <w:tc>
          <w:tcPr>
            <w:tcW w:w="17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Number of Units</w:t>
            </w:r>
          </w:p>
        </w:tc>
        <w:tc>
          <w:tcPr>
            <w:tcW w:w="32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End of Measurement Period Date</w:t>
            </w:r>
          </w:p>
        </w:tc>
        <w:tc>
          <w:tcPr>
            <w:tcW w:w="24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 of Potential Payout</w:t>
            </w:r>
          </w:p>
        </w:tc>
      </w:tr>
      <w:tr>
        <w:trPr/>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remaining performance unit awards will be forfeited.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COBRA Payment is subject to the Executive being enrolled in Tredegar Corporation’s medical coverage at the time of separation from the Employer, and Executive electing to receive COBRA continuation coverage before the deadline specified in the COBRA Qualifying Event letter that will be mailed to Executive’s last known home address. Should Executive elect to continue his/her COBRA continuation coverage, Employer agrees to pay the COBRA premium for up to ____ months and so long as Executive is not eligible for group health coverage from another employer (“Third Party Insurance Coverage”). Employer’s obligation to pay the premium for COBRA coverage shall end the earlier of (a) ______, 202_, or (b) such date that Executive is otherwise eligible for Third Party Insurance Coverage. If Executive becomes eligible for Third Party Insurance Coverage, Executive agrees to decline the continuation of his/her COBRA coverage by providing written notice to Employer sufficiently in advance to avoid any overlap in the COBRA coverage and the Third-Party Insurance Coverage. After _______, 202__, Executive shall assume responsibility for his/her COBRA coverage (if applicable) by making such COBRA premium payments at Executive's sole expense.]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[Separation Pay, COBRA Pay, Restricted Stock, and Performance Units, if any,] shall be referred to herein collectively as “Separation Benefits.” Executive hereby agrees that any monetary Separation Benefits shall be paid as described above, less all applicable federal, state and local withholding taxes and other payroll deductions that the Employer is required by law to make from wage payments to employees.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acknowledges that the monetary payment and benefits described in this Section 1 constitute valid and sufficient consideration for the promises contained in the Agreement and that Employer was not otherwise obligated to provide Executive such monetary payment and benefits. Executive hereby agrees that the payments and performances described in Section 1 are all that Executive shall be entitled to receive from Employer, except (i) accrued, unused vacation time, if any, which will be paid pursuant to the Employer’s policy; (ii) vested qualified retirement benefits or equity awards, if any, to which Executive may be entitled under Employer’s ERISA plans or equity plans; and (iii) the right to continuation in Employer’s group health insurance plans as provided by COBRA, if applicable.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 </w:t>
      </w:r>
      <w:r>
        <w:rPr>
          <w:rFonts w:ascii="Times New Roman;serif" w:hAnsi="Times New Roman;serif"/>
          <w:b/>
          <w:color w:val="000000"/>
          <w:sz w:val="24"/>
          <w:u w:val="single"/>
        </w:rPr>
        <w:t>Executive Misconduct Resulting in Cessation of Separation Benefits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agrees that any conduct occurring after the Separation Date that materially harms the reputation, business interests, or legal standing of Employer or any of its affiliates shall constitute misconduct. Such conduct includes, but is not limited to: (a) any act of violence or threatening behavior by Executive towards employees, vendors, or customers of Employer; (b) destruction of property belonging to Employer or its employees, vendors or customers; (c) publication of any materially false information concerning Employer or its officers, directors, employees, vendors, customers or business practices that damages the reputation of the aggrieved party; (d) conduct that results in public scandal or controversy materially linked to the Executive’s prior role at Employer; (e) intentional disclosure or misuse of Employer’s trade secrets or confidential information in violation of any continuing obligations identified herein; or (f) refusing to provide reasonably requested transition assistance or Continuing Services at any point prior to the expected date of last payout of Separation Benefits.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such misconduct occurs, Employer shall be entitled to (i) cease any Separation Benefits not yet paid; (ii) claw back any payments made under this Agreement to the extent permitted by law; and (iii) seek all appropriate legal and equitable relief as a consequence of Executive’s misconduct, as well as any and all damages, expenses, attorneys’ fees, and costs that Employer incurs as a result of such misconduct.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3.</w:t>
      </w:r>
      <w:r>
        <w:rPr>
          <w:color w:val="000000"/>
        </w:rPr>
        <w:t xml:space="preserve"> </w:t>
      </w:r>
      <w:r>
        <w:rPr>
          <w:rFonts w:ascii="Times New Roman;serif" w:hAnsi="Times New Roman;serif"/>
          <w:b/>
          <w:color w:val="000000"/>
          <w:sz w:val="24"/>
          <w:u w:val="single"/>
        </w:rPr>
        <w:t>General Release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hereby waives, releases and forever discharges Employer from any and all KNOWN OR UNKNOWN actions, causes of action, claims or liabilities of any kind (“Claims”) which have been or could be asserted against Employer by reason of his employment and/or retirement from Employer or resignation from the officer or director positions of subsidiaries arising up to and including the date Executive signs this Agreement, including but not limited to any and all Claims arising under Title VII of the Civil Rights Act of 1964, the Executive Retirement Income Security Act, the Rehabilitation Act of 1973, the Age Discrimination in Employment Act, the Americans with Disabilities Act, the Family and Medical Leave Act, the Fair Labor Standards Act, the Equal Pay Act, the Occupational Safety and Health Act, the Genetic Information Nondiscrimination Act, the Sarbanes-Oxley Act, the Dodd-Frank Wall Street Reform and Consumer Program Act, the False Claims Act, the Virginia Human Rights Act, each as may be amended, and/or any and all other federal, state, local, or municipal employment discrimination statutes, regulations, executive orders and/or ordinances pertaining to employment, as well as Claims under state contract or tort law including, but not limited to, those based on allegations of wrongful discharge, breach of contract, promissory estoppel, defamation, and infliction of emotional distress.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4.</w:t>
      </w:r>
      <w:r>
        <w:rPr>
          <w:color w:val="000000"/>
        </w:rPr>
        <w:t xml:space="preserve"> </w:t>
      </w:r>
      <w:r>
        <w:rPr>
          <w:rFonts w:ascii="Times New Roman;serif" w:hAnsi="Times New Roman;serif"/>
          <w:b/>
          <w:color w:val="000000"/>
          <w:sz w:val="24"/>
          <w:u w:val="single"/>
        </w:rPr>
        <w:t>Exclusions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Excluded from the General Release in Section 3 are any claims which cannot be waived by law, including any rights Executive may have to workers’ compensation or unemployment insurance benefits, any rights with regard to vested benefits under ERISA or any rights Executive may have under this Agreement. Executive understands and acknowledges that the General Release in Section 3 does not release Executive’s right to file a charge with, or participate in, any investigation or proceeding conducted by any federal, state, or local governmental agency or entity, including the Equal Employment Opportunity Commission. Executive is waiving, however, to the fullest extent permitted by law, any right to any monetary recovery or any award of damages in connection with such a charge, investigation or proceeding.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5. </w:t>
      </w:r>
      <w:r>
        <w:rPr>
          <w:rFonts w:ascii="Times New Roman;serif" w:hAnsi="Times New Roman;serif"/>
          <w:b/>
          <w:color w:val="000000"/>
          <w:sz w:val="24"/>
          <w:u w:val="single"/>
        </w:rPr>
        <w:t>Dismissal of Claims; No Lawsuits</w:t>
      </w:r>
      <w:r>
        <w:rPr>
          <w:rFonts w:ascii="Times New Roman;serif" w:hAnsi="Times New Roman;serif"/>
          <w:b/>
          <w:color w:val="000000"/>
          <w:sz w:val="24"/>
        </w:rPr>
        <w:t xml:space="preserve">. </w:t>
      </w:r>
      <w:r>
        <w:rPr>
          <w:rFonts w:ascii="Times New Roman;serif" w:hAnsi="Times New Roman;serif"/>
          <w:b w:val="false"/>
          <w:color w:val="000000"/>
          <w:sz w:val="24"/>
        </w:rPr>
        <w:t xml:space="preserve">Additionally, because of Executive’s release and waiver of all claims, actions, causes of action and liabilities, Executive agrees and represents that he has withdrawn, dismissed and/or discontinued all complaints, grievances, charges, suits and/or actions of any kind that had been initiated or conducted on behalf of him with any agencies, departments, courts, commissions, and/or other tribunals or entities of any kind against Employer. Executive promises never to file a lawsuit asserting any claims that are released in Section 3, except that Executive may bring a lawsuit to challenge the validity of this Agreement under the Age Discrimination in Employment Act of 1967 or the Older Workers Benefit Protection Act. In the event Executive breaches this Section 5, Executive shall pay to Employer all of its expenses incurred as a result of such breach, including, but not limited to, reasonable attorneys’ fees, expenses, and costs.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color w:val="000000"/>
          <w:sz w:val="24"/>
        </w:rPr>
        <w:t xml:space="preserve">6. </w:t>
      </w:r>
      <w:r>
        <w:rPr>
          <w:rFonts w:ascii="Times New Roman;serif" w:hAnsi="Times New Roman;serif"/>
          <w:b/>
          <w:color w:val="000000"/>
          <w:sz w:val="24"/>
          <w:u w:val="single"/>
        </w:rPr>
        <w:t>Confidentiality</w:t>
      </w:r>
      <w:r>
        <w:rPr>
          <w:rFonts w:ascii="Times New Roman;serif" w:hAnsi="Times New Roman;serif"/>
          <w:b/>
          <w:color w:val="000000"/>
          <w:sz w:val="24"/>
        </w:rPr>
        <w:t xml:space="preserve">. </w:t>
      </w:r>
      <w:r>
        <w:rPr>
          <w:rFonts w:ascii="Times New Roman;serif" w:hAnsi="Times New Roman;serif"/>
          <w:b w:val="false"/>
          <w:color w:val="000000"/>
          <w:sz w:val="24"/>
        </w:rPr>
        <w:t xml:space="preserve">Executive agrees that the terms of this Agreement, the discussions that led to its creation and execution, and any claims, allegations, and disputes that are being resolved by this Agreement, are to remain strictly confidential and shall not be disclosed or communicated to any person, unless disclosure is required or protected by law or a court order. Executive may, however, disclose the terms of this Agreement to his attorney, tax advisor(s) and members of Executive’s immediate family, provided that they agree to be bound by the terms of this promise of confidentiality with Executive to be responsible for their compliance. A breach of this provision shall be considered a material breach. Executive warrants that he has not disclosed the Separation Benefits and other monetary payments and benefits offered hereunder, or the terms hereof up to and including the date of execution of this Agreement, except as provided in this Agreement. If Executive violates this confidentiality provision, he shall be liable to Employer for its reasonable attorneys’ fees and other litigation costs incurred in enforcing this confidentiality provision, as well as all damages available at law.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7. </w:t>
      </w:r>
      <w:r>
        <w:rPr>
          <w:rFonts w:ascii="Times New Roman;serif" w:hAnsi="Times New Roman;serif"/>
          <w:b/>
          <w:color w:val="000000"/>
          <w:sz w:val="24"/>
          <w:u w:val="single"/>
        </w:rPr>
        <w:t>Confidential Information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Except as permitted by this Agreement, Executive covenants and agrees that for the 3 years after Executive’s Separation Date: (i) Executive shall keep strictly confidential and not disclose to any person not employed by the Employer any Confidential Information; and (ii) Executive shall not use for himself or for any other person or entity any Confidential Information. However, this provision shall not preclude Executive from (x) any disclosure required by law or court order so long as Executive provides the Employer immediate written notice of any potential disclosure under this subsection and fully cooperates with the Employer to lawfully prevent or limit such disclosure, or (y) communicating in confidence with a government official solely for the purpose of reporting or investigating a suspected violation of law.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all confidential, proprietary or business information furnished to, obtained by, or created by Executive while employed by the Employer or any of its affiliated entities which could be used to harm or compete against the Employer, provided Confidential Information shall not include information known generally to the public (other than information known generally to the public as a result of Executive’s violation of this Section). Confidential Information includes, by way of illustration, such information relating to: (A) Employer customers, including customer lists, contact information, contractual terms, billing histories, and preferences; (B) the Employer’s finances, including financial statements, balance sheets, sales data, forecasts, and cost analyses; (C) the Employer’s plans and projections for business opportunities for new or developing business, including marketing concepts and business plans; (D) the Employer’s research and development activities, technical data, manufacturing technologies, computer files, and software; and (E) the Employer’s operating methods, business processes, services, products, prices, costs, service performance, and operating results. Nothing in the foregoing shall limit the Employer’s protections under any federal and/or state trade secret protection laws. Executive understands that the federal Defend Trade Secrets Act of 2016 provides that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provided such filing is made under seal.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8. </w:t>
      </w:r>
      <w:r>
        <w:rPr>
          <w:rFonts w:ascii="Times New Roman;serif" w:hAnsi="Times New Roman;serif"/>
          <w:b/>
          <w:color w:val="000000"/>
          <w:sz w:val="24"/>
          <w:u w:val="single"/>
        </w:rPr>
        <w:t>Non-Disparagement</w:t>
      </w:r>
      <w:r>
        <w:rPr>
          <w:rFonts w:ascii="Times New Roman;serif" w:hAnsi="Times New Roman;serif"/>
          <w:b/>
          <w:color w:val="000000"/>
          <w:sz w:val="24"/>
        </w:rPr>
        <w:t xml:space="preserve">. </w:t>
      </w:r>
      <w:r>
        <w:rPr>
          <w:rFonts w:ascii="Times New Roman;serif" w:hAnsi="Times New Roman;serif"/>
          <w:b w:val="false"/>
          <w:color w:val="000000"/>
          <w:sz w:val="24"/>
        </w:rPr>
        <w:t>Executive shall not, whether verbally, in writing, electronically, or by any other form of communication, disparage, criticize, condemn, make false and/or harmful statement regarding, or impugn the reputation or character of, Employer or any of its officers, employees, directors, or agents. If Executive violates this non-disparagement covenant, he shall be liable to Employer for its damages, reasonable attorneys’ fees, and costs incurred in enforcing this non-disparagement covenant. Notwithstanding the foregoing, nothing in this Agreement shall prevent Executive from testifying truthfully if compelled by applicable law or legal process or reporting unlawful activity to any governmental authorities for investigation.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color w:val="000000"/>
          <w:sz w:val="24"/>
        </w:rPr>
        <w:t xml:space="preserve">9. </w:t>
      </w:r>
      <w:r>
        <w:rPr>
          <w:rFonts w:ascii="Times New Roman;serif" w:hAnsi="Times New Roman;serif"/>
          <w:b/>
          <w:color w:val="000000"/>
          <w:sz w:val="24"/>
          <w:u w:val="single"/>
        </w:rPr>
        <w:t>Intellectual Property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hereby assigns to the Employer Executive’s full right, title, and interest in all Developments (as defined below), including all Intellectual Property Rights (as defined below) associated therewith. “</w:t>
      </w:r>
      <w:r>
        <w:rPr>
          <w:rFonts w:ascii="Times New Roman;serif" w:hAnsi="Times New Roman;serif"/>
          <w:b w:val="false"/>
          <w:color w:val="000000"/>
          <w:sz w:val="24"/>
          <w:u w:val="single"/>
        </w:rPr>
        <w:t>Developments</w:t>
      </w:r>
      <w:r>
        <w:rPr>
          <w:color w:val="000000"/>
        </w:rPr>
        <w:t xml:space="preserve">” </w:t>
      </w:r>
      <w:r>
        <w:rPr>
          <w:rFonts w:ascii="Times New Roman;serif" w:hAnsi="Times New Roman;serif"/>
          <w:b w:val="false"/>
          <w:color w:val="000000"/>
          <w:sz w:val="24"/>
        </w:rPr>
        <w:t>means any invention, formula, process, development, design, work of authorship, discovery, computer program, innovation or improvement made, conceived or first reduced to practice by Executive, solely or jointly with others, during Executive’s employment with the Employer and that was developed using the equipment, supplies, facilities or trade secret information of the Employer or that related at the time of conception or reduction to practice to: (a) the business of the Employer, or (b) any work performed by Executive for the Employer. “</w:t>
      </w:r>
      <w:r>
        <w:rPr>
          <w:rFonts w:ascii="Times New Roman;serif" w:hAnsi="Times New Roman;serif"/>
          <w:b w:val="false"/>
          <w:color w:val="000000"/>
          <w:sz w:val="24"/>
          <w:u w:val="single"/>
        </w:rPr>
        <w:t>Intellectual Property Rights</w:t>
      </w:r>
      <w:r>
        <w:rPr>
          <w:color w:val="000000"/>
        </w:rPr>
        <w:t xml:space="preserve">” </w:t>
      </w:r>
      <w:r>
        <w:rPr>
          <w:rFonts w:ascii="Times New Roman;serif" w:hAnsi="Times New Roman;serif"/>
          <w:b w:val="false"/>
          <w:color w:val="000000"/>
          <w:sz w:val="24"/>
        </w:rPr>
        <w:t xml:space="preserve">means all patent rights, trademarks, copyrights, trade secret rights, and any other intellectual property or industrial rights in all countries and territories worldwide. Executive acknowledges and agrees that any copyrightable works included in the Developments shall be considered “works made for hire”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Copyright Act (17 U.S.C. §§ 101 et seq.) and that Employer will be considered the author and owner of such copyrightable works. To the extent that any copyrightable Development is not recognized as a “work made for hire” as a matter of law, Executive hereby assigns to the Employer all copyrights in such Development.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10. </w:t>
      </w:r>
      <w:r>
        <w:rPr>
          <w:rFonts w:ascii="Times New Roman;serif" w:hAnsi="Times New Roman;serif"/>
          <w:b/>
          <w:color w:val="000000"/>
          <w:sz w:val="24"/>
          <w:u w:val="single"/>
        </w:rPr>
        <w:t>Affiliates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term “</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 xml:space="preserve">as used in Section 13 (Return of Employer Property), Section 7 (Confidential Information), Section 8 (Non-Disparagement), and Section 9 (Intellectual Property), and Section 12 (Executive Secrecy Agreements) shall mean: (a) Tredegar Corporation; and (b) the affiliates of Tredegar Corporation.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11. </w:t>
      </w:r>
      <w:r>
        <w:rPr>
          <w:rFonts w:ascii="Times New Roman;serif" w:hAnsi="Times New Roman;serif"/>
          <w:b/>
          <w:color w:val="000000"/>
          <w:sz w:val="24"/>
          <w:u w:val="single"/>
        </w:rPr>
        <w:t>Reasonableness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agrees that the restrictions in this Agreement are fair, reasonable, and necessary to protect the Employer’s confidential information, trade secrets, goodwill, and legitimate business interests, and will not prevent Executive from earning a living. As such, Executive agrees not to contest the general validity of this Agreement in any forum. If Executive breaches this Agreement, then the Employer will be entitled to injunctive relief and the damages caused by Executive’s breach. In addition, the duration for any restriction shall be tolled during any period during which Executive is in breach of that restriction. If a court of competent jurisdiction determines that any provision of herein is invalid, illegal, or incapable of being enforced, then the Employer and Executive agree that the court shall modify such provision by “blue penciling” or otherwise in order to render such provision not invalid, illegal, or incapable of being enforced and then enforce the provision as modified to the fullest extent permissible.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12. </w:t>
      </w:r>
      <w:r>
        <w:rPr>
          <w:rFonts w:ascii="Times New Roman;serif" w:hAnsi="Times New Roman;serif"/>
          <w:b/>
          <w:color w:val="000000"/>
          <w:sz w:val="24"/>
          <w:u w:val="single"/>
        </w:rPr>
        <w:t>Executive Secrecy Agreements</w:t>
      </w:r>
      <w:r>
        <w:rPr>
          <w:rFonts w:ascii="Times New Roman;serif" w:hAnsi="Times New Roman;serif"/>
          <w:b/>
          <w:color w:val="000000"/>
          <w:sz w:val="24"/>
        </w:rPr>
        <w:t xml:space="preserve">. </w:t>
      </w:r>
      <w:r>
        <w:rPr>
          <w:rFonts w:ascii="Times New Roman;serif" w:hAnsi="Times New Roman;serif"/>
          <w:b w:val="false"/>
          <w:color w:val="000000"/>
          <w:sz w:val="24"/>
        </w:rPr>
        <w:t xml:space="preserve">Executive agrees that after his Separation Date, he will remain bound by and will continue to comply with the terms of the confidentiality and non-compete agreement(s) previously executed by Executive. The agreements and acknowledgments in this Section are collectively referred to herein as the “Executive Secrecy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any code, agreement, manual or in any other policies, procedures or agreements of Employer shall prohibit or restrict Executive or his counsel from providing information in connection with: (a) any disclosure of information required by law or legal process; provided Executive has provided advance notice to Employer as further described below; (b) reporting possible violations of federal or state law or regulation to any governmental agency, commission or entity, including, but not limited to, the Department of Justice, the Securities and Exchange Commission, the Department of Labor, the United States Congress, any state Attorney General, self-regulatory organization and/or any agency Inspector General (collectively “Government Agencies”); (c) filing a charge or complaint with Government Agencies; (d) making disclosures that are protected under the whistleblower provisions of federal or state law or regulation (collectively, the “Whistleblower Statutes”); or (e) initiating communications directly with, responding to any inquiry from, volunteering information to, testifying or otherwise participating in or assisting in any inquiry, investigation or proceeding brought by Government Agencies in connection with (b) through (d). Executive is not required to advise or seek permission from Employer before engaging in any activity set forth in (b) through (e). Further, Employer does not in any manner limit Executive’s right to receive an award from Government Agencies for information provided to Government Agencies or pursuant to the Whistleblower Statutes.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permitted by law, Executive agrees to give Employer timely and prompt written notice either personally delivered, sent by reliable overnight courier, telecopied or mailed by first class mail, return receipt requested, to Tredegar Corporation, 1100 Boulders Parkway, Richmond, VA 23225 Attention: General Counsel, Facsimile: (804) 330-1010 of the receipt of any subpoena, court order or other legal process compelling the disclosure of any information and/or documents described so as to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allow Employer a reasonable opportunity to take such action as may be necessary in order to protect such information and/or documents from disclosure.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13. </w:t>
      </w:r>
      <w:r>
        <w:rPr>
          <w:rFonts w:ascii="Times New Roman;serif" w:hAnsi="Times New Roman;serif"/>
          <w:b/>
          <w:color w:val="000000"/>
          <w:sz w:val="24"/>
          <w:u w:val="single"/>
        </w:rPr>
        <w:t>Return of Employer Property</w:t>
      </w:r>
      <w:r>
        <w:rPr>
          <w:rFonts w:ascii="Times New Roman;serif" w:hAnsi="Times New Roman;serif"/>
          <w:b/>
          <w:color w:val="000000"/>
          <w:sz w:val="24"/>
        </w:rPr>
        <w:t xml:space="preserve">. </w:t>
      </w:r>
      <w:r>
        <w:rPr>
          <w:rFonts w:ascii="Times New Roman;serif" w:hAnsi="Times New Roman;serif"/>
          <w:b w:val="false"/>
          <w:color w:val="000000"/>
          <w:sz w:val="24"/>
        </w:rPr>
        <w:t>Before the Separation Date, Executive agrees to: (a) diligently search for any Employer property in Executive’s possession (including searching Executive’s personal email accounts, cloud accounts, computers, and other devices); and (b) return to the Employer any and all Employer property in Employer’s possession, custody, or control, without keeping copies in any form. Employer’s property includes, without limitation, all identification, access or building cards or codes, keys, credit cards, equipment (including, but not limited to, computer hardware, mobile phone as well as personal digital assistants (e.g., Droid, iPhone), printer, monitor and the like), computer software, passwords, goods, photographs, recordings and data, as well as any paper or electronic documents, files, or correspondence Executive has sent or received in the course of his employment (including, but not limited to, product specifications, supplier information, customer information, manufacturing conditions and equipment, drawings, blueprints, reproductions, sketches, notes, reports, proposals, or copies of them, company business plans, and pricing information). The one exception to this Section is that Executive may retain copies of documents relating to his own employment terms, conditions, compensation, and benefits. For any Employer issued computer or other electronic devices in Executive’s possession, Executive agrees to return them to Employer without altering or deleting any data or metadata related to Employer’s business, Employer’s clients or business partners, or the services Executive provided for Employer from such devices.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 xml:space="preserve">14. </w:t>
      </w:r>
      <w:r>
        <w:rPr>
          <w:rFonts w:ascii="Times New Roman;serif" w:hAnsi="Times New Roman;serif"/>
          <w:b/>
          <w:color w:val="000000"/>
          <w:sz w:val="24"/>
          <w:u w:val="single"/>
        </w:rPr>
        <w:t>Executive Acknowledgments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also agrees that he (i) has been paid for all hours worked, including all wages, overtime, bonuses and incentive compensation due to him; (ii) has been paid for any and all other costs and expenses that Executive may have otherwise incurred prior to the Separation Date other than any outstanding travel and business expenses, and for which he otherwise may have been eligible for reimbursement or payment by Employer as an employee; and (iii) has received all leave during his employment as required by applicable law. </w:t>
      </w:r>
      <w:r>
        <w:rPr>
          <w:rFonts w:ascii="Times New Roman;serif" w:hAnsi="Times New Roman;serif"/>
          <w:b/>
          <w:i/>
          <w:color w:val="000000"/>
          <w:sz w:val="24"/>
        </w:rPr>
        <w:t>Executive hereby agrees that to the extent he fails to submit any such outstanding travel and business costs and expenses to the Employer within two (2) weeks following the Separation Date, Executive shall waive his right to any reimbursement of such costs and expenses. Executive shall not be reimbursed for any travel and business costs and expenses incurred after the Separation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15. </w:t>
      </w:r>
      <w:r>
        <w:rPr>
          <w:rFonts w:ascii="Times New Roman;serif" w:hAnsi="Times New Roman;serif"/>
          <w:b/>
          <w:color w:val="000000"/>
          <w:sz w:val="24"/>
          <w:u w:val="single"/>
        </w:rPr>
        <w:t>Non-Admissions</w:t>
      </w:r>
      <w:r>
        <w:rPr>
          <w:rFonts w:ascii="Times New Roman;serif" w:hAnsi="Times New Roman;serif"/>
          <w:b/>
          <w:color w:val="000000"/>
          <w:sz w:val="24"/>
        </w:rPr>
        <w:t xml:space="preserve">. </w:t>
      </w:r>
      <w:r>
        <w:rPr>
          <w:rFonts w:ascii="Times New Roman;serif" w:hAnsi="Times New Roman;serif"/>
          <w:b w:val="false"/>
          <w:color w:val="000000"/>
          <w:sz w:val="24"/>
        </w:rPr>
        <w:t xml:space="preserve">The terms of this Agreement are not an admission of liability or other wrongdoing by Employer, or a declaration against interest on the part of Employer, nor shall this Agreement be construed as evidence of an admission by Employer as to the merits, validity or accuracy of any allegations or claims Executive has made, or may make, as to the events arising up to and including the Separation Date. Neither this Agreement nor anything contained within it shall be admissible in any proceeding as evidence of liability or wrongdoing on the part of Employer, and the same is specifically denied.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16. </w:t>
      </w:r>
      <w:r>
        <w:rPr>
          <w:rFonts w:ascii="Times New Roman;serif" w:hAnsi="Times New Roman;serif"/>
          <w:b/>
          <w:color w:val="000000"/>
          <w:sz w:val="24"/>
          <w:u w:val="single"/>
        </w:rPr>
        <w:t>Continuing Services;</w:t>
      </w:r>
      <w:r>
        <w:rPr>
          <w:color w:val="000000"/>
        </w:rPr>
        <w:t xml:space="preserve"> </w:t>
      </w:r>
      <w:r>
        <w:rPr>
          <w:rFonts w:ascii="Times New Roman;serif" w:hAnsi="Times New Roman;serif"/>
          <w:b/>
          <w:color w:val="000000"/>
          <w:sz w:val="24"/>
          <w:u w:val="single"/>
        </w:rPr>
        <w:t>Cooperation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In consideration of the Separation Benefits payable under this Agreement, Executive agrees to cooperate fully with Employer to the extent Employer has questions concerning Executive’s former responsibilities and functions, and the transition, if any, of those responsibilities and functions within the Employer’s operations (the “Continuing Services”). Such Continuing Services may include, but not be limited to, Executive being available to speak by telephone, meeting in person, answering questions relating to documents, and providing such other information as Employer may deem necessary to affect a smooth transition upon and after the Separation Date.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further agrees to cooperate at the request of Employer in the defense or prosecution of any lawsuits, claims, or audits in which Employer may be or become involved which relate to matters occurring while Executive was employed by Employer and/or concerning events for which Executive has relevant information. Employer agrees to reimburse Executive for any related and reasonable out-of-pocket expenses incurred as a result of any such cooperation, provided Executive obtains prior written authorization from Employer for any expenses incurred and provides Employer with receipts or other documentation substantiating such expenses as Employer may require.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17. </w:t>
      </w:r>
      <w:r>
        <w:rPr>
          <w:rFonts w:ascii="Times New Roman;serif" w:hAnsi="Times New Roman;serif"/>
          <w:b/>
          <w:color w:val="000000"/>
          <w:sz w:val="24"/>
          <w:u w:val="single"/>
        </w:rPr>
        <w:t>Non-Release of Future Claims</w:t>
      </w:r>
      <w:r>
        <w:rPr>
          <w:rFonts w:ascii="Times New Roman;serif" w:hAnsi="Times New Roman;serif"/>
          <w:b w:val="false"/>
          <w:color w:val="000000"/>
          <w:sz w:val="24"/>
        </w:rPr>
        <w:t xml:space="preserve">. This Agreement does not waive or release any rights or claims which arise after the date that Executive signs this Agreement and it becomes effective. The parties agree that Executive’s decision to retire and end his employment has been made prior to the execution of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18. </w:t>
      </w:r>
      <w:r>
        <w:rPr>
          <w:rFonts w:ascii="Times New Roman;serif" w:hAnsi="Times New Roman;serif"/>
          <w:b/>
          <w:color w:val="000000"/>
          <w:sz w:val="24"/>
          <w:u w:val="single"/>
        </w:rPr>
        <w:t>Time to Review Agreement/Attorney Consultation</w:t>
      </w:r>
      <w:r>
        <w:rPr>
          <w:rFonts w:ascii="Times New Roman;serif" w:hAnsi="Times New Roman;serif"/>
          <w:b w:val="false"/>
          <w:color w:val="000000"/>
          <w:sz w:val="24"/>
        </w:rPr>
        <w:t>. Executive acknowledges that he has been given at least twenty-one (21) calendar days to consider this Agreement thoroughly, and that Executive was encouraged by this Agreement to consult with an attorney of his choice before signing this Agreement and Executive acknowledges that he has had sufficient opportunity to consult with an attorney of Executive’s choice before signing this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further understands that he may use as much of this twenty-one (21) day period as Executive needs to review its terms prior to signing. Executive agrees that should Executive sign this Agreement sooner than twenty-one (21) calendar days after receiving it, Executive has done so voluntarily with the intent of waiving the remaining portion of the twenty-one (21) day period.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19. </w:t>
      </w:r>
      <w:r>
        <w:rPr>
          <w:rFonts w:ascii="Times New Roman;serif" w:hAnsi="Times New Roman;serif"/>
          <w:b/>
          <w:color w:val="000000"/>
          <w:sz w:val="24"/>
          <w:u w:val="single"/>
        </w:rPr>
        <w:t>Time to Revoke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After Executive signs this Agreement, he/she will have seven (7) calendar days to revoke it. This Agreement does not become effective or enforceable until after the seven (7) day period has expired. If Executive wants to revoke this Agreement, he/she must deliver a written revocation to </w:t>
      </w:r>
      <w:r>
        <w:rPr>
          <w:rFonts w:ascii="Times New Roman;serif" w:hAnsi="Times New Roman;serif"/>
          <w:b/>
          <w:color w:val="000000"/>
          <w:sz w:val="24"/>
        </w:rPr>
        <w:t>[</w:t>
      </w:r>
      <w:r>
        <w:rPr>
          <w:rFonts w:ascii="Times New Roman;serif" w:hAnsi="Times New Roman;serif"/>
          <w:b w:val="false"/>
          <w:color w:val="000000"/>
          <w:sz w:val="24"/>
        </w:rPr>
        <w:t xml:space="preserve">Name of LOCAL HR MANAGER, COMPANY NAME AND ADDRESS AND EMAIL AND FAX NO. </w:t>
      </w:r>
      <w:r>
        <w:rPr>
          <w:rFonts w:ascii="Times New Roman;serif" w:hAnsi="Times New Roman;serif"/>
          <w:b/>
          <w:color w:val="000000"/>
          <w:sz w:val="24"/>
        </w:rPr>
        <w:t>facsimile no. (___) ____-______</w:t>
      </w:r>
      <w:r>
        <w:rPr>
          <w:rFonts w:ascii="Times New Roman;serif" w:hAnsi="Times New Roman;serif"/>
          <w:b w:val="false"/>
          <w:color w:val="000000"/>
          <w:sz w:val="24"/>
        </w:rPr>
        <w:t>]. If Executive has not revoked the Agreement within seven (7) days, the eighth (8</w:t>
      </w:r>
      <w:r>
        <w:rPr>
          <w:rFonts w:ascii="Times New Roman;serif" w:hAnsi="Times New Roman;serif"/>
          <w:b w:val="false"/>
          <w:color w:val="000000"/>
          <w:sz w:val="16"/>
        </w:rPr>
        <w:t>th</w:t>
      </w:r>
      <w:r>
        <w:rPr>
          <w:rFonts w:ascii="Times New Roman;serif" w:hAnsi="Times New Roman;serif"/>
          <w:b w:val="false"/>
          <w:color w:val="000000"/>
          <w:sz w:val="24"/>
        </w:rPr>
        <w:t>) day after Executive signs this Agreement shall be the “Effective Date” for purposes of this Agreement. Executive further understands that if he/she revokes this Agreement, Executive shall not receive the Separation Benefits.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20. </w:t>
      </w:r>
      <w:r>
        <w:rPr>
          <w:rFonts w:ascii="Times New Roman;serif" w:hAnsi="Times New Roman;serif"/>
          <w:b/>
          <w:color w:val="000000"/>
          <w:sz w:val="24"/>
          <w:u w:val="single"/>
        </w:rPr>
        <w:t>Additional Acknowledgments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further acknowledges and agrees that: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Executive has read, understands and is entering into this Agreement freely and voluntarily, with full knowledge of all material facts after independent investigation, without fraud, duress, or undue influence of any kind or nature whatsoever, and with full knowledge of the significance and consequences of this Agreement and of the rights Executive is giving up;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Executive is receiving money and benefits under this Agreement in addition to what he is otherwise entitled to receive;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Executive has not relied on any representation or statement, written or oral, not set forth in this Agreement; and</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 xml:space="preserve">This Agreement supersedes any prior agreements that Executive may have entered into with Employer or its representatives, but explicitly excludes the Executive Secrecy Agreements.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21. </w:t>
      </w:r>
      <w:r>
        <w:rPr>
          <w:rFonts w:ascii="Times New Roman;serif" w:hAnsi="Times New Roman;serif"/>
          <w:b/>
          <w:color w:val="000000"/>
          <w:sz w:val="24"/>
          <w:u w:val="single"/>
        </w:rPr>
        <w:t>Compliance with Code Section 409A</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is intended to either avoid the application of, or comply with, Section 409A of the Code and its applicable Treasury regulations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To that end, this Agreement must at all times be interpreted in a manner that is consistent with Section 409A. Notwithstanding any other provision in this Agreement to the contrary, the Board of Directors has the right, in their sole discretion, to adopt such amendments to this Agreement or take such other actions (including amendments and actions with retroactive effect) as they determine are minimally necessary for this Agreement to comply with Section 409A. Any payment following a “</w:t>
      </w:r>
      <w:r>
        <w:rPr>
          <w:rFonts w:ascii="Times New Roman;serif" w:hAnsi="Times New Roman;serif"/>
          <w:b w:val="false"/>
          <w:i/>
          <w:color w:val="000000"/>
          <w:sz w:val="24"/>
        </w:rPr>
        <w:t>separation from service</w:t>
      </w:r>
      <w:r>
        <w:rPr>
          <w:color w:val="000000"/>
        </w:rPr>
        <w:t>”</w:t>
      </w:r>
      <w:r>
        <w:rPr>
          <w:rFonts w:ascii="Times New Roman;serif" w:hAnsi="Times New Roman;serif"/>
          <w:b w:val="false"/>
          <w:color w:val="000000"/>
          <w:sz w:val="24"/>
        </w:rPr>
        <w:t>(as defined under Section 409A) that would be subject to Section 409A as a distribution following a separation from service of a “</w:t>
      </w:r>
      <w:r>
        <w:rPr>
          <w:rFonts w:ascii="Times New Roman;serif" w:hAnsi="Times New Roman;serif"/>
          <w:b w:val="false"/>
          <w:i/>
          <w:color w:val="000000"/>
          <w:sz w:val="24"/>
        </w:rPr>
        <w:t>specified employee</w:t>
      </w:r>
      <w:r>
        <w:rPr>
          <w:color w:val="000000"/>
        </w:rPr>
        <w:t xml:space="preserve">” </w:t>
      </w:r>
      <w:r>
        <w:rPr>
          <w:rFonts w:ascii="Times New Roman;serif" w:hAnsi="Times New Roman;serif"/>
          <w:b w:val="false"/>
          <w:color w:val="000000"/>
          <w:sz w:val="24"/>
        </w:rPr>
        <w:t>(as defined under Section 409A) will be made on the first to occur of (i) ten (10) days after the expiration of the six-month period following such separation from service, (ii) death, or (iii) such earlier date that complies with Section 409A. Each payment that a Participant may receive under this Plan will be treated as a “</w:t>
      </w:r>
      <w:r>
        <w:rPr>
          <w:rFonts w:ascii="Times New Roman;serif" w:hAnsi="Times New Roman;serif"/>
          <w:b w:val="false"/>
          <w:i/>
          <w:color w:val="000000"/>
          <w:sz w:val="24"/>
        </w:rPr>
        <w:t>separate payment</w:t>
      </w:r>
      <w:r>
        <w:rPr>
          <w:color w:val="000000"/>
        </w:rPr>
        <w:t xml:space="preserve">” </w:t>
      </w:r>
      <w:r>
        <w:rPr>
          <w:rFonts w:ascii="Times New Roman;serif" w:hAnsi="Times New Roman;serif"/>
          <w:b w:val="false"/>
          <w:color w:val="000000"/>
          <w:sz w:val="24"/>
        </w:rPr>
        <w:t>for purposes of Section 409A. Notwithstanding anything in this Agreement to the contrary, to the extent that any payments or benefits hereunder are contingent upon Executive signing the General Release, and the period Executive is given to consider the General Release spans two calendar years, then in no event will any such payments or benefits commence to be paid or be paid earlier than the first day of the second calendar year in such period. To the extent applicable, any amounts held back in the first calendar year pursuant to this provision will be paid to Executive on the same date that payments or benefits otherwise commence to be paid or are paid in the second calendar year. Notwithstanding anything in this Agreement to the contrary, to the extent an expense, reimbursement or in-kind benefit provided to Executive pursuant to this Agreement or otherwise constitutes a “</w:t>
      </w:r>
      <w:r>
        <w:rPr>
          <w:rFonts w:ascii="Times New Roman;serif" w:hAnsi="Times New Roman;serif"/>
          <w:b w:val="false"/>
          <w:i/>
          <w:color w:val="000000"/>
          <w:sz w:val="24"/>
        </w:rPr>
        <w:t>deferral of compensation</w:t>
      </w:r>
      <w:r>
        <w:rPr>
          <w:color w:val="000000"/>
        </w:rPr>
        <w:t xml:space="preserve">” </w:t>
      </w:r>
      <w:r>
        <w:rPr>
          <w:rFonts w:ascii="Times New Roman;serif" w:hAnsi="Times New Roman;serif"/>
          <w:b w:val="false"/>
          <w:color w:val="000000"/>
          <w:sz w:val="24"/>
        </w:rPr>
        <w:t>within the meaning of Section 409A: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22. </w:t>
      </w:r>
      <w:r>
        <w:rPr>
          <w:rFonts w:ascii="Times New Roman;serif" w:hAnsi="Times New Roman;serif"/>
          <w:b/>
          <w:color w:val="000000"/>
          <w:sz w:val="24"/>
          <w:u w:val="single"/>
        </w:rPr>
        <w:t>Headings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headings in this Agreement are for the convenience of Executive and Employer only and shall not limit, expand, modify, amplify, or aid in the interpretation or construction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23. </w:t>
      </w:r>
      <w:r>
        <w:rPr>
          <w:rFonts w:ascii="Times New Roman;serif" w:hAnsi="Times New Roman;serif"/>
          <w:b/>
          <w:color w:val="000000"/>
          <w:sz w:val="24"/>
          <w:u w:val="single"/>
        </w:rPr>
        <w:t>Applicable Law, Entire Agreement and Severability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parties agree that this Agreement shall be construed in accordance with the laws, including the law of conflicts, of the Commonwealth of Virginia. Furthermore, this Agreement constitutes the complete understanding between Executive and Employer. No provision of this Agreement may be amended or modified unless such amendment or modification is agreed to in writing and signed by the Executive and by an authorized officer of the Employer. To the extent a court of competent jurisdiction holds that any portion of this Agreement is invalid or legally unenforceable, the parties agree that the remaining portions shall not be affected and shall be given full force and effect; provided, however, that if any part of the releases in the Agreement are found to be invalid, Executive shall not be entitled to any consideration under the Agreement, and Executive must return all monies identified in Section 1 of this Agreement within thirty (30) days of the date it has been judged invalid.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24. </w:t>
      </w:r>
      <w:r>
        <w:rPr>
          <w:rFonts w:ascii="Times New Roman;serif" w:hAnsi="Times New Roman;serif"/>
          <w:b/>
          <w:color w:val="000000"/>
          <w:sz w:val="24"/>
          <w:u w:val="single"/>
        </w:rPr>
        <w:t>Counterparts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The parties may execute this Agreement in counterparts, each of which shall be deemed an original, and all of which taken together shall constitute one and the same instrument. </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000000"/>
          <w:sz w:val="24"/>
        </w:rPr>
        <w:t>EXECUTIVE ACKNOWLEDGES THAT HE HAS READ THIS AGREEMENT, UNDERSTANDS IT, AND IS VOLUNTARILY ENTERING INTO IT.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TREDEGAR CORPORATION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____________________________         By: _______________________________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Name: ______________________________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 _______________                     DATE: _____________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May 4,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Frasier W. Brickhouse II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 Executive Separation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Frasier,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Tredegar Corporation, a Virginia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has appointed you to serve as the Vice President, Chief Financial Officer, and Treasurer of the Company. You shall perform duties consistent with that position and as assigned to you by the CEO and Board. You shall serve under the direction of and report directly to the CEO, with direct functional accountability to the Board for financial reporting, controls and compliance, and shall serve the Company faithfully, diligently, competently, and to the best of your ability.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this role, you shall serve as a director or officer of the Company’s subsidiaries. The board of directors of each entity shall undertake every lawful effort to ensure that you continue throughout the term of your employment to be elected or reelected as a director or officer. Your role as a director or officer of the Company’s subsidiaries is contingent upon your employment with the Company. Accordingly, unless otherwise agreed to by the parties, you shall be deemed to have resigned as a director or officer of the Company’s subsidiaries immediately after your separation from employment, regardless of whether you submit a formal, written resignation as a director or officer of any subsidiary.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Your offer letter dated December 29, 2025 sets forth the compensation and other benefits of employment you will receive while in this role. You will remain an employee at-will at all times during your employment. However, to induce you to remain in the employ of the Company and in consideration of your continued service to the Company, the Company agrees that you shall receive certain payments and benefits in the event of your termination of employment as set forth in this Executive Separation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100" w:after="283"/>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p>
    <w:p>
      <w:pPr>
        <w:pStyle w:val="TextBody"/>
        <w:bidi w:val="0"/>
        <w:spacing w:lineRule="auto" w:line="288" w:before="100" w:after="283"/>
        <w:ind w:left="0" w:right="0" w:hanging="360"/>
        <w:jc w:val="left"/>
        <w:rPr/>
      </w:pPr>
      <w:r>
        <w:rPr>
          <w:rFonts w:ascii="Times New Roman;serif" w:hAnsi="Times New Roman;serif"/>
          <w:b w:val="false"/>
          <w:color w:val="000000"/>
          <w:sz w:val="24"/>
        </w:rPr>
        <w:t>a.</w:t>
      </w:r>
      <w:r>
        <w:rPr>
          <w:color w:val="000000"/>
        </w:rPr>
        <w:t>“</w:t>
      </w:r>
      <w:r>
        <w:rPr>
          <w:rFonts w:ascii="Times New Roman;serif" w:hAnsi="Times New Roman;serif"/>
          <w:b/>
          <w:i/>
          <w:color w:val="000000"/>
          <w:sz w:val="24"/>
        </w:rPr>
        <w:t>Accrued Rights</w:t>
      </w:r>
      <w:r>
        <w:rPr>
          <w:color w:val="000000"/>
        </w:rPr>
        <w:t xml:space="preserve">” </w:t>
      </w:r>
      <w:r>
        <w:rPr>
          <w:rFonts w:ascii="Times New Roman;serif" w:hAnsi="Times New Roman;serif"/>
          <w:b w:val="false"/>
          <w:color w:val="000000"/>
          <w:sz w:val="24"/>
        </w:rPr>
        <w:t>means (i) any unpaid annual base salary accrued through the Date of Termination, (ii) any accrued but unpaid vacation pay, (iii) rights to elect continuation coverage under the Consolidated Omnibus Budget Reconciliation Act of 1985 (“</w:t>
      </w:r>
      <w:r>
        <w:rPr>
          <w:rFonts w:ascii="Times New Roman;serif" w:hAnsi="Times New Roman;serif"/>
          <w:b/>
          <w:i/>
          <w:color w:val="000000"/>
          <w:sz w:val="24"/>
        </w:rPr>
        <w:t>COBRA</w:t>
      </w:r>
      <w:r>
        <w:rPr>
          <w:color w:val="000000"/>
        </w:rPr>
        <w:t>”</w:t>
      </w:r>
      <w:r>
        <w:rPr>
          <w:rFonts w:ascii="Times New Roman;serif" w:hAnsi="Times New Roman;serif"/>
          <w:b w:val="false"/>
          <w:color w:val="000000"/>
          <w:sz w:val="24"/>
        </w:rPr>
        <w:t>) and (iv) any previously unreimbursed business expenses incurred by you on behalf of the Company.</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color w:val="000000"/>
        </w:rPr>
        <w:t>“</w:t>
      </w:r>
      <w:r>
        <w:rPr>
          <w:rFonts w:ascii="Times New Roman;serif" w:hAnsi="Times New Roman;serif"/>
          <w:b/>
          <w:i/>
          <w:color w:val="000000"/>
          <w:sz w:val="24"/>
        </w:rPr>
        <w:t>Annual Base Salary</w:t>
      </w:r>
      <w:r>
        <w:rPr>
          <w:color w:val="000000"/>
        </w:rPr>
        <w:t xml:space="preserve">” </w:t>
      </w:r>
      <w:r>
        <w:rPr>
          <w:rFonts w:ascii="Times New Roman;serif" w:hAnsi="Times New Roman;serif"/>
          <w:b w:val="false"/>
          <w:color w:val="000000"/>
          <w:sz w:val="24"/>
        </w:rPr>
        <w:t>means your annual base salary at the rate in effect immediately before a Qualifying Termination.</w:t>
      </w:r>
    </w:p>
    <w:p>
      <w:pPr>
        <w:pStyle w:val="TextBody"/>
        <w:bidi w:val="0"/>
        <w:spacing w:lineRule="auto" w:line="288" w:before="100" w:after="283"/>
        <w:ind w:left="0" w:right="0" w:hanging="360"/>
        <w:jc w:val="left"/>
        <w:rPr/>
      </w:pPr>
      <w:r>
        <w:rPr>
          <w:rFonts w:ascii="Times New Roman;serif" w:hAnsi="Times New Roman;serif"/>
          <w:b w:val="false"/>
          <w:color w:val="000000"/>
          <w:sz w:val="24"/>
        </w:rPr>
        <w:t>c.</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means a termination by the Company of your employment with the Company because of: (A) an intentional act or omission that constitutes a material breach by you of any of your obligations under this Agreement, including but not limited to, your failure to follow a lawful directive of the Board or otherwise perform duties assigned to you by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Board; (B) your conviction of, or plea of nolo contendere to, (1) any felony or (2) another crime involving dishonesty or moral turpitude or which could reflect negatively upon you or otherwise impair or impede the Company’s operations or damage the reputation or goodwill of the Company; (C) you engaging in any misconduct, negligence, act of dishonesty, violence or threat of violence (including any violation of federal securities laws) that in the reasonable judgment of the Board is or could be materially injurious to the Company or any of its subsidiaries; (D) your material breach of a written policy of the Company or the rules of any governmental or regulatory body applicable to the Company that in the reasonable judgment of the Board is or could be materially and financially injurious to the Company or any of its subsidiaries; or (E) any other misconduct by you which in the Board’s reasonable judgment will likely be materially injurious to the financial condition, operations or business reputation of the Company or any of its subsidiaries. Notwithstanding anything in this Section 1(c) to the contrary, no event or condition described in Sections 1(c)(A), (C), (D) or (E) shall constitute Cause unless (x) within ninety (90) days from the Board first acquiring actual knowledge of the existence of the Cause condition, the Board provides you written notice of its intention to terminate your employment for Cause and the grounds for such termination; (y) such grounds for termination (if susceptible to correction) are not corrected by you within ten (10) days of your receipt of such notice (or, in the event that such grounds cannot be corrected within such ten-day (10) period, you have not taken all reasonable steps within such ten-day (10) period to correct such grounds as promptly as practicable thereafter); and (z) the Board terminates your employment with the Company immediately following expiration of such ten-day (10) period. For purposes of this Section 1(c), any attempt by you to correct a stated Cause shall not be deemed an admission by you that the Board’s assertion of Cause is valid.</w:t>
      </w:r>
    </w:p>
    <w:p>
      <w:pPr>
        <w:pStyle w:val="TextBody"/>
        <w:bidi w:val="0"/>
        <w:spacing w:lineRule="auto" w:line="288" w:before="100" w:after="283"/>
        <w:ind w:left="0" w:right="0" w:hanging="360"/>
        <w:jc w:val="left"/>
        <w:rPr/>
      </w:pPr>
      <w:r>
        <w:rPr>
          <w:rFonts w:ascii="Times New Roman;serif" w:hAnsi="Times New Roman;serif"/>
          <w:b w:val="false"/>
          <w:color w:val="000000"/>
          <w:sz w:val="24"/>
        </w:rPr>
        <w:t>d.</w:t>
      </w: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shall mean the Internal Revenue Code of 1986, as amended, and the Treasury regulations promulgated thereunder.</w:t>
      </w:r>
    </w:p>
    <w:p>
      <w:pPr>
        <w:pStyle w:val="TextBody"/>
        <w:bidi w:val="0"/>
        <w:spacing w:lineRule="auto" w:line="288" w:before="100" w:after="283"/>
        <w:ind w:left="0" w:right="0" w:hanging="360"/>
        <w:jc w:val="left"/>
        <w:rPr/>
      </w:pPr>
      <w:r>
        <w:rPr>
          <w:rFonts w:ascii="Times New Roman;serif" w:hAnsi="Times New Roman;serif"/>
          <w:b w:val="false"/>
          <w:color w:val="000000"/>
          <w:sz w:val="24"/>
        </w:rPr>
        <w:t>e.</w:t>
      </w:r>
      <w:r>
        <w:rPr>
          <w:color w:val="000000"/>
        </w:rPr>
        <w:t>“</w:t>
      </w:r>
      <w:r>
        <w:rPr>
          <w:rFonts w:ascii="Times New Roman;serif" w:hAnsi="Times New Roman;serif"/>
          <w:b/>
          <w:i/>
          <w:color w:val="000000"/>
          <w:sz w:val="24"/>
        </w:rPr>
        <w:t>Date of Termination</w:t>
      </w:r>
      <w:r>
        <w:rPr>
          <w:color w:val="000000"/>
        </w:rPr>
        <w:t xml:space="preserve">” </w:t>
      </w:r>
      <w:r>
        <w:rPr>
          <w:rFonts w:ascii="Times New Roman;serif" w:hAnsi="Times New Roman;serif"/>
          <w:b w:val="false"/>
          <w:color w:val="000000"/>
          <w:sz w:val="24"/>
        </w:rPr>
        <w:t>means the date specified in the Notice of Termination (which shall not be less than ten (10) days from the date such Notice of Termination is given).</w:t>
      </w:r>
    </w:p>
    <w:p>
      <w:pPr>
        <w:pStyle w:val="TextBody"/>
        <w:bidi w:val="0"/>
        <w:spacing w:lineRule="auto" w:line="288" w:before="100" w:after="283"/>
        <w:ind w:left="0" w:right="0" w:hanging="360"/>
        <w:jc w:val="left"/>
        <w:rPr/>
      </w:pPr>
      <w:r>
        <w:rPr>
          <w:rFonts w:ascii="Times New Roman;serif" w:hAnsi="Times New Roman;serif"/>
          <w:b w:val="false"/>
          <w:color w:val="000000"/>
          <w:sz w:val="24"/>
        </w:rPr>
        <w:t>f.</w:t>
      </w: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means January 1, 2026.</w:t>
      </w:r>
    </w:p>
    <w:p>
      <w:pPr>
        <w:pStyle w:val="TextBody"/>
        <w:bidi w:val="0"/>
        <w:spacing w:lineRule="auto" w:line="288" w:before="100" w:after="283"/>
        <w:ind w:left="0" w:right="0" w:hanging="360"/>
        <w:jc w:val="left"/>
        <w:rPr/>
      </w:pPr>
      <w:r>
        <w:rPr>
          <w:rFonts w:ascii="Times New Roman;serif" w:hAnsi="Times New Roman;serif"/>
          <w:b w:val="false"/>
          <w:color w:val="000000"/>
          <w:sz w:val="24"/>
        </w:rPr>
        <w:t>g.</w:t>
      </w:r>
      <w:r>
        <w:rPr>
          <w:color w:val="000000"/>
        </w:rPr>
        <w:t>“</w:t>
      </w:r>
      <w:r>
        <w:rPr>
          <w:rFonts w:ascii="Times New Roman;serif" w:hAnsi="Times New Roman;serif"/>
          <w:b/>
          <w:i/>
          <w:color w:val="000000"/>
          <w:sz w:val="24"/>
        </w:rPr>
        <w:t>Equity Plan</w:t>
      </w:r>
      <w:r>
        <w:rPr>
          <w:color w:val="000000"/>
        </w:rPr>
        <w:t xml:space="preserve">” </w:t>
      </w:r>
      <w:r>
        <w:rPr>
          <w:rFonts w:ascii="Times New Roman;serif" w:hAnsi="Times New Roman;serif"/>
          <w:b w:val="false"/>
          <w:color w:val="000000"/>
          <w:sz w:val="24"/>
        </w:rPr>
        <w:t>means the Tredegar Corporation 2018 Equity Incentive Plan, as amended and restated May 6, 2021.</w:t>
      </w:r>
    </w:p>
    <w:p>
      <w:pPr>
        <w:pStyle w:val="TextBody"/>
        <w:bidi w:val="0"/>
        <w:spacing w:lineRule="auto" w:line="288" w:before="100" w:after="283"/>
        <w:ind w:left="0" w:right="0" w:hanging="360"/>
        <w:jc w:val="left"/>
        <w:rPr/>
      </w:pPr>
      <w:r>
        <w:rPr>
          <w:rFonts w:ascii="Times New Roman;serif" w:hAnsi="Times New Roman;serif"/>
          <w:b w:val="false"/>
          <w:color w:val="000000"/>
          <w:sz w:val="24"/>
        </w:rPr>
        <w:t>h.</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without your express written consent, any of the following: (i) a change in your position with the Company which in your reasonable judgment does not represent a promotion from your status or position immediately prior to the Effective Date or the assignment to you of any duties or responsibilities or diminution of duties or responsibilities which in your reasonable judgment are inconsistent with your position with the Company in effect immediately prior to the Effective Date; (ii) a material diminution in your Annual Base Salary or a failure by the Company to pay material compensation due and payable to you in connection with your employment; (iii) a failure by the Company to continue in effect compensation or benefit plans in which you participate, which in the aggregate provide you compensation and benefits substantially equivalent to those prior to the Effective Date; (iv) the Company’s requiring your office nearest to your principal residence to be located at a different place which is more than fifty (50) miles from where such office is located as of the Effective Date; (v) the failure of the Company to obtain a satisfactory agreement from any Successor (as defined in Section 5(a) hereof) to assume and agree to perform this Agreement, as contemplated in Section 5(a) hereof; or (vi) a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material breach by the Company of any term or provision of this Agreement. Notwithstanding, no event or condition described in this Section 1(i) shall constitute Good Reason unless, (x) within 60 days from the date that you first acquire actual knowledge of the existence of the Good Reason condition described in this Section 1(i), you provide the Board written notice of your intention to terminate your employment for Good Reason and the grounds for such termination; (y) such grounds for termination (if susceptible to correction) are not corrected by the Board within 30 calendar days of the Board’s receipt of such notice (or, in the event that such grounds cannot be corrected within such 30 calendar-day period, the Board has not taken all reasonable steps within such 30 calendar-day period to correct such grounds as promptly as practicable thereafter); and (z) you terminate your employment with the Company immediately following expiration of such 30-day period. For purposes of this Section 1(h), any attempt by the Board to correct a stated Good Reason shall not be deemed an admission by the Board that your assertion of Good Reason is valid.</w:t>
      </w:r>
    </w:p>
    <w:p>
      <w:pPr>
        <w:pStyle w:val="TextBody"/>
        <w:bidi w:val="0"/>
        <w:spacing w:lineRule="auto" w:line="288" w:before="100" w:after="283"/>
        <w:ind w:left="0" w:right="0" w:hanging="360"/>
        <w:jc w:val="left"/>
        <w:rPr/>
      </w:pPr>
      <w:r>
        <w:rPr>
          <w:rFonts w:ascii="Times New Roman;serif" w:hAnsi="Times New Roman;serif"/>
          <w:b w:val="false"/>
          <w:color w:val="000000"/>
          <w:sz w:val="24"/>
        </w:rPr>
        <w:t>i.</w:t>
      </w:r>
      <w:r>
        <w:rPr>
          <w:color w:val="000000"/>
        </w:rPr>
        <w:t>“</w:t>
      </w:r>
      <w:r>
        <w:rPr>
          <w:rFonts w:ascii="Times New Roman;serif" w:hAnsi="Times New Roman;serif"/>
          <w:b/>
          <w:i/>
          <w:color w:val="000000"/>
          <w:sz w:val="24"/>
        </w:rPr>
        <w:t>Notice of Termination</w:t>
      </w:r>
      <w:r>
        <w:rPr>
          <w:color w:val="000000"/>
        </w:rPr>
        <w:t xml:space="preserve">” </w:t>
      </w:r>
      <w:r>
        <w:rPr>
          <w:rFonts w:ascii="Times New Roman;serif" w:hAnsi="Times New Roman;serif"/>
          <w:b w:val="false"/>
          <w:color w:val="000000"/>
          <w:sz w:val="24"/>
        </w:rPr>
        <w:t>means a written notice as provided in Section 11 hereof.</w:t>
      </w:r>
    </w:p>
    <w:p>
      <w:pPr>
        <w:pStyle w:val="TextBody"/>
        <w:bidi w:val="0"/>
        <w:spacing w:lineRule="auto" w:line="288" w:before="100" w:after="283"/>
        <w:ind w:left="0" w:right="0" w:hanging="360"/>
        <w:jc w:val="left"/>
        <w:rPr/>
      </w:pPr>
      <w:r>
        <w:rPr>
          <w:rFonts w:ascii="Times New Roman;serif" w:hAnsi="Times New Roman;serif"/>
          <w:b w:val="false"/>
          <w:color w:val="000000"/>
          <w:sz w:val="24"/>
        </w:rPr>
        <w:t>j.</w:t>
      </w: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 individual, corporation, partnership, joint venture, limited liability company, governmental authority, unincorporated organization, trust, association or other entity.</w:t>
      </w:r>
    </w:p>
    <w:p>
      <w:pPr>
        <w:pStyle w:val="TextBody"/>
        <w:bidi w:val="0"/>
        <w:spacing w:lineRule="auto" w:line="288" w:before="100" w:after="283"/>
        <w:ind w:left="0" w:right="0" w:hanging="360"/>
        <w:jc w:val="left"/>
        <w:rPr/>
      </w:pPr>
      <w:r>
        <w:rPr>
          <w:rFonts w:ascii="Times New Roman;serif" w:hAnsi="Times New Roman;serif"/>
          <w:b w:val="false"/>
          <w:color w:val="000000"/>
          <w:sz w:val="24"/>
        </w:rPr>
        <w:t>k.</w:t>
      </w:r>
      <w:r>
        <w:rPr>
          <w:color w:val="000000"/>
        </w:rPr>
        <w:t>“</w:t>
      </w:r>
      <w:r>
        <w:rPr>
          <w:rFonts w:ascii="Times New Roman;serif" w:hAnsi="Times New Roman;serif"/>
          <w:b/>
          <w:i/>
          <w:color w:val="000000"/>
          <w:sz w:val="24"/>
        </w:rPr>
        <w:t>Qualifying Termination</w:t>
      </w:r>
      <w:r>
        <w:rPr>
          <w:color w:val="000000"/>
        </w:rPr>
        <w:t xml:space="preserve">” </w:t>
      </w:r>
      <w:r>
        <w:rPr>
          <w:rFonts w:ascii="Times New Roman;serif" w:hAnsi="Times New Roman;serif"/>
          <w:b w:val="false"/>
          <w:color w:val="000000"/>
          <w:sz w:val="24"/>
        </w:rPr>
        <w:t>means your employment with the Company is terminated by you for Good Reason or by the Company without Cause. In no event will the termination of your employment with the Company as a result of any of the following circumstances result in a Qualifying Termination: (i) your death, (ii) your disability (as defined in a disability insurance policy sponsored by the Company, irrespective of whether you are covered by such policy), (iii) a termination by the Company of your employment for Cause or (iv) a resignation by you without Good Reason.</w:t>
      </w:r>
    </w:p>
    <w:p>
      <w:pPr>
        <w:pStyle w:val="TextBody"/>
        <w:bidi w:val="0"/>
        <w:spacing w:lineRule="auto" w:line="288" w:before="100" w:after="283"/>
        <w:ind w:left="0" w:right="0" w:hanging="360"/>
        <w:jc w:val="left"/>
        <w:rPr/>
      </w:pPr>
      <w:r>
        <w:rPr>
          <w:rFonts w:ascii="Times New Roman;serif" w:hAnsi="Times New Roman;serif"/>
          <w:b w:val="false"/>
          <w:color w:val="000000"/>
          <w:sz w:val="24"/>
        </w:rPr>
        <w:t>l.</w:t>
      </w:r>
      <w:r>
        <w:rPr>
          <w:color w:val="000000"/>
        </w:rPr>
        <w:t>“</w:t>
      </w:r>
      <w:r>
        <w:rPr>
          <w:rFonts w:ascii="Times New Roman;serif" w:hAnsi="Times New Roman;serif"/>
          <w:b/>
          <w:i/>
          <w:color w:val="000000"/>
          <w:sz w:val="24"/>
        </w:rPr>
        <w:t>Separation Benefits</w:t>
      </w:r>
      <w:r>
        <w:rPr>
          <w:color w:val="000000"/>
        </w:rPr>
        <w:t xml:space="preserve">” </w:t>
      </w:r>
      <w:r>
        <w:rPr>
          <w:rFonts w:ascii="Times New Roman;serif" w:hAnsi="Times New Roman;serif"/>
          <w:b w:val="false"/>
          <w:color w:val="000000"/>
          <w:sz w:val="24"/>
        </w:rPr>
        <w:t>means the payments and benefits payable to you on a Qualifying Termination pursuant to Section 2 of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m.</w:t>
      </w:r>
      <w:r>
        <w:rPr>
          <w:color w:val="000000"/>
        </w:rPr>
        <w:t>“</w:t>
      </w:r>
      <w:r>
        <w:rPr>
          <w:rFonts w:ascii="Times New Roman;serif" w:hAnsi="Times New Roman;serif"/>
          <w:b/>
          <w:i/>
          <w:color w:val="000000"/>
          <w:sz w:val="24"/>
        </w:rPr>
        <w:t>Waiver and Release</w:t>
      </w:r>
      <w:r>
        <w:rPr>
          <w:color w:val="000000"/>
        </w:rPr>
        <w:t xml:space="preserve">” </w:t>
      </w:r>
      <w:r>
        <w:rPr>
          <w:rFonts w:ascii="Times New Roman;serif" w:hAnsi="Times New Roman;serif"/>
          <w:b w:val="false"/>
          <w:color w:val="000000"/>
          <w:sz w:val="24"/>
        </w:rPr>
        <w:t xml:space="preserve">means the Waiver and Release Agreement (substantially in the form attached to this Agreement as </w:t>
      </w:r>
      <w:r>
        <w:rPr>
          <w:rFonts w:ascii="Times New Roman;serif" w:hAnsi="Times New Roman;serif"/>
          <w:b/>
          <w:color w:val="000000"/>
          <w:sz w:val="24"/>
          <w:u w:val="single"/>
        </w:rPr>
        <w:t>Exhibit A</w:t>
      </w:r>
      <w:r>
        <w:rPr>
          <w:rFonts w:ascii="Times New Roman;serif" w:hAnsi="Times New Roman;serif"/>
          <w:b w:val="false"/>
          <w:color w:val="000000"/>
          <w:sz w:val="24"/>
        </w:rPr>
        <w:t>) that is presented to, and signed by, you in conjunction with your termination of employment with the Company. The timely execution of the Waiver and Release is a condition precedent to the payment of the Separation Benefits under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Separation Benefits.</w: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a.Following a Qualifying Termination, and subject to your timely execution of the Waiver and Release, you shall be provided the following benefits:</w:t>
      </w:r>
    </w:p>
    <w:p>
      <w:pPr>
        <w:pStyle w:val="TextBody"/>
        <w:bidi w:val="0"/>
        <w:spacing w:lineRule="auto" w:line="288" w:before="100" w:after="283"/>
        <w:ind w:left="0" w:right="0" w:hanging="487"/>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Accrued Rights.</w:t>
      </w:r>
      <w:r>
        <w:rPr>
          <w:color w:val="000000"/>
        </w:rPr>
        <w:t xml:space="preserve"> </w:t>
      </w:r>
      <w:r>
        <w:rPr>
          <w:rFonts w:ascii="Times New Roman;serif" w:hAnsi="Times New Roman;serif"/>
          <w:b w:val="false"/>
          <w:color w:val="000000"/>
          <w:sz w:val="24"/>
        </w:rPr>
        <w:t>The Company shall pay you your Accrued Rights by the latter of the next regularly scheduled payroll date after your Date of Termination or the fifth (5</w:t>
      </w:r>
      <w:r>
        <w:rPr>
          <w:rFonts w:ascii="Times New Roman;serif" w:hAnsi="Times New Roman;serif"/>
          <w:b w:val="false"/>
          <w:color w:val="000000"/>
          <w:sz w:val="16"/>
        </w:rPr>
        <w:t>th</w:t>
      </w:r>
      <w:r>
        <w:rPr>
          <w:rFonts w:ascii="Times New Roman;serif" w:hAnsi="Times New Roman;serif"/>
          <w:b w:val="false"/>
          <w:color w:val="000000"/>
          <w:sz w:val="24"/>
        </w:rPr>
        <w:t>) business day after your Date of Termination.</w:t>
      </w:r>
    </w:p>
    <w:p>
      <w:pPr>
        <w:pStyle w:val="TextBody"/>
        <w:bidi w:val="0"/>
        <w:spacing w:lineRule="auto" w:line="288" w:before="100" w:after="283"/>
        <w:ind w:left="0" w:right="0" w:hanging="553"/>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Prorated Share of Cash-Based Awards.</w:t>
      </w:r>
      <w:r>
        <w:rPr>
          <w:color w:val="000000"/>
        </w:rPr>
        <w:t xml:space="preserve"> </w:t>
      </w:r>
      <w:r>
        <w:rPr>
          <w:rFonts w:ascii="Times New Roman;serif" w:hAnsi="Times New Roman;serif"/>
          <w:b w:val="false"/>
          <w:color w:val="000000"/>
          <w:sz w:val="24"/>
        </w:rPr>
        <w:t>The Company shall provide you a prorated share of Performance Unit grants, if earned, and Short-Term Incentive Plan awards, if earned, for the year in which the Qualifying Termination occurs, each to be paid on the normal schedule, even if you are not an employee on the payout date.</w:t>
      </w:r>
    </w:p>
    <w:p>
      <w:pPr>
        <w:pStyle w:val="TextBody"/>
        <w:bidi w:val="0"/>
        <w:spacing w:lineRule="auto" w:line="288" w:before="100" w:after="283"/>
        <w:ind w:left="0" w:right="0" w:hanging="620"/>
        <w:jc w:val="left"/>
        <w:rPr/>
      </w:pPr>
      <w:r>
        <w:rPr>
          <w:rFonts w:ascii="Times New Roman;serif" w:hAnsi="Times New Roman;serif"/>
          <w:b w:val="false"/>
          <w:color w:val="000000"/>
          <w:sz w:val="24"/>
        </w:rPr>
        <w:t>iii.</w:t>
      </w:r>
      <w:r>
        <w:rPr>
          <w:rFonts w:ascii="Times New Roman;serif" w:hAnsi="Times New Roman;serif"/>
          <w:b w:val="false"/>
          <w:color w:val="000000"/>
          <w:sz w:val="24"/>
          <w:u w:val="single"/>
        </w:rPr>
        <w:t>COBRA Continuation Coverage.</w:t>
      </w:r>
      <w:r>
        <w:rPr>
          <w:color w:val="000000"/>
        </w:rPr>
        <w:t xml:space="preserve"> </w:t>
      </w:r>
      <w:r>
        <w:rPr>
          <w:rFonts w:ascii="Times New Roman;serif" w:hAnsi="Times New Roman;serif"/>
          <w:b w:val="false"/>
          <w:color w:val="000000"/>
          <w:sz w:val="24"/>
        </w:rPr>
        <w:t>The Company shall pay you for twelve (12) months of COBRA payments based on your medical selection in the Company’s health plan as of the date of the Qualifying Termination occurs.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ind w:left="0" w:right="0" w:hanging="607"/>
        <w:jc w:val="left"/>
        <w:rPr/>
      </w:pPr>
      <w:r>
        <w:rPr>
          <w:rFonts w:ascii="Times New Roman;serif" w:hAnsi="Times New Roman;serif"/>
          <w:b w:val="false"/>
          <w:color w:val="000000"/>
          <w:sz w:val="24"/>
        </w:rPr>
        <w:t>iv.</w:t>
      </w:r>
      <w:r>
        <w:rPr>
          <w:rFonts w:ascii="Times New Roman;serif" w:hAnsi="Times New Roman;serif"/>
          <w:b w:val="false"/>
          <w:color w:val="000000"/>
          <w:sz w:val="24"/>
          <w:u w:val="single"/>
        </w:rPr>
        <w:t>Severance Payment.</w:t>
      </w:r>
      <w:r>
        <w:rPr>
          <w:color w:val="000000"/>
        </w:rPr>
        <w:t xml:space="preserve"> </w:t>
      </w:r>
      <w:r>
        <w:rPr>
          <w:rFonts w:ascii="Times New Roman;serif" w:hAnsi="Times New Roman;serif"/>
          <w:b w:val="false"/>
          <w:color w:val="000000"/>
          <w:sz w:val="24"/>
        </w:rPr>
        <w:t>If you timely execute the Waiver and Release and do not revoke your signature within the seven (7) day Revocation Period (as defined within the Waiver and Release), then within the fifteen (15) day period immediately following the lapse of such Revocation Period the Company shall pay you in the form of a lump sum payment your Annual Base Salary for the year in which the Qualifying Termination occurs.</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Payments if Termination for Cause or by You Without Good Reason.</w:t>
      </w:r>
      <w:r>
        <w:rPr>
          <w:color w:val="000000"/>
        </w:rPr>
        <w:t xml:space="preserve"> </w:t>
      </w:r>
      <w:r>
        <w:rPr>
          <w:rFonts w:ascii="Times New Roman;serif" w:hAnsi="Times New Roman;serif"/>
          <w:b w:val="false"/>
          <w:color w:val="000000"/>
          <w:sz w:val="24"/>
        </w:rPr>
        <w:t>If your employment with the Company is terminated for any reason other than a Qualifying Termination (including as a result of a termination by the Company for Cause or your resignation without Good Reason), you shall only be entitled to your Accrued Rights. Thereafter, the Company shall have no further obligation to you under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 xml:space="preserve">Application of Sections 280G and 4999 of the Code. </w:t>
      </w:r>
      <w:r>
        <w:rPr>
          <w:rFonts w:ascii="Times New Roman;serif" w:hAnsi="Times New Roman;serif"/>
          <w:b w:val="false"/>
          <w:color w:val="000000"/>
          <w:sz w:val="24"/>
        </w:rPr>
        <w:t>Notwithstanding anything in this Agreement to the contrary, if you are a “disqualified individual” (as defined in Section 280G(c) of the Code), and the payments and benefits provided for in this Agreement, together with any other payments and benefits which you have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you from the Company and/or such person(s) will be $1.00 less than three (3) times your “base amount” (as defined in Section 280G(b)(3) of the Code), for the purpose that no portion of such amounts and benefits received by you will be subject to the excise tax imposed by Section 4999 of the Code or (b) paid in full, whichever produces the better “net after-tax position” to you (taking into account any applicable excise tax under Section 4999 of the Code and any other applicable taxes). Additionally:</w: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pStyle w:val="TextBody"/>
        <w:bidi w:val="0"/>
        <w:spacing w:lineRule="auto" w:line="288" w:before="100" w:after="283"/>
        <w:ind w:left="0" w:right="0" w:hanging="360"/>
        <w:jc w:val="left"/>
        <w:rPr/>
      </w:pPr>
      <w:r>
        <w:rPr>
          <w:rFonts w:ascii="Times New Roman;serif" w:hAnsi="Times New Roman;serif"/>
          <w:b w:val="false"/>
          <w:color w:val="000000"/>
          <w:sz w:val="24"/>
        </w:rPr>
        <w:t>b.The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mutually selected for this purpose by both you and the Company (such firm being, the “</w:t>
      </w:r>
      <w:r>
        <w:rPr>
          <w:rFonts w:ascii="Times New Roman;serif" w:hAnsi="Times New Roman;serif"/>
          <w:b/>
          <w:i/>
          <w:color w:val="000000"/>
          <w:sz w:val="24"/>
        </w:rPr>
        <w:t>280G Firm</w:t>
      </w:r>
      <w:r>
        <w:rPr>
          <w:color w:val="000000"/>
        </w:rPr>
        <w:t>”</w:t>
      </w:r>
      <w:r>
        <w:rPr>
          <w:rFonts w:ascii="Times New Roman;serif" w:hAnsi="Times New Roman;serif"/>
          <w:b w:val="false"/>
          <w:color w:val="000000"/>
          <w:sz w:val="24"/>
        </w:rPr>
        <w:t>), with such selection to occur prior to taking steps to implement a transaction giving rise to the payment of any “parachute payments.” In order to assess whether payments under this Agreement or otherwise qualify as reasonable compensation that is exempt from being a parachute payment under Section 280G of the Code, the 280G Firm may retain the services of an independent valuation expert.</w: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c.If a reduced payment or benefit is made or provided and through error or otherwise that payment or benefit, when aggregated with other payments and benefits from the Company (or its affiliates) used in determining if a “parachute payment” exists, exceeds $1.00 less than three (3) times your base amount, then you must immediately repay such excess to the Company upon notification that an overpayment has been made. Nothing in this section will require the Company to be responsible for, or have any liability or obligation with respect to, your excise tax liabilities under Section 4999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d.Any determination required under this section will be made by the Company in its reasonable discretion and the Company’s determination will be final and binding on you; provided, however, that the Company shall pursue all available mitigation efforts.</w:t>
      </w:r>
    </w:p>
    <w:p>
      <w:pPr>
        <w:pStyle w:val="TextBody"/>
        <w:bidi w:val="0"/>
        <w:spacing w:lineRule="auto" w:line="288" w:before="100" w:after="283"/>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This Agreement is intended to either avoid the application of, or comply with, Section 409A of the Code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To that end, this Agreement must at all times be interpreted in a manner that is consistent with Section 409A. Notwithstanding any other provision in this Agreement to the contrary, the Board of Directors has the right, in their sole discretion, to adopt such amendments to this Agreement or take such other actions (including amendments and actions with retroactive effect) as they determine are minimally necessary for this Agreement to comply with Section 409A. Any payment following a “</w:t>
      </w:r>
      <w:r>
        <w:rPr>
          <w:rFonts w:ascii="Times New Roman;serif" w:hAnsi="Times New Roman;serif"/>
          <w:b w:val="false"/>
          <w:i/>
          <w:color w:val="000000"/>
          <w:sz w:val="24"/>
        </w:rPr>
        <w:t>separation from service</w:t>
      </w:r>
      <w:r>
        <w:rPr>
          <w:color w:val="000000"/>
        </w:rPr>
        <w:t xml:space="preserve">” </w:t>
      </w:r>
      <w:r>
        <w:rPr>
          <w:rFonts w:ascii="Times New Roman;serif" w:hAnsi="Times New Roman;serif"/>
          <w:b w:val="false"/>
          <w:color w:val="000000"/>
          <w:sz w:val="24"/>
        </w:rPr>
        <w:t>(as defined in Treasury Regulation Section 1.409A-1(h)) that would be subject to Section 409A(a)(2)(A)(i) of the Code as a distribution following a separation from service of a “</w:t>
      </w:r>
      <w:r>
        <w:rPr>
          <w:rFonts w:ascii="Times New Roman;serif" w:hAnsi="Times New Roman;serif"/>
          <w:b w:val="false"/>
          <w:i/>
          <w:color w:val="000000"/>
          <w:sz w:val="24"/>
        </w:rPr>
        <w:t>specified employee</w:t>
      </w:r>
      <w:r>
        <w:rPr>
          <w:color w:val="000000"/>
        </w:rPr>
        <w:t xml:space="preserve">” </w:t>
      </w:r>
      <w:r>
        <w:rPr>
          <w:rFonts w:ascii="Times New Roman;serif" w:hAnsi="Times New Roman;serif"/>
          <w:b w:val="false"/>
          <w:color w:val="000000"/>
          <w:sz w:val="24"/>
        </w:rPr>
        <w:t>(as defined under Section 409A(a) (2)(B)(i) of the Code) will be made on the first to occur of (i) ten (10) days after the expiration of the six month period following such separation from service, (ii) death, or (iii) such earlier date that complies with Section 409A. Each payment that a Participant may receive under this Plan or an Award Agreement will be treated as a “</w:t>
      </w:r>
      <w:r>
        <w:rPr>
          <w:rFonts w:ascii="Times New Roman;serif" w:hAnsi="Times New Roman;serif"/>
          <w:b w:val="false"/>
          <w:i/>
          <w:color w:val="000000"/>
          <w:sz w:val="24"/>
        </w:rPr>
        <w:t>separate payment</w:t>
      </w:r>
      <w:r>
        <w:rPr>
          <w:color w:val="000000"/>
        </w:rPr>
        <w:t xml:space="preserve">” </w:t>
      </w:r>
      <w:r>
        <w:rPr>
          <w:rFonts w:ascii="Times New Roman;serif" w:hAnsi="Times New Roman;serif"/>
          <w:b w:val="false"/>
          <w:color w:val="000000"/>
          <w:sz w:val="24"/>
        </w:rPr>
        <w:t>for purposes of Section 409A.</w:t>
      </w:r>
    </w:p>
    <w:p>
      <w:pPr>
        <w:pStyle w:val="TextBody"/>
        <w:bidi w:val="0"/>
        <w:spacing w:lineRule="auto" w:line="288" w:before="100" w:after="283"/>
        <w:ind w:left="0" w:right="0" w:hanging="36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Term.</w:t>
      </w:r>
      <w:r>
        <w:rPr>
          <w:color w:val="000000"/>
        </w:rPr>
        <w:t xml:space="preserve"> </w:t>
      </w:r>
      <w:r>
        <w:rPr>
          <w:rFonts w:ascii="Times New Roman;serif" w:hAnsi="Times New Roman;serif"/>
          <w:b w:val="false"/>
          <w:color w:val="000000"/>
          <w:sz w:val="24"/>
        </w:rPr>
        <w:t>This Agreement shall commence on the Effective Date and shall continue in accordance with its terms.</w:t>
      </w:r>
    </w:p>
    <w:p>
      <w:pPr>
        <w:pStyle w:val="TextBody"/>
        <w:bidi w:val="0"/>
        <w:spacing w:lineRule="auto" w:line="288" w:before="100" w:after="283"/>
        <w:ind w:left="0" w:right="0" w:hanging="36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Successors; Binding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Successors of the Company</w:t>
      </w:r>
      <w:r>
        <w:rPr>
          <w:rFonts w:ascii="Times New Roman;serif" w:hAnsi="Times New Roman;serif"/>
          <w:b w:val="false"/>
          <w:color w:val="000000"/>
          <w:sz w:val="24"/>
        </w:rPr>
        <w:t>. The Company will require any successor to all or substantially all of the business and/or assets of the Company to expressly assume and agree, by an agreement in form and substance satisfactory to you, to perform this Agreement in the same manner and to the same extent that the Company would be required to perform it if no such succession had taken place.</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Your Successor</w:t>
      </w:r>
      <w:r>
        <w:rPr>
          <w:rFonts w:ascii="Times New Roman;serif" w:hAnsi="Times New Roman;serif"/>
          <w:b w:val="false"/>
          <w:color w:val="000000"/>
          <w:sz w:val="24"/>
        </w:rPr>
        <w:t>. This Agreement shall inure to the benefit of and be enforceable by your personal or legal representatives, executors, administrators, successors, heirs, distributees, devises and legatees. If you should die following your Date of Termination while any amount would still be payable to you hereunder if you had continued to live, all such amounts, unless otherwise provided herein, shall be paid in accordance with the terms of this Agreement to your devisee, legatee or other designee or, if there is no such designee, to your estate.</w:t>
      </w:r>
    </w:p>
    <w:p>
      <w:pPr>
        <w:pStyle w:val="TextBody"/>
        <w:bidi w:val="0"/>
        <w:spacing w:lineRule="auto" w:line="288" w:before="100" w:after="283"/>
        <w:ind w:left="0" w:right="0" w:hanging="36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Relationship to Other Agreements.</w:t>
      </w:r>
      <w:r>
        <w:rPr>
          <w:color w:val="000000"/>
        </w:rPr>
        <w:t xml:space="preserve"> </w:t>
      </w:r>
      <w:r>
        <w:rPr>
          <w:rFonts w:ascii="Times New Roman;serif" w:hAnsi="Times New Roman;serif"/>
          <w:b w:val="false"/>
          <w:color w:val="000000"/>
          <w:sz w:val="24"/>
        </w:rPr>
        <w:t>This Agreement, the Exhibits attached hereto, the agreements specifically incorporated herein and the Equity Plan are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 For avoidance of doubt, this Agreement shall not supersede or replace any contractual restrictive covenant obligations to which you may be subject, which shall remain in full force and effect according to their terms, and shall be in addition to your obligations under this Agreement.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Nature of Payments.</w:t>
      </w:r>
      <w:r>
        <w:rPr>
          <w:color w:val="000000"/>
        </w:rPr>
        <w:t xml:space="preserve"> </w:t>
      </w:r>
      <w:r>
        <w:rPr>
          <w:rFonts w:ascii="Times New Roman;serif" w:hAnsi="Times New Roman;serif"/>
          <w:b w:val="false"/>
          <w:color w:val="000000"/>
          <w:sz w:val="24"/>
        </w:rPr>
        <w:t>All payments to you under this Agreement shall be considered either payments in consideration of your continued service to the Company or separation payments in consideration of your past service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ind w:left="0" w:right="0" w:hanging="36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Validity.</w:t>
      </w:r>
      <w:r>
        <w:rPr>
          <w:color w:val="000000"/>
        </w:rPr>
        <w:t xml:space="preserve"> </w:t>
      </w:r>
      <w:r>
        <w:rPr>
          <w:rFonts w:ascii="Times New Roman;serif" w:hAnsi="Times New Roman;serif"/>
          <w:b w:val="false"/>
          <w:color w:val="000000"/>
          <w:sz w:val="24"/>
        </w:rPr>
        <w:t>The invalidity or unenforceability of any provision of this Agreement shall not affect the validity or enforceability of any other provision of this Agreement, which shall remain in full force and effect.</w:t>
      </w:r>
    </w:p>
    <w:p>
      <w:pPr>
        <w:pStyle w:val="TextBody"/>
        <w:bidi w:val="0"/>
        <w:spacing w:lineRule="auto" w:line="288" w:before="100" w:after="283"/>
        <w:ind w:left="0" w:right="0" w:hanging="36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Countermarks.</w:t>
      </w:r>
      <w:r>
        <w:rPr>
          <w:color w:val="000000"/>
        </w:rPr>
        <w:t xml:space="preserve"> </w:t>
      </w:r>
      <w:r>
        <w:rPr>
          <w:rFonts w:ascii="Times New Roman;serif" w:hAnsi="Times New Roman;serif"/>
          <w:b w:val="false"/>
          <w:color w:val="000000"/>
          <w:sz w:val="24"/>
        </w:rPr>
        <w:t>This Agreement may be executed in several counterparts, each of which shall be deemed to be an original but all of which together will constitute one and the same instrument.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Notice.</w:t>
      </w:r>
      <w:r>
        <w:rPr>
          <w:color w:val="000000"/>
        </w:rPr>
        <w:t xml:space="preserve"> </w:t>
      </w:r>
      <w:r>
        <w:rPr>
          <w:rFonts w:ascii="Times New Roman;serif" w:hAnsi="Times New Roman;serif"/>
          <w:b w:val="false"/>
          <w:color w:val="000000"/>
          <w:sz w:val="24"/>
        </w:rPr>
        <w:t>Any purported termination of your employment by the Company or by you shall be communicated to the other party by a Notice of Termination. A Notice of Termination shall indicate the specific termination provision in this Agreement relied upon and shall set forth in reasonable detail the facts and circumstances claimed to provide a basis for termination of your employment under the provision so indicated.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provided that all notices to the Company shall be directed to the attention of the Board with a copy to the Secretary of the Company or to such other address as either party may have furnished to the other in writing in accordance herewith, except that notice of change of address shall be effective only upon receipt.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If to the Company:</w:t>
      </w:r>
      <w:r>
        <w:rPr>
          <w:color w:val="000000"/>
        </w:rPr>
        <w:t>    </w:t>
      </w:r>
      <w:r>
        <w:rPr>
          <w:rFonts w:ascii="Times New Roman;serif" w:hAnsi="Times New Roman;serif"/>
          <w:b w:val="false"/>
          <w:color w:val="000000"/>
          <w:sz w:val="24"/>
        </w:rPr>
        <w:t>Tredegar Corporation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1100 Boulders Parkway</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Richmond, VA 23225</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Attn: Chairman of the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With a Copy to:    </w:t>
      </w:r>
      <w:r>
        <w:rPr>
          <w:rFonts w:ascii="Times New Roman;serif" w:hAnsi="Times New Roman;serif"/>
          <w:b w:val="false"/>
          <w:color w:val="000000"/>
          <w:sz w:val="24"/>
        </w:rPr>
        <w:t>McGuireWoods LLP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Gateway Plaza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800 East Canal Street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Richmond, VA 23219</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Attn: Igor Babichenko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If to the Executive:</w:t>
      </w:r>
      <w:r>
        <w:rPr>
          <w:color w:val="000000"/>
        </w:rPr>
        <w:t>    </w:t>
      </w:r>
      <w:r>
        <w:rPr>
          <w:rFonts w:ascii="Times New Roman;serif" w:hAnsi="Times New Roman;serif"/>
          <w:b w:val="false"/>
          <w:color w:val="000000"/>
          <w:sz w:val="24"/>
        </w:rPr>
        <w:t>Mr. Frasier W. Brickhouse II</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100" w:after="283"/>
        <w:ind w:left="0" w:right="0" w:hanging="36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Amendment.</w:t>
      </w:r>
      <w:r>
        <w:rPr>
          <w:color w:val="000000"/>
        </w:rPr>
        <w:t xml:space="preserve"> </w:t>
      </w:r>
      <w:r>
        <w:rPr>
          <w:rFonts w:ascii="Times New Roman;serif" w:hAnsi="Times New Roman;serif"/>
          <w:b w:val="false"/>
          <w:color w:val="000000"/>
          <w:sz w:val="24"/>
        </w:rPr>
        <w:t>The Company reserves the right to amend or terminate this Agreement at any time by providing at least thirty (30) days advance written notice to you; provided however, but no such amendment or termination that has the effect of reducing or diminishing any of your rights under this Agreement will be effective without your written consent.</w:t>
      </w:r>
    </w:p>
    <w:p>
      <w:pPr>
        <w:pStyle w:val="TextBody"/>
        <w:bidi w:val="0"/>
        <w:spacing w:lineRule="auto" w:line="288" w:before="100" w:after="283"/>
        <w:ind w:left="0" w:right="0" w:hanging="36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Survival.</w:t>
      </w:r>
      <w:r>
        <w:rPr>
          <w:color w:val="000000"/>
        </w:rPr>
        <w:t xml:space="preserve"> </w:t>
      </w:r>
      <w:r>
        <w:rPr>
          <w:rFonts w:ascii="Times New Roman;serif" w:hAnsi="Times New Roman;serif"/>
          <w:b w:val="false"/>
          <w:color w:val="000000"/>
          <w:sz w:val="24"/>
        </w:rPr>
        <w:t>This Agreement shall terminate as provided herein, except that, to the extent the context requires, the provisions intended to survive the termination of this Agreement shall survive.</w:t>
      </w:r>
    </w:p>
    <w:p>
      <w:pPr>
        <w:pStyle w:val="TextBody"/>
        <w:bidi w:val="0"/>
        <w:spacing w:lineRule="auto" w:line="288" w:before="100" w:after="283"/>
        <w:ind w:left="0" w:right="0" w:hanging="36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Governing Law; Venue and Disputes.</w:t>
      </w:r>
      <w:r>
        <w:rPr>
          <w:color w:val="000000"/>
        </w:rPr>
        <w:t xml:space="preserve"> </w:t>
      </w:r>
      <w:r>
        <w:rPr>
          <w:rFonts w:ascii="Times New Roman;serif" w:hAnsi="Times New Roman;serif"/>
          <w:b w:val="false"/>
          <w:color w:val="000000"/>
          <w:sz w:val="24"/>
        </w:rPr>
        <w:t>The validity, interpretation, construction and performance of this Agreement shall be governed by the laws of the Commonwealth of Virginia. You and the Company hereby agree that any suit, action or proceeding arising out of or related to this Agreement shall be brought in any state court in Chesterfield, Virginia, or the federal district court for the Eastern District of Virginia, Richmond Division, and that you and the Company shall submit to such venue. Additionally:</w:t>
      </w:r>
    </w:p>
    <w:p>
      <w:pPr>
        <w:pStyle w:val="TextBody"/>
        <w:bidi w:val="0"/>
        <w:spacing w:lineRule="auto" w:line="288" w:before="100" w:after="283"/>
        <w:ind w:left="0" w:right="0" w:hanging="3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Attorney Fees and Prevailing Party.</w:t>
      </w:r>
      <w:r>
        <w:rPr>
          <w:color w:val="000000"/>
        </w:rPr>
        <w:t xml:space="preserve"> </w:t>
      </w:r>
      <w:r>
        <w:rPr>
          <w:rFonts w:ascii="Times New Roman;serif" w:hAnsi="Times New Roman;serif"/>
          <w:b w:val="false"/>
          <w:color w:val="000000"/>
          <w:sz w:val="24"/>
        </w:rPr>
        <w:t xml:space="preserve">If there is any suit, action, or proceeding alleging a breach of this Agreement, then the Company shall provide you with advancement of legal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fees and expenses associated with your court costs and attorneys’ fees; provided, however, that the prevailing party in any such suit, action, or proceeding, on trial or appeal, shall be entitled to recover from the non-prevailing party, in addition to any other relief awarded, its reasonable and necessary attorneys’ fees, costs, and expenses incurred in such suit, action, or proceeding. If there is no prevailing party, each party will pay its own attorneys’ fees, costs, and expenses. Whether a prevailing party exists shall be determined solely by the court on a claim-by-claim basis and the court, in its sole discretion, shall determine the amount of reasonable and necessary attorneys’ fees, costs, and/or expenses, if any, for which a party is entitled.</w:t>
      </w:r>
    </w:p>
    <w:p>
      <w:pPr>
        <w:pStyle w:val="TextBody"/>
        <w:bidi w:val="0"/>
        <w:spacing w:lineRule="auto" w:line="288" w:before="100" w:after="283"/>
        <w:ind w:left="0" w:right="0" w:hanging="3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Guiding Principles.</w:t>
      </w:r>
      <w:r>
        <w:rPr>
          <w:color w:val="000000"/>
        </w:rPr>
        <w:t xml:space="preserve"> </w:t>
      </w:r>
      <w:r>
        <w:rPr>
          <w:rFonts w:ascii="Times New Roman;serif" w:hAnsi="Times New Roman;serif"/>
          <w:b w:val="false"/>
          <w:color w:val="000000"/>
          <w:sz w:val="24"/>
        </w:rPr>
        <w:t>The following guiding principles shall be applied by a court in any determination of a prevailing party: (x) the intent of the parties is to avoid any suit, action, or proceeding arising from a breach of this Agreement, and therefore, the parties will work together to resolve any such dispute; (y) none of the parties will proceed with a suit, action, or proceeding arising from a breach of this Agreement until after exhausting all reasonable efforts to resolve such dispute using good faith, an impasse has resulted and a satisfactory result cannot be reached without moving forward with such suit, action, or proceeding; and (z) none of the parties will bring any suit, action, or proceeding or claim (including cross- claims) arising from a breach of this Agreement until after such party has fully evaluated the merits of such purported claim or cause of action and made a determination that such party has a good-faith basis to move forward with such suit, action, proceeding or claim (including cross-claims).</w:t>
      </w:r>
    </w:p>
    <w:p>
      <w:pPr>
        <w:pStyle w:val="TextBody"/>
        <w:bidi w:val="0"/>
        <w:spacing w:lineRule="auto" w:line="288" w:before="100" w:after="283"/>
        <w:ind w:left="0" w:right="0" w:hanging="3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Appeals.</w:t>
      </w:r>
      <w:r>
        <w:rPr>
          <w:color w:val="000000"/>
        </w:rPr>
        <w:t xml:space="preserve"> </w:t>
      </w:r>
      <w:r>
        <w:rPr>
          <w:rFonts w:ascii="Times New Roman;serif" w:hAnsi="Times New Roman;serif"/>
          <w:b w:val="false"/>
          <w:color w:val="000000"/>
          <w:sz w:val="24"/>
        </w:rPr>
        <w:t>In any appeal from the award or denial of attorneys’ fees, the judge reviewing the award may not modify the decision of the court making or denying an award, or the decision of the court as to the amount of the award, except upon a finding of an abuse of discretion.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Sincerely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 E. Tack, III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Carl E. Tack, III, Chair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Tredegar Executive Compensation Committee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 agree to the terms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/s/Frasier W. Brickhouse 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May 4,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EXECUTIVE SEPARATION AGREEMENT, GENERAL WAIVER AND RELEASE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Executive Separation Agreement, General Waiver and Release (“Agreement”) is between [Executive], on behalf of himself and his agents, representatives, assignees, heirs, executors, beneficiaries, and trustees (collectively “Executive”), and Tredegar Corporation, on behalf of itself, its divisions, parents, subsidiaries, affiliates, and each of their predecessors, successors, related entities, directors, officers, fiduciaries, employees, agents, attorneys and representatives (collectively “Employer”). In consideration of the mutual covenants and promises contained herein, the parties hereby agree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 xml:space="preserve">1. </w:t>
      </w:r>
      <w:r>
        <w:rPr>
          <w:rFonts w:ascii="Times New Roman;serif" w:hAnsi="Times New Roman;serif"/>
          <w:b/>
          <w:color w:val="000000"/>
          <w:sz w:val="24"/>
          <w:u w:val="single"/>
        </w:rPr>
        <w:t>Separation; Separation Benefits</w:t>
      </w:r>
      <w:r>
        <w:rPr>
          <w:rFonts w:ascii="Times New Roman;serif" w:hAnsi="Times New Roman;serif"/>
          <w:b/>
          <w:color w:val="000000"/>
          <w:sz w:val="24"/>
        </w:rPr>
        <w:t xml:space="preserve">. </w:t>
      </w:r>
      <w:r>
        <w:rPr>
          <w:rFonts w:ascii="Times New Roman;serif" w:hAnsi="Times New Roman;serif"/>
          <w:b w:val="false"/>
          <w:color w:val="000000"/>
          <w:sz w:val="24"/>
        </w:rPr>
        <w:t>Executive is currently employed by Employer as its [TITLE]. Executive’s employment with Employer, and any officer or director duties Executive holds with any Tredegar Corporation subsidy as a result of Executive’s employment, shall terminate on ______, 202_ (“Separation Date”). Executive shall receive Executive’s normal compensation through the Separation Date, and Executive’s benefits shall terminate in accordance with the applicable policies and summary plan descriptions, except as specified herein. In complete settlement of any and all claims that Executive may have against Employer and other covenants and promises contained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Separation Pay</w:t>
      </w:r>
      <w:r>
        <w:rPr>
          <w:rFonts w:ascii="Times New Roman;serif" w:hAnsi="Times New Roman;serif"/>
          <w:b w:val="false"/>
          <w:color w:val="000000"/>
          <w:sz w:val="24"/>
        </w:rPr>
        <w:t>. Employer agrees to pay Executive the gross sum of ________________ and __/100 Dollars ($______.__) (“Separation Pay”), which constitutes Executive’s annual base salary. The Separation Pay shall be paid to Executive in regular installments as soon as practicable following the Effective Date (as such term is defined herein) in accordance with Employer’s regularly scheduled payroll dates (“Severance Payment Installments”) and subject to the terms 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COBRA Payment</w:t>
      </w:r>
      <w:r>
        <w:rPr>
          <w:rFonts w:ascii="Times New Roman;serif" w:hAnsi="Times New Roman;serif"/>
          <w:b w:val="false"/>
          <w:color w:val="000000"/>
          <w:sz w:val="24"/>
        </w:rPr>
        <w:t>. In the event that Executive elects continuation coverage under COBRA, Employer agrees to pay the COBRA premium for up to ____ months as further described below (the “COBRA Payment”).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Restricted Stock Awards</w:t>
      </w:r>
      <w:r>
        <w:rPr>
          <w:rFonts w:ascii="Times New Roman;serif" w:hAnsi="Times New Roman;serif"/>
          <w:b w:val="false"/>
          <w:color w:val="000000"/>
          <w:sz w:val="24"/>
        </w:rPr>
        <w:t>. Employer agrees the following outstanding restricted stock awards (“Restricted Stock”) shall vest to the same extent, and on the same dates, that such Restricted Stock would have vested if Executive had remained employed through and including the [Year] vesting dates, notwithstanding that Executive’s Separation Date precedes the [Year] vesting date:</w:t>
      </w:r>
    </w:p>
    <w:tbl>
      <w:tblPr>
        <w:tblW w:w="4603" w:type="dxa"/>
        <w:jc w:val="left"/>
        <w:tblInd w:w="0" w:type="dxa"/>
        <w:tblLayout w:type="fixed"/>
        <w:tblCellMar>
          <w:top w:w="28" w:type="dxa"/>
          <w:left w:w="28" w:type="dxa"/>
          <w:bottom w:w="28" w:type="dxa"/>
          <w:right w:w="28" w:type="dxa"/>
        </w:tblCellMar>
      </w:tblPr>
      <w:tblGrid>
        <w:gridCol w:w="467"/>
        <w:gridCol w:w="409"/>
        <w:gridCol w:w="413"/>
        <w:gridCol w:w="609"/>
        <w:gridCol w:w="609"/>
        <w:gridCol w:w="611"/>
        <w:gridCol w:w="434"/>
        <w:gridCol w:w="434"/>
        <w:gridCol w:w="617"/>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Award Date</w:t>
            </w:r>
          </w:p>
        </w:tc>
        <w:tc>
          <w:tcPr>
            <w:tcW w:w="18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Number of Shares</w:t>
            </w:r>
          </w:p>
        </w:tc>
        <w:tc>
          <w:tcPr>
            <w:tcW w:w="14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Vesting Dates</w:t>
            </w:r>
          </w:p>
        </w:tc>
      </w:tr>
      <w:tr>
        <w:trPr/>
        <w:tc>
          <w:tcPr>
            <w:tcW w:w="128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remaining restricted stock awards will be forfeited.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Performance Unit Awards</w:t>
      </w:r>
      <w:r>
        <w:rPr>
          <w:rFonts w:ascii="Times New Roman;serif" w:hAnsi="Times New Roman;serif"/>
          <w:b w:val="false"/>
          <w:color w:val="000000"/>
          <w:sz w:val="24"/>
        </w:rPr>
        <w:t>. The following outstanding cash-based performance unit awards (“Performance Units”) shall be deemed earned as of the Separation Date to the extent that the applicable performance goals, objectives or measures are achieved in accordance with their terms, which shall be settled at the end of the applicable measurement period for each award:</w:t>
      </w:r>
    </w:p>
    <w:tbl>
      <w:tblPr>
        <w:tblW w:w="8726" w:type="dxa"/>
        <w:jc w:val="left"/>
        <w:tblInd w:w="0" w:type="dxa"/>
        <w:tblLayout w:type="fixed"/>
        <w:tblCellMar>
          <w:top w:w="28" w:type="dxa"/>
          <w:left w:w="28" w:type="dxa"/>
          <w:bottom w:w="28" w:type="dxa"/>
          <w:right w:w="28" w:type="dxa"/>
        </w:tblCellMar>
      </w:tblPr>
      <w:tblGrid>
        <w:gridCol w:w="467"/>
        <w:gridCol w:w="409"/>
        <w:gridCol w:w="413"/>
        <w:gridCol w:w="569"/>
        <w:gridCol w:w="569"/>
        <w:gridCol w:w="571"/>
        <w:gridCol w:w="1089"/>
        <w:gridCol w:w="1089"/>
        <w:gridCol w:w="1091"/>
        <w:gridCol w:w="718"/>
        <w:gridCol w:w="718"/>
        <w:gridCol w:w="1023"/>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Award Date</w:t>
            </w:r>
          </w:p>
        </w:tc>
        <w:tc>
          <w:tcPr>
            <w:tcW w:w="17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Number of Units</w:t>
            </w:r>
          </w:p>
        </w:tc>
        <w:tc>
          <w:tcPr>
            <w:tcW w:w="32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End of Measurement Period Date</w:t>
            </w:r>
          </w:p>
        </w:tc>
        <w:tc>
          <w:tcPr>
            <w:tcW w:w="24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 of Potential Payout</w:t>
            </w:r>
          </w:p>
        </w:tc>
      </w:tr>
      <w:tr>
        <w:trPr/>
        <w:tc>
          <w:tcPr>
            <w:tcW w:w="12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remaining performance unit awards will be forfeited.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COBRA Payment is subject to the Executive being enrolled in Tredegar Corporation’s medical coverage at the time of separation from the Employer, and Executive electing to receive COBRA continuation coverage before the deadline specified in the COBRA Qualifying Event letter that will be mailed to Executive’s last known home address. Should Executive elect to continue his/her COBRA continuation coverage, Employer agrees to pay the COBRA premium for up to ____ months and so long as Executive is not eligible for group health coverage from another employer (“Third Party Insurance Coverage”). Employer’s obligation to pay the premium for COBRA coverage shall end the earlier of (a) ______, 202_, or (b) such date that Executive is otherwise eligible for Third Party Insurance Coverage. If Executive becomes eligible for Third Party Insurance Coverage, Executive agrees to decline the continuation of his/her COBRA coverage by providing written notice to Employer sufficiently in advance to avoid any overlap in the COBRA coverage and the Third-Party Insurance Coverage. After _______, 202__, Executive shall assume responsibility for his/her COBRA coverage (if applicable) by making such COBRA premium payments at Executive's sole expense.]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[Separation Pay, COBRA Pay, Restricted Stock, and Performance Units, if any,] shall be referred to herein collectively as “Separation Benefits.” Executive hereby agrees that any monetary Separation Benefits shall be paid as described above, less all applicable federal, state and local withholding taxes and other payroll deductions that the Employer is required by law to make from wage payments to employees.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acknowledges that the monetary payment and benefits described in this Section 1 constitute valid and sufficient consideration for the promises contained in the Agreement and that Employer was not otherwise obligated to provide Executive such monetary payment and benefits. Executive hereby agrees that the payments and performances described in Section 1 are all that Executive shall be entitled to receive from Employer, except (i) accrued, unused vacation time, if any, which will be paid pursuant to the Employer’s policy; (ii) vested qualified retirement benefits or equity awards, if any, to which Executive may be entitled under Employer’s ERISA plans or equity plans; and (iii) the right to continuation in Employer’s group health insurance plans as provided by COBRA, if applicable.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 </w:t>
      </w:r>
      <w:r>
        <w:rPr>
          <w:rFonts w:ascii="Times New Roman;serif" w:hAnsi="Times New Roman;serif"/>
          <w:b/>
          <w:color w:val="000000"/>
          <w:sz w:val="24"/>
          <w:u w:val="single"/>
        </w:rPr>
        <w:t>Executive Misconduct Resulting in Cessation of Separation Benefits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agrees that any conduct occurring after the Separation Date that materially harms the reputation, business interests, or legal standing of Employer or any of its affiliates shall constitute misconduct. Such conduct includes, but is not limited to: (a) any act of violence or threatening behavior by Executive towards employees, vendors, or customers of Employer; (b) destruction of property belonging to Employer or its employees, vendors or customers; (c) publication of any materially false information concerning Employer or its officers, directors, employees, vendors, customers or business practices that damages the reputation of the aggrieved party; (d) conduct that results in public scandal or controversy materially linked to the Executive’s prior role at Employer; (e) intentional disclosure or misuse of Employer’s trade secrets or confidential information in violation of any continuing obligations identified herein; or (f) refusing to provide reasonably requested transition assistance or Continuing Services at any point prior to the expected date of last payout of Separation Benefits. In the event such misconduct occurs, Employer shall be entitled to (i) cease any Separation Benefits not yet paid; (ii) claw back any payments made under this Agreement to the extent permitted by law; and (iii) seek all appropriate legal and equitable relief as a consequence of Executive’s misconduct, as well as any and all damages, expenses, attorneys’ fees, and costs that Employer incurs as a result of such misconduct.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 xml:space="preserve">3. </w:t>
      </w:r>
      <w:r>
        <w:rPr>
          <w:rFonts w:ascii="Times New Roman;serif" w:hAnsi="Times New Roman;serif"/>
          <w:b/>
          <w:color w:val="000000"/>
          <w:sz w:val="24"/>
          <w:u w:val="single"/>
        </w:rPr>
        <w:t>General Release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hereby waives, releases and forever discharges Employer from any and all KNOWN OR UNKNOWN actions, causes of action, claims or liabilities of any kind (“Claims”)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which have been or could be asserted against Employer by reason of his employment and/or retirement from Employer or resignation from the officer or director positions of subsidiaries arising up to and including the date Executive signs this Agreement, including but not limited to any and all Claims arising under Title VII of the Civil Rights Act of 1964, the Executive Retirement Income Security Act, the Rehabilitation Act of 1973, the Age Discrimination in Employment Act, the Americans with Disabilities Act, the Family and Medical Leave Act, the Fair Labor Standards Act, the Equal Pay Act, the Occupational Safety and Health Act, the Genetic Information Nondiscrimination Act, the Sarbanes-Oxley Act, the Dodd-Frank Wall Street Reform and Consumer Program Act, the False Claims Act, the Virginia Human Rights Act, each as may be amended, and/or any and all other federal, state, local, or municipal employment discrimination statutes, regulations, executive orders and/or ordinances pertaining to employment, as well as Claims under state contract or tort law including, but not limited to, those based on allegations of wrongful discharge, breach of contract, promissory estoppel, defamation, and infliction of emotional distress.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4. </w:t>
      </w:r>
      <w:r>
        <w:rPr>
          <w:rFonts w:ascii="Times New Roman;serif" w:hAnsi="Times New Roman;serif"/>
          <w:b/>
          <w:color w:val="000000"/>
          <w:sz w:val="24"/>
          <w:u w:val="single"/>
        </w:rPr>
        <w:t>Exclusions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Excluded from the General Release in Section 3 are any claims which cannot be waived by law, including any rights Executive may have to workers’ compensation or unemployment insurance benefits, any rights with regard to vested benefits under ERISA or any rights Executive may have under this Agreement. Executive understands and acknowledges that the General Release in Section 3 does not release Executive’s right to file a charge with, or participate in, any investigation or proceeding conducted by any federal, state, or local governmental agency or entity, including the Equal Employment Opportunity Commission. Executive is waiving, however, to the fullest extent permitted by law, any right to any monetary recovery or any award of damages in connection with such a charge, investigation or proceeding.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5. </w:t>
      </w:r>
      <w:r>
        <w:rPr>
          <w:rFonts w:ascii="Times New Roman;serif" w:hAnsi="Times New Roman;serif"/>
          <w:b/>
          <w:color w:val="000000"/>
          <w:sz w:val="24"/>
          <w:u w:val="single"/>
        </w:rPr>
        <w:t>Dismissal of Claims; No Lawsuits</w:t>
      </w:r>
      <w:r>
        <w:rPr>
          <w:rFonts w:ascii="Times New Roman;serif" w:hAnsi="Times New Roman;serif"/>
          <w:b/>
          <w:color w:val="000000"/>
          <w:sz w:val="24"/>
        </w:rPr>
        <w:t xml:space="preserve">. </w:t>
      </w:r>
      <w:r>
        <w:rPr>
          <w:rFonts w:ascii="Times New Roman;serif" w:hAnsi="Times New Roman;serif"/>
          <w:b w:val="false"/>
          <w:color w:val="000000"/>
          <w:sz w:val="24"/>
        </w:rPr>
        <w:t xml:space="preserve">Additionally, because of Executive’s release and waiver of all claims, actions, causes of action and liabilities, Executive agrees and represents that he has withdrawn, dismissed and/or discontinued all complaints, grievances, charges, suits and/or actions of any kind that had been initiated or conducted on behalf of him with any agencies, departments, courts, commissions, and/or other tribunals or entities of any kind against Employer. Executive promises never to file a lawsuit asserting any claims that are released in Section 3, except that Executive may bring a lawsuit to challenge the validity of this Agreement under the Age Discrimination in Employment Act of 1967 or the Older Workers Benefit Protection Act. In the event Executive breaches this Section 5, Executive shall pay to Employer all of its expenses incurred as a result of such breach, including, but not limited to, reasonable attorneys’ fees, expenses, and costs.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 xml:space="preserve">6. </w:t>
      </w:r>
      <w:r>
        <w:rPr>
          <w:rFonts w:ascii="Times New Roman;serif" w:hAnsi="Times New Roman;serif"/>
          <w:b/>
          <w:color w:val="000000"/>
          <w:sz w:val="24"/>
          <w:u w:val="single"/>
        </w:rPr>
        <w:t>Confidentiality</w:t>
      </w:r>
      <w:r>
        <w:rPr>
          <w:rFonts w:ascii="Times New Roman;serif" w:hAnsi="Times New Roman;serif"/>
          <w:b/>
          <w:color w:val="000000"/>
          <w:sz w:val="24"/>
        </w:rPr>
        <w:t xml:space="preserve">. </w:t>
      </w:r>
      <w:r>
        <w:rPr>
          <w:rFonts w:ascii="Times New Roman;serif" w:hAnsi="Times New Roman;serif"/>
          <w:b w:val="false"/>
          <w:color w:val="000000"/>
          <w:sz w:val="24"/>
        </w:rPr>
        <w:t xml:space="preserve">Executive agrees that the terms of this Agreement, the discussions that led to its creation and execution, and any claims, allegations, and disputes that are being resolved by this Agreement, are to remain strictly confidential and shall not be disclosed or communicated to any person, unless disclosure is required or protected by law or a court order. Executive may, however, disclose the terms of this Agreement to his attorney, tax advisor(s) and members of Executive’s immediate family, provided that they agree to be bound by the terms of this promise of confidentiality with Executive to be responsible for their compliance. A breach of this provision shall be considered a material breach. Executive warrants that he has not disclosed the Separation Benefits and other monetary payments and benefits offered hereunder, or the terms hereof up to and including the date of execution of this Agreement, except as provided in this Agreement. If Executive violates this confidentiality provision, he shall be liable to Employer for its reasonable attorneys’ fees and other litigation costs incurred in enforcing this confidentiality provision, as well as all damages available at law.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7. </w:t>
      </w:r>
      <w:r>
        <w:rPr>
          <w:rFonts w:ascii="Times New Roman;serif" w:hAnsi="Times New Roman;serif"/>
          <w:b/>
          <w:color w:val="000000"/>
          <w:sz w:val="24"/>
          <w:u w:val="single"/>
        </w:rPr>
        <w:t>Confidential Information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Except as permitted by this Agreement, Executive covenants and agrees that for the 3 years after Executive’s Separation Date: (i) Executive shall keep strictly confidential and not disclose to any person not employed by the Employer any Confidential Information; and (ii) Executive shall not use for himself or for any other person or entity any Confidential Information. However, this provision shall not preclude Executive from (x) any disclosure required by law or court order so long as Executive provides the Employer immediate written notice of any potential disclosure under this subsection and fully cooperates with the Employer to lawfully prevent or limit such disclosure, or (y) communicating in confidence with a government official solely for the purpose of reporting or investigating a suspected violation of law.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all confidential, proprietary or business information furnished to, obtained by, or created by Executive while employed by the Employer or any of its affiliated entities which could be used to harm or compete against the Employer, provided Confidential Information shall not include information known generally to the public (other than information known generally to the public as a result of Executive’s violation of this Section). Confidential Information includes, by way of illustration, such information relating to: (A) Employer customers, including customer lists, contact information, contractual terms, billing histories, and preferences; (B) the Employer’s finances, including financial statements, balance sheets, sales data, forecasts, and cost analyses; (C) the Employer’s plans and projections for business opportunities for new or developing business, including marketing concepts and business plans; (D) the Employer’s research and development activities, technical data, manufacturing technologies, computer files, and software; and (E) the Employer’s operating methods, business processes, services, products, prices, costs, service performance, and operating results. Nothing in the foregoing shall limit the Employer’s protections under any federal and/or state trade secret protection laws. Executive understands that the federal Defend Trade Secrets Act of 2016 provides that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provided such filing is made under seal.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8. </w:t>
      </w:r>
      <w:r>
        <w:rPr>
          <w:rFonts w:ascii="Times New Roman;serif" w:hAnsi="Times New Roman;serif"/>
          <w:b/>
          <w:color w:val="000000"/>
          <w:sz w:val="24"/>
          <w:u w:val="single"/>
        </w:rPr>
        <w:t>Non-Disparagement</w:t>
      </w:r>
      <w:r>
        <w:rPr>
          <w:rFonts w:ascii="Times New Roman;serif" w:hAnsi="Times New Roman;serif"/>
          <w:b/>
          <w:color w:val="000000"/>
          <w:sz w:val="24"/>
        </w:rPr>
        <w:t xml:space="preserve">. </w:t>
      </w:r>
      <w:r>
        <w:rPr>
          <w:rFonts w:ascii="Times New Roman;serif" w:hAnsi="Times New Roman;serif"/>
          <w:b w:val="false"/>
          <w:color w:val="000000"/>
          <w:sz w:val="24"/>
        </w:rPr>
        <w:t>Executive shall not, whether verbally, in writing, electronically, or by any other form of communication, disparage, criticize, condemn, make false and/or harmful statement regarding, or impugn the reputation or character of, Employer or any of its officers, employees, directors, or agents. If Executive violates this non-disparagement covenant, he shall be liable to Employer for its damages, reasonable attorneys’ fees, and costs incurred in enforcing this non-disparagement covenant. Notwithstanding the foregoing, nothing in this Agreement shall prevent Executive from testifying truthfully if compelled by applicable law or legal process or reporting unlawful activity to any governmental authorities for investigation.</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9. </w:t>
      </w:r>
      <w:r>
        <w:rPr>
          <w:rFonts w:ascii="Times New Roman;serif" w:hAnsi="Times New Roman;serif"/>
          <w:b/>
          <w:color w:val="000000"/>
          <w:sz w:val="24"/>
          <w:u w:val="single"/>
        </w:rPr>
        <w:t>Intellectual Property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hereby assigns to the Employer Executive’s full right, title, and interest in all Developments (as defined below), including all Intellectual Property Rights (as defined below) associated therewith. “</w:t>
      </w:r>
      <w:r>
        <w:rPr>
          <w:rFonts w:ascii="Times New Roman;serif" w:hAnsi="Times New Roman;serif"/>
          <w:b w:val="false"/>
          <w:color w:val="000000"/>
          <w:sz w:val="24"/>
          <w:u w:val="single"/>
        </w:rPr>
        <w:t>Developments</w:t>
      </w:r>
      <w:r>
        <w:rPr>
          <w:color w:val="000000"/>
        </w:rPr>
        <w:t xml:space="preserve">” </w:t>
      </w:r>
      <w:r>
        <w:rPr>
          <w:rFonts w:ascii="Times New Roman;serif" w:hAnsi="Times New Roman;serif"/>
          <w:b w:val="false"/>
          <w:color w:val="000000"/>
          <w:sz w:val="24"/>
        </w:rPr>
        <w:t>means any invention, formula, process, development, design, work of authorship, discovery, computer program, innovation or improvement made, conceived or first reduced to practice by Executive, solely or jointly with others, during Executive’s employment with the Employer and that was developed using the equipment, supplies, facilities or trade secret information of the Employer or that related at the time of conception or reduction to practice to: (a) the business of the Employer, or (b) any work performed by Executive for the Employer. “</w:t>
      </w:r>
      <w:r>
        <w:rPr>
          <w:rFonts w:ascii="Times New Roman;serif" w:hAnsi="Times New Roman;serif"/>
          <w:b w:val="false"/>
          <w:color w:val="000000"/>
          <w:sz w:val="24"/>
          <w:u w:val="single"/>
        </w:rPr>
        <w:t>Intellectual Property Rights</w:t>
      </w:r>
      <w:r>
        <w:rPr>
          <w:color w:val="000000"/>
        </w:rPr>
        <w:t xml:space="preserve">” </w:t>
      </w:r>
      <w:r>
        <w:rPr>
          <w:rFonts w:ascii="Times New Roman;serif" w:hAnsi="Times New Roman;serif"/>
          <w:b w:val="false"/>
          <w:color w:val="000000"/>
          <w:sz w:val="24"/>
        </w:rPr>
        <w:t xml:space="preserve">means all patent rights, trademarks, copyrights, trade secret rights, and any other intellectual property or industrial rights in all countries and territories worldwide. Executive acknowledges and agrees that any copyrightable works included in the Developments shall be considered “works made for hire” under the Copyright Act (17 U.S.C. §§ 101 et seq.) and that Employer will be considered the author and owner of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such copyrightable works. To the extent that any copyrightable Development is not recognized as a “work made for hire” as a matter of law, Executive hereby assigns to the Employer all copyrights in such Development.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10. </w:t>
      </w:r>
      <w:r>
        <w:rPr>
          <w:rFonts w:ascii="Times New Roman;serif" w:hAnsi="Times New Roman;serif"/>
          <w:b/>
          <w:color w:val="000000"/>
          <w:sz w:val="24"/>
          <w:u w:val="single"/>
        </w:rPr>
        <w:t>Affiliates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term “</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 xml:space="preserve">as used in Section 13 (Return of Employer Property), Section 7 (Confidential Information), Section 8 (Non-Disparagement), and Section 9 (Intellectual Property), and Section 12 (Executive Secrecy Agreements) shall mean: (a) Tredegar Corporation; and (b) the affiliates of Tredegar Corporation.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11. </w:t>
      </w:r>
      <w:r>
        <w:rPr>
          <w:rFonts w:ascii="Times New Roman;serif" w:hAnsi="Times New Roman;serif"/>
          <w:b/>
          <w:color w:val="000000"/>
          <w:sz w:val="24"/>
          <w:u w:val="single"/>
        </w:rPr>
        <w:t>Reasonableness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agrees that the restrictions in this Agreement are fair, reasonable, and necessary to protect the Employer’s confidential information, trade secrets, goodwill, and legitimate business interests, and will not prevent Executive from earning a living. As such, Executive agrees not to contest the general validity of this Agreement in any forum. If Executive breaches this Agreement, then the Employer will be entitled to injunctive relief and the damages caused by Executive’s breach. In addition, the duration for any restriction shall be tolled during any period during which Executive is in breach of that restriction. If a court of competent jurisdiction determines that any provision of herein is invalid, illegal, or incapable of being enforced, then the Employer and Executive agree that the court shall modify such provision by “blue penciling” or otherwise in order to render such provision not invalid, illegal, or incapable of being enforced and then enforce the provision as modified to the fullest extent permissible.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12.</w:t>
      </w:r>
      <w:r>
        <w:rPr>
          <w:color w:val="000000"/>
        </w:rPr>
        <w:t xml:space="preserve"> </w:t>
      </w:r>
      <w:r>
        <w:rPr>
          <w:rFonts w:ascii="Times New Roman;serif" w:hAnsi="Times New Roman;serif"/>
          <w:b/>
          <w:color w:val="000000"/>
          <w:sz w:val="24"/>
          <w:u w:val="single"/>
        </w:rPr>
        <w:t>Executive Secrecy Agreements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agrees that after his Separation Date, he will remain bound by and will continue to comply with the terms of the confidentiality and non-compete agreement(s) previously executed by Executive. The agreements and acknowledgments in this Section are collectively referred to herein as the “Executive Secrecy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any code, agreement, manual or in any other policies, procedures or agreements of Employer shall prohibit or restrict Executive or his counsel from providing information in connection with: (a) any disclosure of information required by law or legal process; provided Executive has provided advance notice to Employer as further described below; (b) reporting possible violations of federal or state law or regulation to any governmental agency, commission or entity, including, but not limited to, the Department of Justice, the Securities and Exchange Commission, the Department of Labor, the United States Congress, any state Attorney General, self-regulatory organization and/or any agency Inspector General (collectively “Government Agencies”); (c) filing a charge or complaint with Government Agencies; (d) making disclosures that are protected under the whistleblower provisions of federal or state law or regulation (collectively, the “Whistleblower Statutes”); or (e) initiating communications directly with, responding to any inquiry from, volunteering information to, testifying or otherwise participating in or assisting in any inquiry, investigation or proceeding brought by Government Agencies in connection with (b) through (d). Executive is not required to advise or seek permission from Employer before engaging in any activity set forth in (b) through (e). Further, Employer does not in any manner limit Executive’s right to receive an award from Government Agencies for information provided to Government Agencies or pursuant to the Whistleblower Statutes.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permitted by law, Executive agrees to give Employer timely and prompt written notice either personally delivered, sent by reliable overnight courier, telecopied or mailed by first class mail, return receipt requested, to Tredegar Corporation, 1100 Boulders Parkway, Richmond, VA 23225 Attention: General Counsel, Facsimile: (804) 330-1010 of the receipt of any subpoena, court order or other legal process compelling the disclosure of any information and/or documents described so as to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allow Employer a reasonable opportunity to take such action as may be necessary in order to protect such information and/or documents from disclosure.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13. </w:t>
      </w:r>
      <w:r>
        <w:rPr>
          <w:rFonts w:ascii="Times New Roman;serif" w:hAnsi="Times New Roman;serif"/>
          <w:b/>
          <w:color w:val="000000"/>
          <w:sz w:val="24"/>
          <w:u w:val="single"/>
        </w:rPr>
        <w:t>Return of Employer Property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Before the Separation Date, Executive agrees to: (a) diligently search for any Employer property in Executive’s possession (including searching Executive’s personal email accounts, cloud accounts, computers, and other devices); and (b) return to the Employer any and all Employer property in Employer’s possession, custody, or control, without keeping copies in any form. Employer’s property includes, without limitation, all identification, access or building cards or codes, keys, credit cards, equipment (including, but not limited to, computer hardware, mobile phone as well as personal digital assistants (e.g., Droid, iPhone), printer, monitor and the like), computer software, passwords, goods, photographs, recordings and data, as well as any paper or electronic documents, files, or correspondence Executive has sent or received in the course of his employment (including, but not limited to, product specifications, supplier information, customer information, manufacturing conditions and equipment, drawings, blueprints, reproductions, sketches, notes, reports, proposals, or copies of them, company business plans, and pricing information). The one exception to this Section is that Executive may retain copies of documents relating to his own employment terms, conditions, compensation, and benefits. For any Employer issued computer or other electronic devices in Executive’s possession, Executive agrees to return them to Employer without altering or deleting any data or metadata related to Employer’s business, Employer’s clients or business partners, or the services Executive provided for Employer from such devices.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14.</w:t>
      </w:r>
      <w:r>
        <w:rPr>
          <w:color w:val="000000"/>
        </w:rPr>
        <w:t xml:space="preserve"> </w:t>
      </w:r>
      <w:r>
        <w:rPr>
          <w:rFonts w:ascii="Times New Roman;serif" w:hAnsi="Times New Roman;serif"/>
          <w:b/>
          <w:color w:val="000000"/>
          <w:sz w:val="24"/>
          <w:u w:val="single"/>
        </w:rPr>
        <w:t>Executive Acknowledgments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Executive also agrees that he (i) has been paid for all hours worked, including all wages, overtime, bonuses and incentive compensation due to him; (ii) has been paid for any and all other costs and expenses that Executive may have otherwise incurred prior to the Separation Date other than any outstanding travel and business expenses, and for which he otherwise may have been eligible for reimbursement or payment by Employer as an employee; and (iii) has received all leave during his employment as required by applicable law. </w:t>
      </w:r>
      <w:r>
        <w:rPr>
          <w:rFonts w:ascii="Times New Roman;serif" w:hAnsi="Times New Roman;serif"/>
          <w:b/>
          <w:i/>
          <w:color w:val="000000"/>
          <w:sz w:val="24"/>
        </w:rPr>
        <w:t>Executive hereby agrees that to the extent he fails to submit any such outstanding travel and business costs and expenses to the Employer within two (2) weeks following the Separation Date, Executive shall waive his right to any reimbursement of such costs and expenses. Executive shall not be reimbursed for any travel and business costs and expenses incurred after the Separation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15. </w:t>
      </w:r>
      <w:r>
        <w:rPr>
          <w:rFonts w:ascii="Times New Roman;serif" w:hAnsi="Times New Roman;serif"/>
          <w:b/>
          <w:color w:val="000000"/>
          <w:sz w:val="24"/>
          <w:u w:val="single"/>
        </w:rPr>
        <w:t>Non-Admissions</w:t>
      </w:r>
      <w:r>
        <w:rPr>
          <w:rFonts w:ascii="Times New Roman;serif" w:hAnsi="Times New Roman;serif"/>
          <w:b/>
          <w:color w:val="000000"/>
          <w:sz w:val="24"/>
        </w:rPr>
        <w:t xml:space="preserve">. </w:t>
      </w:r>
      <w:r>
        <w:rPr>
          <w:rFonts w:ascii="Times New Roman;serif" w:hAnsi="Times New Roman;serif"/>
          <w:b w:val="false"/>
          <w:color w:val="000000"/>
          <w:sz w:val="24"/>
        </w:rPr>
        <w:t xml:space="preserve">The terms of this Agreement are not an admission of liability or other wrongdoing by Employer, or a declaration against interest on the part of Employer, nor shall this Agreement be construed as evidence of an admission by Employer as to the merits, validity or accuracy of any allegations or claims Executive has made, or may make, as to the events arising up to and including the Separation Date. Neither this Agreement nor anything contained within it shall be admissible in any proceeding as evidence of liability or wrongdoing on the part of Employer, and the same is specifically denied.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16. </w:t>
      </w:r>
      <w:r>
        <w:rPr>
          <w:rFonts w:ascii="Times New Roman;serif" w:hAnsi="Times New Roman;serif"/>
          <w:b/>
          <w:color w:val="000000"/>
          <w:sz w:val="24"/>
          <w:u w:val="single"/>
        </w:rPr>
        <w:t>Continuing Services;</w:t>
      </w:r>
      <w:r>
        <w:rPr>
          <w:color w:val="000000"/>
        </w:rPr>
        <w:t xml:space="preserve"> </w:t>
      </w:r>
      <w:r>
        <w:rPr>
          <w:rFonts w:ascii="Times New Roman;serif" w:hAnsi="Times New Roman;serif"/>
          <w:b/>
          <w:color w:val="000000"/>
          <w:sz w:val="24"/>
          <w:u w:val="single"/>
        </w:rPr>
        <w:t>Cooperation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In consideration of the Separation Benefits payable under this Agreement, Executive agrees to cooperate fully with Employer to the extent Employer has questions concerning Executive’s former responsibilities and functions, and the transition, if any, of those responsibilities and functions within the Employer’s operations (the “Continuing Services”). Such Continuing Services may include, but not be limited to, Executive being available to speak by telephone, meeting in person, answering questions relating to documents, and providing such other information as Employer may deem necessary to affect a smooth transition upon and after the Separation Date.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further agrees to cooperate at the request of Employer in the defense or prosecution of any lawsuits, claims, or audits in which Employer may be or become involved which relate to matters occurring while Executive was employed by Employer and/or concerning events for which Executive has relevant information. Employer agrees to reimburse Executive for any related and reasonable out-of-pocket expenses incurred as a result of any such cooperation, provided Executive obtains prior written authorization from Employer for any expenses incurred and provides Employer with receipts or other documentation substantiating such expenses as Employer may require.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17. </w:t>
      </w:r>
      <w:r>
        <w:rPr>
          <w:rFonts w:ascii="Times New Roman;serif" w:hAnsi="Times New Roman;serif"/>
          <w:b/>
          <w:color w:val="000000"/>
          <w:sz w:val="24"/>
          <w:u w:val="single"/>
        </w:rPr>
        <w:t>Non-Release of Future Claims</w:t>
      </w:r>
      <w:r>
        <w:rPr>
          <w:rFonts w:ascii="Times New Roman;serif" w:hAnsi="Times New Roman;serif"/>
          <w:b w:val="false"/>
          <w:color w:val="000000"/>
          <w:sz w:val="24"/>
        </w:rPr>
        <w:t xml:space="preserve">. This Agreement does not waive or release any rights or claims which arise after the date that Executive signs this Agreement and it becomes effective. The parties agree that Executive’s decision to retire and end his employment has been made prior to the execution of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18. </w:t>
      </w:r>
      <w:r>
        <w:rPr>
          <w:rFonts w:ascii="Times New Roman;serif" w:hAnsi="Times New Roman;serif"/>
          <w:b/>
          <w:color w:val="000000"/>
          <w:sz w:val="24"/>
          <w:u w:val="single"/>
        </w:rPr>
        <w:t>Time to Review Agreement/Attorney Consultation</w:t>
      </w:r>
      <w:r>
        <w:rPr>
          <w:rFonts w:ascii="Times New Roman;serif" w:hAnsi="Times New Roman;serif"/>
          <w:b w:val="false"/>
          <w:color w:val="000000"/>
          <w:sz w:val="24"/>
        </w:rPr>
        <w:t>. Executive acknowledges that he has been given at least twenty-one (21) calendar days to consider this Agreement thoroughly, and that Executive was encouraged by this Agreement to consult with an attorney of his choice before signing this Agreement and Executive acknowledges that he has had sufficient opportunity to consult with an attorney of Executive’s choice before signing this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further understands that he may use as much of this twenty-one (21) day period as Executive needs to review its terms prior to signing. Executive agrees that should Executive sign this Agreement sooner than twenty-one (21) calendar days after receiving it, Executive has done so voluntarily with the intent of waiving the remaining portion of the twenty-one (21) day period.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19. </w:t>
      </w:r>
      <w:r>
        <w:rPr>
          <w:rFonts w:ascii="Times New Roman;serif" w:hAnsi="Times New Roman;serif"/>
          <w:b/>
          <w:color w:val="000000"/>
          <w:sz w:val="24"/>
          <w:u w:val="single"/>
        </w:rPr>
        <w:t>Time to Revoke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After Executive signs this Agreement, he/she will have seven (7) calendar days to revoke it. This Agreement does not become effective or enforceable until after the seven (7) day period has expired. If Executive wants to revoke this Agreement, he/she must deliver a written revocation to </w:t>
      </w:r>
      <w:r>
        <w:rPr>
          <w:rFonts w:ascii="Times New Roman;serif" w:hAnsi="Times New Roman;serif"/>
          <w:b/>
          <w:color w:val="000000"/>
          <w:sz w:val="24"/>
        </w:rPr>
        <w:t>[</w:t>
      </w:r>
      <w:r>
        <w:rPr>
          <w:rFonts w:ascii="Times New Roman;serif" w:hAnsi="Times New Roman;serif"/>
          <w:b w:val="false"/>
          <w:color w:val="000000"/>
          <w:sz w:val="24"/>
        </w:rPr>
        <w:t xml:space="preserve">Name of LOCAL HR MANAGER, COMPANY NAME AND ADDRESS AND EMAIL AND FAX NO. </w:t>
      </w:r>
      <w:r>
        <w:rPr>
          <w:rFonts w:ascii="Times New Roman;serif" w:hAnsi="Times New Roman;serif"/>
          <w:b/>
          <w:color w:val="000000"/>
          <w:sz w:val="24"/>
        </w:rPr>
        <w:t>facsimile no. (___) ____-______</w:t>
      </w:r>
      <w:r>
        <w:rPr>
          <w:rFonts w:ascii="Times New Roman;serif" w:hAnsi="Times New Roman;serif"/>
          <w:b w:val="false"/>
          <w:color w:val="000000"/>
          <w:sz w:val="24"/>
        </w:rPr>
        <w:t>]. If Executive has not revoked the Agreement within seven (7) days, the eighth (8</w:t>
      </w:r>
      <w:r>
        <w:rPr>
          <w:rFonts w:ascii="Times New Roman;serif" w:hAnsi="Times New Roman;serif"/>
          <w:b w:val="false"/>
          <w:color w:val="000000"/>
          <w:sz w:val="16"/>
        </w:rPr>
        <w:t>th</w:t>
      </w:r>
      <w:r>
        <w:rPr>
          <w:rFonts w:ascii="Times New Roman;serif" w:hAnsi="Times New Roman;serif"/>
          <w:b w:val="false"/>
          <w:color w:val="000000"/>
          <w:sz w:val="24"/>
        </w:rPr>
        <w:t>) day after Executive signs this Agreement shall be the “Effective Date” for purposes of this Agreement. Executive further understands that if he/she revokes this Agreement, Executive shall not receive the Separation Benefits.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20. </w:t>
      </w:r>
      <w:r>
        <w:rPr>
          <w:rFonts w:ascii="Times New Roman;serif" w:hAnsi="Times New Roman;serif"/>
          <w:b/>
          <w:color w:val="000000"/>
          <w:sz w:val="24"/>
          <w:u w:val="single"/>
        </w:rPr>
        <w:t>Additional Acknowledgments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Executive further acknowledges and agrees that: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Executive has read, understands and is entering into this Agreement freely and voluntarily, with full knowledge of all material facts after independent investigation, without fraud, duress, or undue influence of any kind or nature whatsoever, and with full knowledge of the significance and consequences of this Agreement and of the rights Executive is giving up;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Executive is receiving money and benefits under this Agreement in addition to what he is otherwise entitled to receive;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Executive has not relied on any representation or statement, written or oral, not set forth in this Agreement; and</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This Agreement supersedes any prior agreements that Executive may have entered into with Employer or its representatives, but explicitly excludes the Executive Secrecy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21. </w:t>
      </w:r>
      <w:r>
        <w:rPr>
          <w:rFonts w:ascii="Times New Roman;serif" w:hAnsi="Times New Roman;serif"/>
          <w:b/>
          <w:color w:val="000000"/>
          <w:sz w:val="24"/>
          <w:u w:val="single"/>
        </w:rPr>
        <w:t>Compliance with Code Section 409A</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is intended to either avoid the application of, or comply with, Section 409A of the Code and its applicable Treasury regulations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To that end, this Agreement must at all times be interpreted in a manner that is consistent with Section 409A. Notwithstanding any other provision in this Agreement to the contrary, the Board of Directors has the right, in their sole discretion, to adopt such amendments to this Agreement or take such other actions (including amendments and actions with retroactive effect) as they determine are minimally necessary for this Agreement to comply with Section 409A. Any payment following a “</w:t>
      </w:r>
      <w:r>
        <w:rPr>
          <w:rFonts w:ascii="Times New Roman;serif" w:hAnsi="Times New Roman;serif"/>
          <w:b w:val="false"/>
          <w:i/>
          <w:color w:val="000000"/>
          <w:sz w:val="24"/>
        </w:rPr>
        <w:t>separation from service</w:t>
      </w:r>
      <w:r>
        <w:rPr>
          <w:color w:val="000000"/>
        </w:rPr>
        <w:t>”</w:t>
      </w:r>
      <w:r>
        <w:rPr>
          <w:rFonts w:ascii="Times New Roman;serif" w:hAnsi="Times New Roman;serif"/>
          <w:b w:val="false"/>
          <w:color w:val="000000"/>
          <w:sz w:val="24"/>
        </w:rPr>
        <w:t>(as defined under Section 409A) that would be subject to Section 409A as a distribution following a separation from service of a “</w:t>
      </w:r>
      <w:r>
        <w:rPr>
          <w:rFonts w:ascii="Times New Roman;serif" w:hAnsi="Times New Roman;serif"/>
          <w:b w:val="false"/>
          <w:i/>
          <w:color w:val="000000"/>
          <w:sz w:val="24"/>
        </w:rPr>
        <w:t>specified employee</w:t>
      </w:r>
      <w:r>
        <w:rPr>
          <w:color w:val="000000"/>
        </w:rPr>
        <w:t xml:space="preserve">” </w:t>
      </w:r>
      <w:r>
        <w:rPr>
          <w:rFonts w:ascii="Times New Roman;serif" w:hAnsi="Times New Roman;serif"/>
          <w:b w:val="false"/>
          <w:color w:val="000000"/>
          <w:sz w:val="24"/>
        </w:rPr>
        <w:t>(as defined under Section 409A) will be made on the first to occur of (i) ten (10) days after the expiration of the six-month period following such separation from service, (ii) death, or (iii) such earlier date that complies with Section 409A. Each payment that a Participant may receive under this Plan will be treated as a “</w:t>
      </w:r>
      <w:r>
        <w:rPr>
          <w:rFonts w:ascii="Times New Roman;serif" w:hAnsi="Times New Roman;serif"/>
          <w:b w:val="false"/>
          <w:i/>
          <w:color w:val="000000"/>
          <w:sz w:val="24"/>
        </w:rPr>
        <w:t>separate payment</w:t>
      </w:r>
      <w:r>
        <w:rPr>
          <w:color w:val="000000"/>
        </w:rPr>
        <w:t xml:space="preserve">” </w:t>
      </w:r>
      <w:r>
        <w:rPr>
          <w:rFonts w:ascii="Times New Roman;serif" w:hAnsi="Times New Roman;serif"/>
          <w:b w:val="false"/>
          <w:color w:val="000000"/>
          <w:sz w:val="24"/>
        </w:rPr>
        <w:t>for purposes of Section 409A. Notwithstanding anything in this Agreement to the contrary, to the extent that any payments or benefits hereunder are contingent upon Executive signing the General Release, and the period Executive is given to consider the General Release spans two calendar years, then in no event will any such payments or benefits commence to be paid or be paid earlier than the first day of the second calendar year in such period. To the extent applicable, any amounts held back in the first calendar year pursuant to this provision will be paid to Executive on the same date that payments or benefits otherwise commence to be paid or are paid in the second calendar year. Notwithstanding anything in this Agreement to the contrary, to the extent an expense, reimbursement or in-kind benefit provided to Executive pursuant to this Agreement or otherwise constitutes a “</w:t>
      </w:r>
      <w:r>
        <w:rPr>
          <w:rFonts w:ascii="Times New Roman;serif" w:hAnsi="Times New Roman;serif"/>
          <w:b w:val="false"/>
          <w:i/>
          <w:color w:val="000000"/>
          <w:sz w:val="24"/>
        </w:rPr>
        <w:t>deferral of compensation</w:t>
      </w:r>
      <w:r>
        <w:rPr>
          <w:color w:val="000000"/>
        </w:rPr>
        <w:t xml:space="preserve">” </w:t>
      </w:r>
      <w:r>
        <w:rPr>
          <w:rFonts w:ascii="Times New Roman;serif" w:hAnsi="Times New Roman;serif"/>
          <w:b w:val="false"/>
          <w:color w:val="000000"/>
          <w:sz w:val="24"/>
        </w:rPr>
        <w:t>within the meaning of Section 409A: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22. </w:t>
      </w:r>
      <w:r>
        <w:rPr>
          <w:rFonts w:ascii="Times New Roman;serif" w:hAnsi="Times New Roman;serif"/>
          <w:b/>
          <w:color w:val="000000"/>
          <w:sz w:val="24"/>
          <w:u w:val="single"/>
        </w:rPr>
        <w:t>Headings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headings in this Agreement are for the convenience of Executive and Employer only and shall not limit, expand, modify, amplify, or aid in the interpretation or construction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23. </w:t>
      </w:r>
      <w:r>
        <w:rPr>
          <w:rFonts w:ascii="Times New Roman;serif" w:hAnsi="Times New Roman;serif"/>
          <w:b/>
          <w:color w:val="000000"/>
          <w:sz w:val="24"/>
          <w:u w:val="single"/>
        </w:rPr>
        <w:t>Applicable Law, Entire Agreement and Severability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parties agree that this Agreement shall be construed in accordance with the laws, including the law of conflicts, of the Commonwealth of Virginia. Furthermore, this Agreement constitutes the complete understanding between Executive and Employer. No provision of this Agreement may be amended or modified unless such amendment or modification is agreed to in writing and signed by the Executive and by an authorized officer of the Employer. To the extent a court of competent jurisdiction holds that any portion of this Agreement is invalid or legally unenforceable, the parties agree that the remaining portions shall not be affected and shall be given full force and effect; provided, however, that if any part of the releases in the Agreement are found to be invalid, Executive shall not be entitled to any consideration under the Agreement, and Executive must return all monies identified in Section 1 of this Agreement within thirty (30) days of the date it has been judged invalid.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24. </w:t>
      </w:r>
      <w:r>
        <w:rPr>
          <w:rFonts w:ascii="Times New Roman;serif" w:hAnsi="Times New Roman;serif"/>
          <w:b/>
          <w:color w:val="000000"/>
          <w:sz w:val="24"/>
          <w:u w:val="single"/>
        </w:rPr>
        <w:t>Counterparts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The parties may execute this Agreement in counterparts, each of which shall be deemed an original, and all of which taken together shall constitute one and the same instrument.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000000"/>
          <w:sz w:val="24"/>
        </w:rPr>
        <w:t>EXECUTIVE ACKNOWLEDGES THAT HE HAS READ THIS AGREEMENT, UNDERSTANDS IT, AND IS VOLUNTARILY ENTERING INTO IT.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TREDEGAR CORPORATION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____________________________         By: _______________________________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Name: ______________________________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 _______________                     DATE: _____________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Arijit (Bapi) DasGupta, certify that: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Tredegar Corporation;</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4205" w:type="dxa"/>
        <w:jc w:val="left"/>
        <w:tblInd w:w="0" w:type="dxa"/>
        <w:tblLayout w:type="fixed"/>
        <w:tblCellMar>
          <w:top w:w="28" w:type="dxa"/>
          <w:left w:w="28" w:type="dxa"/>
          <w:bottom w:w="28" w:type="dxa"/>
          <w:right w:w="28" w:type="dxa"/>
        </w:tblCellMar>
      </w:tblPr>
      <w:tblGrid>
        <w:gridCol w:w="124"/>
        <w:gridCol w:w="109"/>
        <w:gridCol w:w="109"/>
        <w:gridCol w:w="1053"/>
        <w:gridCol w:w="1053"/>
        <w:gridCol w:w="105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Arijit (Bapi) DasGupta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Arijit (Bapi) DasGupta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Frasier W. Brickhouse, II, certify that: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Tredegar Corporation;</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5406" w:type="dxa"/>
        <w:jc w:val="left"/>
        <w:tblInd w:w="0" w:type="dxa"/>
        <w:tblLayout w:type="fixed"/>
        <w:tblCellMar>
          <w:top w:w="28" w:type="dxa"/>
          <w:left w:w="28" w:type="dxa"/>
          <w:bottom w:w="28" w:type="dxa"/>
          <w:right w:w="28" w:type="dxa"/>
        </w:tblCellMar>
      </w:tblPr>
      <w:tblGrid>
        <w:gridCol w:w="124"/>
        <w:gridCol w:w="109"/>
        <w:gridCol w:w="109"/>
        <w:gridCol w:w="1454"/>
        <w:gridCol w:w="1454"/>
        <w:gridCol w:w="145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Frasier W. Brickhouse,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Frasier W. Brickhouse,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Tredegar Corporation (the “Company”) for the quarter ended June 30, 2026 as filed with the Securities and Exchange Commission on the date hereof (the “Report”), I, Arijit (Bapi) DasGupta, President and Chief Executive Officer of the Company, certify, pursuant to 18 U.S.C. § 1350, as adopted pursuant to § 906 of the Sarbanes-Oxley Act of 2002, that: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3878" w:type="dxa"/>
        <w:jc w:val="left"/>
        <w:tblInd w:w="0" w:type="dxa"/>
        <w:tblLayout w:type="fixed"/>
        <w:tblCellMar>
          <w:top w:w="28" w:type="dxa"/>
          <w:left w:w="28" w:type="dxa"/>
          <w:bottom w:w="28" w:type="dxa"/>
          <w:right w:w="28" w:type="dxa"/>
        </w:tblCellMar>
      </w:tblPr>
      <w:tblGrid>
        <w:gridCol w:w="1149"/>
        <w:gridCol w:w="1012"/>
        <w:gridCol w:w="1018"/>
        <w:gridCol w:w="109"/>
        <w:gridCol w:w="109"/>
        <w:gridCol w:w="109"/>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Arijit (Bapi) DasGupta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Arijit (Bapi) DasGupta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Tredegar Corporation (the “Company”) for the quarter ended June 30, 2026 as filed with the Securities and Exchange Commission on the date hereof (the “Report”), I, Frasier W. Brickhouse, II, Vice President, Chief Financial Officer and Treasurer of the Company, certify, pursuant to 18 U.S.C. § 1350, as adopted pursuant to § 906 of the Sarbanes-Oxley Act of 2002, that: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078" w:type="dxa"/>
        <w:jc w:val="left"/>
        <w:tblInd w:w="0" w:type="dxa"/>
        <w:tblLayout w:type="fixed"/>
        <w:tblCellMar>
          <w:top w:w="28" w:type="dxa"/>
          <w:left w:w="28" w:type="dxa"/>
          <w:bottom w:w="28" w:type="dxa"/>
          <w:right w:w="28" w:type="dxa"/>
        </w:tblCellMar>
      </w:tblPr>
      <w:tblGrid>
        <w:gridCol w:w="1586"/>
        <w:gridCol w:w="1395"/>
        <w:gridCol w:w="1398"/>
        <w:gridCol w:w="109"/>
        <w:gridCol w:w="109"/>
        <w:gridCol w:w="109"/>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Frasier W. Brickhouse,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Frasier W. Brickhouse,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34711</Words>
  <Characters>192594</Characters>
  <CharactersWithSpaces>225777</CharactersWithSpaces>
  <Paragraphs>3201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