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2379980</wp:posOffset>
            </wp:positionH>
            <wp:positionV relativeFrom="paragraph">
              <wp:posOffset>46990</wp:posOffset>
            </wp:positionV>
            <wp:extent cx="239014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0140" cy="762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2379980</wp:posOffset>
            </wp:positionH>
            <wp:positionV relativeFrom="paragraph">
              <wp:posOffset>64135</wp:posOffset>
            </wp:positionV>
            <wp:extent cx="239014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90140" cy="7620"/>
                    </a:xfrm>
                    <a:prstGeom prst="rect">
                      <a:avLst/>
                    </a:prstGeom>
                    <a:noFill/>
                  </pic:spPr>
                </pic:pic>
              </a:graphicData>
            </a:graphic>
          </wp:anchor>
        </w:drawing>
      </w:r>
    </w:p>
    <w:p>
      <w:pPr>
        <w:spacing w:after="0" w:line="35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37" w:lineRule="exact"/>
        <w:rPr>
          <w:sz w:val="24"/>
          <w:szCs w:val="24"/>
          <w:color w:val="auto"/>
        </w:rPr>
      </w:pPr>
    </w:p>
    <w:p>
      <w:pPr>
        <w:ind w:left="660" w:hanging="386"/>
        <w:spacing w:after="0"/>
        <w:tabs>
          <w:tab w:leader="none" w:pos="66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37" w:lineRule="exact"/>
        <w:rPr>
          <w:sz w:val="24"/>
          <w:szCs w:val="24"/>
          <w:color w:val="auto"/>
        </w:rPr>
      </w:pPr>
    </w:p>
    <w:p>
      <w:pPr>
        <w:ind w:left="660" w:hanging="422"/>
        <w:spacing w:after="0"/>
        <w:tabs>
          <w:tab w:leader="none" w:pos="66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00" w:lineRule="exact"/>
        <w:rPr>
          <w:sz w:val="24"/>
          <w:szCs w:val="24"/>
          <w:color w:val="auto"/>
        </w:rPr>
      </w:pPr>
    </w:p>
    <w:p>
      <w:pPr>
        <w:ind w:left="366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3665220</wp:posOffset>
            </wp:positionH>
            <wp:positionV relativeFrom="paragraph">
              <wp:posOffset>-6350</wp:posOffset>
            </wp:positionV>
            <wp:extent cx="11569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6970" cy="7620"/>
                    </a:xfrm>
                    <a:prstGeom prst="rect">
                      <a:avLst/>
                    </a:prstGeom>
                    <a:noFill/>
                  </pic:spPr>
                </pic:pic>
              </a:graphicData>
            </a:graphic>
          </wp:anchor>
        </w:drawing>
      </w:r>
    </w:p>
    <w:p>
      <w:pPr>
        <w:spacing w:after="0" w:line="8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6"/>
          <w:szCs w:val="16"/>
          <w:b w:val="1"/>
          <w:bCs w:val="1"/>
          <w:u w:val="single" w:color="auto"/>
          <w:color w:val="auto"/>
        </w:rPr>
        <w:t>1-10258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2379980</wp:posOffset>
            </wp:positionH>
            <wp:positionV relativeFrom="paragraph">
              <wp:posOffset>62230</wp:posOffset>
            </wp:positionV>
            <wp:extent cx="239014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90140" cy="7620"/>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Tredegar Corporation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2379980</wp:posOffset>
            </wp:positionH>
            <wp:positionV relativeFrom="paragraph">
              <wp:posOffset>50800</wp:posOffset>
            </wp:positionV>
            <wp:extent cx="239014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90140" cy="762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p>
      <w:pPr>
        <w:spacing w:after="0" w:line="377" w:lineRule="exact"/>
        <w:rPr>
          <w:sz w:val="24"/>
          <w:szCs w:val="24"/>
          <w:color w:val="auto"/>
        </w:rPr>
      </w:pPr>
    </w:p>
    <w:p>
      <w:pPr>
        <w:ind w:left="2440"/>
        <w:spacing w:after="0"/>
        <w:rPr>
          <w:sz w:val="20"/>
          <w:szCs w:val="20"/>
          <w:color w:val="auto"/>
        </w:rPr>
      </w:pPr>
      <w:r>
        <w:rPr>
          <w:rFonts w:ascii="Arial" w:cs="Arial" w:eastAsia="Arial" w:hAnsi="Arial"/>
          <w:sz w:val="15"/>
          <w:szCs w:val="15"/>
          <w:b w:val="1"/>
          <w:bCs w:val="1"/>
          <w:color w:val="auto"/>
        </w:rPr>
        <w:t>Virginia</w:t>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54-1497771</w:t>
      </w:r>
    </w:p>
    <w:p>
      <w:pPr>
        <w:spacing w:after="0" w:line="37" w:lineRule="exact"/>
        <w:rPr>
          <w:sz w:val="24"/>
          <w:szCs w:val="24"/>
          <w:color w:val="auto"/>
        </w:rPr>
      </w:pPr>
    </w:p>
    <w:p>
      <w:pPr>
        <w:sectPr>
          <w:pgSz w:w="11900" w:h="16838" w:orient="portrait"/>
          <w:cols w:equalWidth="0" w:num="2">
            <w:col w:w="7400" w:space="720"/>
            <w:col w:w="3120"/>
          </w:cols>
          <w:pgMar w:left="320" w:top="706" w:right="339" w:bottom="1440" w:gutter="0" w:footer="0" w:header="0"/>
          <w:type w:val="continuous"/>
        </w:sectPr>
      </w:pPr>
    </w:p>
    <w:p>
      <w:pPr>
        <w:spacing w:after="0" w:line="11" w:lineRule="exact"/>
        <w:rPr>
          <w:sz w:val="24"/>
          <w:szCs w:val="24"/>
          <w:color w:val="auto"/>
        </w:rPr>
      </w:pPr>
    </w:p>
    <w:p>
      <w:pPr>
        <w:ind w:left="1900"/>
        <w:spacing w:after="0"/>
        <w:rPr>
          <w:sz w:val="20"/>
          <w:szCs w:val="20"/>
          <w:color w:val="auto"/>
        </w:rPr>
      </w:pPr>
      <w:r>
        <w:rPr>
          <w:rFonts w:ascii="Arial" w:cs="Arial" w:eastAsia="Arial" w:hAnsi="Arial"/>
          <w:sz w:val="11"/>
          <w:szCs w:val="11"/>
          <w:b w:val="1"/>
          <w:bCs w:val="1"/>
          <w:color w:val="auto"/>
        </w:rPr>
        <w:t>(State or Other Jurisdiction of</w:t>
      </w:r>
    </w:p>
    <w:p>
      <w:pPr>
        <w:ind w:left="186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2"/>
          <w:szCs w:val="12"/>
          <w:b w:val="1"/>
          <w:bCs w:val="1"/>
          <w:color w:val="auto"/>
        </w:rPr>
        <w:t>Identification No.)</w:t>
      </w:r>
    </w:p>
    <w:p>
      <w:pPr>
        <w:spacing w:after="0" w:line="129" w:lineRule="exact"/>
        <w:rPr>
          <w:sz w:val="24"/>
          <w:szCs w:val="24"/>
          <w:color w:val="auto"/>
        </w:rPr>
      </w:pPr>
    </w:p>
    <w:p>
      <w:pPr>
        <w:sectPr>
          <w:pgSz w:w="11900" w:h="16838" w:orient="portrait"/>
          <w:cols w:equalWidth="0" w:num="2">
            <w:col w:w="7280" w:space="720"/>
            <w:col w:w="3240"/>
          </w:cols>
          <w:pgMar w:left="320" w:top="706" w:right="339" w:bottom="1440" w:gutter="0" w:footer="0" w:header="0"/>
          <w:type w:val="continuous"/>
        </w:sectPr>
      </w:pPr>
    </w:p>
    <w:p>
      <w:pPr>
        <w:ind w:left="2620"/>
        <w:spacing w:after="0"/>
        <w:rPr>
          <w:sz w:val="20"/>
          <w:szCs w:val="20"/>
          <w:color w:val="auto"/>
        </w:rPr>
      </w:pPr>
      <w:r>
        <w:rPr>
          <w:rFonts w:ascii="Arial" w:cs="Arial" w:eastAsia="Arial" w:hAnsi="Arial"/>
          <w:sz w:val="14"/>
          <w:szCs w:val="14"/>
          <w:b w:val="1"/>
          <w:bCs w:val="1"/>
          <w:color w:val="auto"/>
        </w:rPr>
        <w:t>1100 Boulders Parkway</w:t>
      </w:r>
    </w:p>
    <w:p>
      <w:pPr>
        <w:spacing w:after="0" w:line="48" w:lineRule="exact"/>
        <w:rPr>
          <w:sz w:val="24"/>
          <w:szCs w:val="24"/>
          <w:color w:val="auto"/>
        </w:rPr>
      </w:pPr>
    </w:p>
    <w:p>
      <w:pPr>
        <w:ind w:left="2660"/>
        <w:spacing w:after="0"/>
        <w:rPr>
          <w:sz w:val="20"/>
          <w:szCs w:val="20"/>
          <w:color w:val="auto"/>
        </w:rPr>
      </w:pPr>
      <w:r>
        <w:rPr>
          <w:rFonts w:ascii="Arial" w:cs="Arial" w:eastAsia="Arial" w:hAnsi="Arial"/>
          <w:sz w:val="16"/>
          <w:szCs w:val="16"/>
          <w:b w:val="1"/>
          <w:bCs w:val="1"/>
          <w:color w:val="auto"/>
        </w:rPr>
        <w:t>Richmond, Virginia</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23225</w:t>
      </w:r>
    </w:p>
    <w:p>
      <w:pPr>
        <w:spacing w:after="0" w:line="36" w:lineRule="exact"/>
        <w:rPr>
          <w:sz w:val="24"/>
          <w:szCs w:val="24"/>
          <w:color w:val="auto"/>
        </w:rPr>
      </w:pPr>
    </w:p>
    <w:p>
      <w:pPr>
        <w:sectPr>
          <w:pgSz w:w="11900" w:h="16838" w:orient="portrait"/>
          <w:cols w:equalWidth="0" w:num="2">
            <w:col w:w="8240" w:space="720"/>
            <w:col w:w="2280"/>
          </w:cols>
          <w:pgMar w:left="320" w:top="706" w:right="339" w:bottom="1440" w:gutter="0" w:footer="0" w:header="0"/>
          <w:type w:val="continuous"/>
        </w:sectPr>
      </w:pPr>
    </w:p>
    <w:p>
      <w:pPr>
        <w:ind w:left="23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200" w:lineRule="exact"/>
        <w:rPr>
          <w:sz w:val="24"/>
          <w:szCs w:val="24"/>
          <w:color w:val="auto"/>
        </w:rPr>
      </w:pPr>
    </w:p>
    <w:p>
      <w:pPr>
        <w:sectPr>
          <w:pgSz w:w="11900" w:h="16838" w:orient="portrait"/>
          <w:cols w:equalWidth="0" w:num="2">
            <w:col w:w="8160" w:space="720"/>
            <w:col w:w="2360"/>
          </w:cols>
          <w:pgMar w:left="320" w:top="706"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 xml:space="preserve">Registrant’s Telephone Number, Including Area Code: </w:t>
      </w:r>
      <w:r>
        <w:rPr>
          <w:rFonts w:ascii="Arial" w:cs="Arial" w:eastAsia="Arial" w:hAnsi="Arial"/>
          <w:sz w:val="16"/>
          <w:szCs w:val="16"/>
          <w:b w:val="1"/>
          <w:bCs w:val="1"/>
          <w:u w:val="single" w:color="auto"/>
          <w:color w:val="auto"/>
        </w:rPr>
        <w:t>(804) 330-1000</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5" w:lineRule="exact"/>
        <w:rPr>
          <w:sz w:val="24"/>
          <w:szCs w:val="24"/>
          <w:color w:val="auto"/>
        </w:rPr>
      </w:pPr>
    </w:p>
    <w:tbl>
      <w:tblPr>
        <w:tblLayout w:type="fixed"/>
        <w:tblInd w:w="1700" w:type="dxa"/>
        <w:tblCellMar>
          <w:top w:w="0" w:type="dxa"/>
          <w:left w:w="0" w:type="dxa"/>
          <w:bottom w:w="0" w:type="dxa"/>
          <w:right w:w="0" w:type="dxa"/>
        </w:tblCellMar>
      </w:tblPr>
      <w:tr>
        <w:trPr>
          <w:trHeight w:val="205"/>
        </w:trPr>
        <w:tc>
          <w:tcPr>
            <w:tcW w:w="2920" w:type="dxa"/>
            <w:vAlign w:val="bottom"/>
            <w:tcBorders>
              <w:bottom w:val="single" w:sz="8" w:color="auto"/>
            </w:tcBorders>
          </w:tcPr>
          <w:p>
            <w:pPr>
              <w:jc w:val="center"/>
              <w:ind w:left="240"/>
              <w:spacing w:after="0"/>
              <w:rPr>
                <w:sz w:val="20"/>
                <w:szCs w:val="20"/>
                <w:color w:val="auto"/>
              </w:rPr>
            </w:pPr>
            <w:r>
              <w:rPr>
                <w:rFonts w:ascii="Arial" w:cs="Arial" w:eastAsia="Arial" w:hAnsi="Arial"/>
                <w:sz w:val="16"/>
                <w:szCs w:val="16"/>
                <w:color w:val="auto"/>
                <w:w w:val="90"/>
              </w:rPr>
              <w:t>Title of each class</w:t>
            </w:r>
          </w:p>
        </w:tc>
        <w:tc>
          <w:tcPr>
            <w:tcW w:w="1740" w:type="dxa"/>
            <w:vAlign w:val="bottom"/>
            <w:tcBorders>
              <w:bottom w:val="single" w:sz="8" w:color="auto"/>
            </w:tcBorders>
          </w:tcPr>
          <w:p>
            <w:pPr>
              <w:jc w:val="center"/>
              <w:ind w:left="160"/>
              <w:spacing w:after="0"/>
              <w:rPr>
                <w:sz w:val="20"/>
                <w:szCs w:val="20"/>
                <w:color w:val="auto"/>
              </w:rPr>
            </w:pPr>
            <w:r>
              <w:rPr>
                <w:rFonts w:ascii="Arial" w:cs="Arial" w:eastAsia="Arial" w:hAnsi="Arial"/>
                <w:sz w:val="16"/>
                <w:szCs w:val="16"/>
                <w:color w:val="auto"/>
                <w:w w:val="93"/>
              </w:rPr>
              <w:t>Trading Symbol(s)</w:t>
            </w: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Name of each exchange on which registered</w:t>
            </w:r>
          </w:p>
        </w:tc>
      </w:tr>
      <w:tr>
        <w:trPr>
          <w:trHeight w:val="197"/>
        </w:trPr>
        <w:tc>
          <w:tcPr>
            <w:tcW w:w="2920" w:type="dxa"/>
            <w:vAlign w:val="bottom"/>
            <w:tcBorders>
              <w:bottom w:val="single" w:sz="8" w:color="auto"/>
            </w:tcBorders>
          </w:tcPr>
          <w:p>
            <w:pPr>
              <w:jc w:val="center"/>
              <w:ind w:left="220"/>
              <w:spacing w:after="0"/>
              <w:rPr>
                <w:sz w:val="20"/>
                <w:szCs w:val="20"/>
                <w:color w:val="auto"/>
              </w:rPr>
            </w:pPr>
            <w:r>
              <w:rPr>
                <w:rFonts w:ascii="Arial" w:cs="Arial" w:eastAsia="Arial" w:hAnsi="Arial"/>
                <w:sz w:val="16"/>
                <w:szCs w:val="16"/>
                <w:color w:val="auto"/>
                <w:w w:val="91"/>
              </w:rPr>
              <w:t>Common stock, no par value</w:t>
            </w:r>
          </w:p>
        </w:tc>
        <w:tc>
          <w:tcPr>
            <w:tcW w:w="1740" w:type="dxa"/>
            <w:vAlign w:val="bottom"/>
            <w:tcBorders>
              <w:bottom w:val="single" w:sz="8" w:color="auto"/>
            </w:tcBorders>
          </w:tcPr>
          <w:p>
            <w:pPr>
              <w:jc w:val="center"/>
              <w:ind w:left="160"/>
              <w:spacing w:after="0"/>
              <w:rPr>
                <w:sz w:val="20"/>
                <w:szCs w:val="20"/>
                <w:color w:val="auto"/>
              </w:rPr>
            </w:pPr>
            <w:r>
              <w:rPr>
                <w:rFonts w:ascii="Arial" w:cs="Arial" w:eastAsia="Arial" w:hAnsi="Arial"/>
                <w:sz w:val="16"/>
                <w:szCs w:val="16"/>
                <w:color w:val="auto"/>
                <w:w w:val="98"/>
              </w:rPr>
              <w:t>TG</w:t>
            </w: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New York Stock Exchange</w:t>
            </w:r>
          </w:p>
        </w:tc>
      </w:tr>
    </w:tbl>
    <w:p>
      <w:pPr>
        <w:spacing w:after="0" w:line="354" w:lineRule="exact"/>
        <w:rPr>
          <w:sz w:val="24"/>
          <w:szCs w:val="24"/>
          <w:color w:val="auto"/>
        </w:rPr>
      </w:pPr>
    </w:p>
    <w:p>
      <w:pPr>
        <w:ind w:firstLine="362"/>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67" w:lineRule="exact"/>
        <w:rPr>
          <w:sz w:val="24"/>
          <w:szCs w:val="24"/>
          <w:color w:val="auto"/>
        </w:rPr>
      </w:pPr>
    </w:p>
    <w:p>
      <w:pPr>
        <w:ind w:right="220" w:firstLine="398"/>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67" w:lineRule="exact"/>
        <w:rPr>
          <w:sz w:val="24"/>
          <w:szCs w:val="24"/>
          <w:color w:val="auto"/>
        </w:rPr>
      </w:pPr>
    </w:p>
    <w:p>
      <w:pPr>
        <w:ind w:right="200" w:firstLine="398"/>
        <w:spacing w:after="0" w:line="26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06" w:right="339" w:bottom="1440" w:gutter="0" w:footer="0" w:header="0"/>
          <w:type w:val="continuous"/>
        </w:sectPr>
      </w:pPr>
    </w:p>
    <w:p>
      <w:pPr>
        <w:spacing w:after="0" w:line="22" w:lineRule="exact"/>
        <w:rPr>
          <w:sz w:val="24"/>
          <w:szCs w:val="24"/>
          <w:color w:val="auto"/>
        </w:rPr>
      </w:pPr>
    </w:p>
    <w:p>
      <w:pPr>
        <w:ind w:left="42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x</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16" w:lineRule="exact"/>
        <w:rPr>
          <w:sz w:val="24"/>
          <w:szCs w:val="24"/>
          <w:color w:val="auto"/>
        </w:rPr>
      </w:pPr>
    </w:p>
    <w:p>
      <w:pPr>
        <w:sectPr>
          <w:pgSz w:w="11900" w:h="16838" w:orient="portrait"/>
          <w:cols w:equalWidth="0" w:num="6">
            <w:col w:w="1920" w:space="720"/>
            <w:col w:w="2040" w:space="720"/>
            <w:col w:w="1260" w:space="720"/>
            <w:col w:w="80" w:space="420"/>
            <w:col w:w="1980" w:space="720"/>
            <w:col w:w="660"/>
          </w:cols>
          <w:pgMar w:left="320" w:top="706" w:right="339" w:bottom="1440" w:gutter="0" w:footer="0" w:header="0"/>
          <w:type w:val="continuous"/>
        </w:sectPr>
      </w:pPr>
    </w:p>
    <w:p>
      <w:pPr>
        <w:spacing w:after="0" w:line="27" w:lineRule="exact"/>
        <w:rPr>
          <w:sz w:val="24"/>
          <w:szCs w:val="24"/>
          <w:color w:val="auto"/>
        </w:rPr>
      </w:pPr>
    </w:p>
    <w:p>
      <w:pPr>
        <w:ind w:left="42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20" w:lineRule="exact"/>
        <w:rPr>
          <w:sz w:val="24"/>
          <w:szCs w:val="24"/>
          <w:color w:val="auto"/>
        </w:rPr>
      </w:pPr>
    </w:p>
    <w:p>
      <w:pPr>
        <w:sectPr>
          <w:pgSz w:w="11900" w:h="16838" w:orient="portrait"/>
          <w:cols w:equalWidth="0" w:num="4">
            <w:col w:w="1920" w:space="720"/>
            <w:col w:w="4520" w:space="720"/>
            <w:col w:w="1980" w:space="720"/>
            <w:col w:w="660"/>
          </w:cols>
          <w:pgMar w:left="320" w:top="706" w:right="339" w:bottom="1440" w:gutter="0" w:footer="0" w:header="0"/>
          <w:type w:val="continuous"/>
        </w:sectPr>
      </w:pPr>
    </w:p>
    <w:p>
      <w:pPr>
        <w:ind w:right="160" w:firstLine="362"/>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9" w:lineRule="exact"/>
        <w:rPr>
          <w:sz w:val="24"/>
          <w:szCs w:val="24"/>
          <w:color w:val="auto"/>
        </w:rPr>
      </w:pPr>
    </w:p>
    <w:p>
      <w:pPr>
        <w:ind w:left="400" w:right="3240"/>
        <w:spacing w:after="0" w:line="262"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 The number of shares of Common Stock, no par value, outstanding as of October 29, 2021: 33,742,316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382270</wp:posOffset>
            </wp:positionV>
            <wp:extent cx="717232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PART I - FINANCIAL INFORMATION</w:t>
      </w:r>
    </w:p>
    <w:p>
      <w:pPr>
        <w:spacing w:after="0" w:line="226"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4"/>
          <w:szCs w:val="14"/>
          <w:b w:val="1"/>
          <w:bCs w:val="1"/>
          <w:color w:val="auto"/>
        </w:rPr>
        <w:t>Financial Statements.</w:t>
      </w:r>
    </w:p>
    <w:p>
      <w:pPr>
        <w:spacing w:after="0" w:line="25"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Tredegar Corporation</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(In Thousands, Except Share Data)</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(Unaudited)</w:t>
      </w:r>
    </w:p>
    <w:p>
      <w:pPr>
        <w:spacing w:after="0" w:line="13"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82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w w:val="87"/>
              </w:rPr>
              <w:t>September 30,</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w w:val="91"/>
              </w:rPr>
              <w:t>December 31,</w:t>
            </w:r>
          </w:p>
        </w:tc>
        <w:tc>
          <w:tcPr>
            <w:tcW w:w="0" w:type="dxa"/>
            <w:vAlign w:val="bottom"/>
          </w:tcPr>
          <w:p>
            <w:pPr>
              <w:spacing w:after="0"/>
              <w:rPr>
                <w:sz w:val="1"/>
                <w:szCs w:val="1"/>
                <w:color w:val="auto"/>
              </w:rPr>
            </w:pPr>
          </w:p>
        </w:tc>
      </w:tr>
      <w:tr>
        <w:trPr>
          <w:trHeight w:val="205"/>
        </w:trPr>
        <w:tc>
          <w:tcPr>
            <w:tcW w:w="82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2021</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7"/>
        </w:trPr>
        <w:tc>
          <w:tcPr>
            <w:tcW w:w="8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80" w:type="dxa"/>
            <w:vAlign w:val="bottom"/>
          </w:tcPr>
          <w:p>
            <w:pPr>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30,253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11,846</w:t>
            </w:r>
          </w:p>
        </w:tc>
        <w:tc>
          <w:tcPr>
            <w:tcW w:w="0" w:type="dxa"/>
            <w:vAlign w:val="bottom"/>
          </w:tcPr>
          <w:p>
            <w:pPr>
              <w:spacing w:after="0"/>
              <w:rPr>
                <w:sz w:val="1"/>
                <w:szCs w:val="1"/>
                <w:color w:val="auto"/>
              </w:rPr>
            </w:pPr>
          </w:p>
        </w:tc>
      </w:tr>
      <w:tr>
        <w:trPr>
          <w:trHeight w:val="205"/>
        </w:trPr>
        <w:tc>
          <w:tcPr>
            <w:tcW w:w="8280" w:type="dxa"/>
            <w:vAlign w:val="bottom"/>
          </w:tcPr>
          <w:p>
            <w:pPr>
              <w:ind w:left="300"/>
              <w:spacing w:after="0"/>
              <w:rPr>
                <w:sz w:val="20"/>
                <w:szCs w:val="20"/>
                <w:color w:val="auto"/>
              </w:rPr>
            </w:pPr>
            <w:r>
              <w:rPr>
                <w:rFonts w:ascii="Arial" w:cs="Arial" w:eastAsia="Arial" w:hAnsi="Arial"/>
                <w:sz w:val="16"/>
                <w:szCs w:val="16"/>
                <w:color w:val="auto"/>
              </w:rPr>
              <w:t>Accounts and other receivables, net</w:t>
            </w:r>
          </w:p>
        </w:tc>
        <w:tc>
          <w:tcPr>
            <w:tcW w:w="34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97,185</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86,327</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Income taxes recoverable</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2,013</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2,807</w:t>
            </w:r>
          </w:p>
        </w:tc>
        <w:tc>
          <w:tcPr>
            <w:tcW w:w="0" w:type="dxa"/>
            <w:vAlign w:val="bottom"/>
          </w:tcPr>
          <w:p>
            <w:pPr>
              <w:spacing w:after="0"/>
              <w:rPr>
                <w:sz w:val="1"/>
                <w:szCs w:val="1"/>
                <w:color w:val="auto"/>
              </w:rPr>
            </w:pPr>
          </w:p>
        </w:tc>
      </w:tr>
      <w:tr>
        <w:trPr>
          <w:trHeight w:val="205"/>
        </w:trPr>
        <w:tc>
          <w:tcPr>
            <w:tcW w:w="8280" w:type="dxa"/>
            <w:vAlign w:val="bottom"/>
          </w:tcPr>
          <w:p>
            <w:pPr>
              <w:ind w:left="30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85,686</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66,437</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Prepaid expenses and other</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13,502</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19,679</w:t>
            </w:r>
          </w:p>
        </w:tc>
        <w:tc>
          <w:tcPr>
            <w:tcW w:w="0" w:type="dxa"/>
            <w:vAlign w:val="bottom"/>
          </w:tcPr>
          <w:p>
            <w:pPr>
              <w:spacing w:after="0"/>
              <w:rPr>
                <w:sz w:val="1"/>
                <w:szCs w:val="1"/>
                <w:color w:val="auto"/>
              </w:rPr>
            </w:pPr>
          </w:p>
        </w:tc>
      </w:tr>
      <w:tr>
        <w:trPr>
          <w:trHeight w:val="205"/>
        </w:trPr>
        <w:tc>
          <w:tcPr>
            <w:tcW w:w="82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Current assets of discontinued operations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151</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w:t>
            </w:r>
          </w:p>
        </w:tc>
        <w:tc>
          <w:tcPr>
            <w:tcW w:w="0" w:type="dxa"/>
            <w:vAlign w:val="bottom"/>
          </w:tcPr>
          <w:p>
            <w:pPr>
              <w:spacing w:after="0"/>
              <w:rPr>
                <w:sz w:val="1"/>
                <w:szCs w:val="1"/>
                <w:color w:val="auto"/>
              </w:rPr>
            </w:pPr>
          </w:p>
        </w:tc>
      </w:tr>
      <w:tr>
        <w:trPr>
          <w:trHeight w:val="197"/>
        </w:trPr>
        <w:tc>
          <w:tcPr>
            <w:tcW w:w="8280" w:type="dxa"/>
            <w:vAlign w:val="bottom"/>
            <w:shd w:val="clear" w:color="auto" w:fill="CCEEFF"/>
          </w:tcPr>
          <w:p>
            <w:pPr>
              <w:ind w:left="580"/>
              <w:spacing w:after="0"/>
              <w:rPr>
                <w:sz w:val="20"/>
                <w:szCs w:val="20"/>
                <w:color w:val="auto"/>
              </w:rPr>
            </w:pPr>
            <w:r>
              <w:rPr>
                <w:rFonts w:ascii="Arial" w:cs="Arial" w:eastAsia="Arial" w:hAnsi="Arial"/>
                <w:sz w:val="16"/>
                <w:szCs w:val="16"/>
                <w:color w:val="auto"/>
              </w:rPr>
              <w:t>Total current assets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228,790</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188,435</w:t>
            </w:r>
          </w:p>
        </w:tc>
        <w:tc>
          <w:tcPr>
            <w:tcW w:w="0" w:type="dxa"/>
            <w:vAlign w:val="bottom"/>
          </w:tcPr>
          <w:p>
            <w:pPr>
              <w:spacing w:after="0"/>
              <w:rPr>
                <w:sz w:val="1"/>
                <w:szCs w:val="1"/>
                <w:color w:val="auto"/>
              </w:rPr>
            </w:pPr>
          </w:p>
        </w:tc>
      </w:tr>
      <w:tr>
        <w:trPr>
          <w:trHeight w:val="205"/>
        </w:trPr>
        <w:tc>
          <w:tcPr>
            <w:tcW w:w="8280" w:type="dxa"/>
            <w:vAlign w:val="bottom"/>
          </w:tcPr>
          <w:p>
            <w:pPr>
              <w:spacing w:after="0"/>
              <w:rPr>
                <w:sz w:val="20"/>
                <w:szCs w:val="20"/>
                <w:color w:val="auto"/>
              </w:rPr>
            </w:pPr>
            <w:r>
              <w:rPr>
                <w:rFonts w:ascii="Arial" w:cs="Arial" w:eastAsia="Arial" w:hAnsi="Arial"/>
                <w:sz w:val="16"/>
                <w:szCs w:val="16"/>
                <w:color w:val="auto"/>
              </w:rPr>
              <w:t>Property, plant and equipment, at cost</w:t>
            </w:r>
          </w:p>
        </w:tc>
        <w:tc>
          <w:tcPr>
            <w:tcW w:w="34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493,094</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475,619</w:t>
            </w:r>
          </w:p>
        </w:tc>
        <w:tc>
          <w:tcPr>
            <w:tcW w:w="0" w:type="dxa"/>
            <w:vAlign w:val="bottom"/>
          </w:tcPr>
          <w:p>
            <w:pPr>
              <w:spacing w:after="0"/>
              <w:rPr>
                <w:sz w:val="1"/>
                <w:szCs w:val="1"/>
                <w:color w:val="auto"/>
              </w:rPr>
            </w:pPr>
          </w:p>
        </w:tc>
      </w:tr>
      <w:tr>
        <w:trPr>
          <w:trHeight w:val="205"/>
        </w:trPr>
        <w:tc>
          <w:tcPr>
            <w:tcW w:w="8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Less accumulated depreciation</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(325,141)</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(309,074)</w:t>
            </w:r>
          </w:p>
        </w:tc>
        <w:tc>
          <w:tcPr>
            <w:tcW w:w="0" w:type="dxa"/>
            <w:vAlign w:val="bottom"/>
          </w:tcPr>
          <w:p>
            <w:pPr>
              <w:spacing w:after="0"/>
              <w:rPr>
                <w:sz w:val="1"/>
                <w:szCs w:val="1"/>
                <w:color w:val="auto"/>
              </w:rPr>
            </w:pPr>
          </w:p>
        </w:tc>
      </w:tr>
      <w:tr>
        <w:trPr>
          <w:trHeight w:val="197"/>
        </w:trPr>
        <w:tc>
          <w:tcPr>
            <w:tcW w:w="8280" w:type="dxa"/>
            <w:vAlign w:val="bottom"/>
          </w:tcPr>
          <w:p>
            <w:pPr>
              <w:ind w:left="580"/>
              <w:spacing w:after="0"/>
              <w:rPr>
                <w:sz w:val="20"/>
                <w:szCs w:val="20"/>
                <w:color w:val="auto"/>
              </w:rPr>
            </w:pPr>
            <w:r>
              <w:rPr>
                <w:rFonts w:ascii="Arial" w:cs="Arial" w:eastAsia="Arial" w:hAnsi="Arial"/>
                <w:sz w:val="16"/>
                <w:szCs w:val="16"/>
                <w:color w:val="auto"/>
              </w:rPr>
              <w:t>Net property, plant and equipment</w:t>
            </w:r>
          </w:p>
        </w:tc>
        <w:tc>
          <w:tcPr>
            <w:tcW w:w="34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167,953</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166,545</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Right-of-use leased assets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14,453</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16,037</w:t>
            </w:r>
          </w:p>
        </w:tc>
        <w:tc>
          <w:tcPr>
            <w:tcW w:w="0" w:type="dxa"/>
            <w:vAlign w:val="bottom"/>
          </w:tcPr>
          <w:p>
            <w:pPr>
              <w:spacing w:after="0"/>
              <w:rPr>
                <w:sz w:val="1"/>
                <w:szCs w:val="1"/>
                <w:color w:val="auto"/>
              </w:rPr>
            </w:pPr>
          </w:p>
        </w:tc>
      </w:tr>
      <w:tr>
        <w:trPr>
          <w:trHeight w:val="205"/>
        </w:trPr>
        <w:tc>
          <w:tcPr>
            <w:tcW w:w="8280" w:type="dxa"/>
            <w:vAlign w:val="bottom"/>
          </w:tcPr>
          <w:p>
            <w:pPr>
              <w:spacing w:after="0"/>
              <w:rPr>
                <w:sz w:val="20"/>
                <w:szCs w:val="20"/>
                <w:color w:val="auto"/>
              </w:rPr>
            </w:pPr>
            <w:r>
              <w:rPr>
                <w:rFonts w:ascii="Arial" w:cs="Arial" w:eastAsia="Arial" w:hAnsi="Arial"/>
                <w:sz w:val="16"/>
                <w:szCs w:val="16"/>
                <w:color w:val="auto"/>
              </w:rPr>
              <w:t>Investment in kaléo (cost basis of $7,500)</w:t>
            </w:r>
          </w:p>
        </w:tc>
        <w:tc>
          <w:tcPr>
            <w:tcW w:w="34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35,479</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34,600</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Identifiable intangible assets, net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16,608</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18,820</w:t>
            </w:r>
          </w:p>
        </w:tc>
        <w:tc>
          <w:tcPr>
            <w:tcW w:w="0" w:type="dxa"/>
            <w:vAlign w:val="bottom"/>
          </w:tcPr>
          <w:p>
            <w:pPr>
              <w:spacing w:after="0"/>
              <w:rPr>
                <w:sz w:val="1"/>
                <w:szCs w:val="1"/>
                <w:color w:val="auto"/>
              </w:rPr>
            </w:pPr>
          </w:p>
        </w:tc>
      </w:tr>
      <w:tr>
        <w:trPr>
          <w:trHeight w:val="205"/>
        </w:trPr>
        <w:tc>
          <w:tcPr>
            <w:tcW w:w="8280" w:type="dxa"/>
            <w:vAlign w:val="bottom"/>
          </w:tcPr>
          <w:p>
            <w:pPr>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67,708</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67,708</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12,101</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19,068</w:t>
            </w:r>
          </w:p>
        </w:tc>
        <w:tc>
          <w:tcPr>
            <w:tcW w:w="0" w:type="dxa"/>
            <w:vAlign w:val="bottom"/>
          </w:tcPr>
          <w:p>
            <w:pPr>
              <w:spacing w:after="0"/>
              <w:rPr>
                <w:sz w:val="1"/>
                <w:szCs w:val="1"/>
                <w:color w:val="auto"/>
              </w:rPr>
            </w:pPr>
          </w:p>
        </w:tc>
      </w:tr>
      <w:tr>
        <w:trPr>
          <w:trHeight w:val="205"/>
        </w:trPr>
        <w:tc>
          <w:tcPr>
            <w:tcW w:w="8280" w:type="dxa"/>
            <w:vAlign w:val="bottom"/>
          </w:tcPr>
          <w:p>
            <w:pPr>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2,591</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3,506</w:t>
            </w:r>
          </w:p>
        </w:tc>
        <w:tc>
          <w:tcPr>
            <w:tcW w:w="0" w:type="dxa"/>
            <w:vAlign w:val="bottom"/>
          </w:tcPr>
          <w:p>
            <w:pPr>
              <w:spacing w:after="0"/>
              <w:rPr>
                <w:sz w:val="1"/>
                <w:szCs w:val="1"/>
                <w:color w:val="auto"/>
              </w:rPr>
            </w:pPr>
          </w:p>
        </w:tc>
      </w:tr>
      <w:tr>
        <w:trPr>
          <w:trHeight w:val="205"/>
        </w:trPr>
        <w:tc>
          <w:tcPr>
            <w:tcW w:w="8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Non-current assets of discontinued operations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151</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1"/>
        </w:trPr>
        <w:tc>
          <w:tcPr>
            <w:tcW w:w="828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545,834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514,870</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80" w:type="dxa"/>
            <w:vAlign w:val="bottom"/>
          </w:tcPr>
          <w:p>
            <w:pPr>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115,879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89,702</w:t>
            </w:r>
          </w:p>
        </w:tc>
        <w:tc>
          <w:tcPr>
            <w:tcW w:w="0" w:type="dxa"/>
            <w:vAlign w:val="bottom"/>
          </w:tcPr>
          <w:p>
            <w:pPr>
              <w:spacing w:after="0"/>
              <w:rPr>
                <w:sz w:val="1"/>
                <w:szCs w:val="1"/>
                <w:color w:val="auto"/>
              </w:rPr>
            </w:pPr>
          </w:p>
        </w:tc>
      </w:tr>
      <w:tr>
        <w:trPr>
          <w:trHeight w:val="205"/>
        </w:trPr>
        <w:tc>
          <w:tcPr>
            <w:tcW w:w="8280" w:type="dxa"/>
            <w:vAlign w:val="bottom"/>
          </w:tcPr>
          <w:p>
            <w:pPr>
              <w:ind w:left="300"/>
              <w:spacing w:after="0"/>
              <w:rPr>
                <w:sz w:val="20"/>
                <w:szCs w:val="20"/>
                <w:color w:val="auto"/>
              </w:rPr>
            </w:pPr>
            <w:r>
              <w:rPr>
                <w:rFonts w:ascii="Arial" w:cs="Arial" w:eastAsia="Arial" w:hAnsi="Arial"/>
                <w:sz w:val="16"/>
                <w:szCs w:val="16"/>
                <w:color w:val="auto"/>
              </w:rPr>
              <w:t>Accrued expenses</w:t>
            </w:r>
          </w:p>
        </w:tc>
        <w:tc>
          <w:tcPr>
            <w:tcW w:w="34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31,672</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40,741</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Lease liability, short-term</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2,086</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2,082</w:t>
            </w:r>
          </w:p>
        </w:tc>
        <w:tc>
          <w:tcPr>
            <w:tcW w:w="0" w:type="dxa"/>
            <w:vAlign w:val="bottom"/>
          </w:tcPr>
          <w:p>
            <w:pPr>
              <w:spacing w:after="0"/>
              <w:rPr>
                <w:sz w:val="1"/>
                <w:szCs w:val="1"/>
                <w:color w:val="auto"/>
              </w:rPr>
            </w:pPr>
          </w:p>
        </w:tc>
      </w:tr>
      <w:tr>
        <w:trPr>
          <w:trHeight w:val="205"/>
        </w:trPr>
        <w:tc>
          <w:tcPr>
            <w:tcW w:w="8280" w:type="dxa"/>
            <w:vAlign w:val="bottom"/>
          </w:tcPr>
          <w:p>
            <w:pPr>
              <w:ind w:left="300"/>
              <w:spacing w:after="0"/>
              <w:rPr>
                <w:sz w:val="20"/>
                <w:szCs w:val="20"/>
                <w:color w:val="auto"/>
              </w:rPr>
            </w:pPr>
            <w:r>
              <w:rPr>
                <w:rFonts w:ascii="Arial" w:cs="Arial" w:eastAsia="Arial" w:hAnsi="Arial"/>
                <w:sz w:val="16"/>
                <w:szCs w:val="16"/>
                <w:color w:val="auto"/>
              </w:rPr>
              <w:t>Income taxes payable</w:t>
            </w:r>
          </w:p>
        </w:tc>
        <w:tc>
          <w:tcPr>
            <w:tcW w:w="34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56</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205"/>
        </w:trPr>
        <w:tc>
          <w:tcPr>
            <w:tcW w:w="82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Current liabilities of discontinued operations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370</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7,521</w:t>
            </w:r>
          </w:p>
        </w:tc>
        <w:tc>
          <w:tcPr>
            <w:tcW w:w="0" w:type="dxa"/>
            <w:vAlign w:val="bottom"/>
          </w:tcPr>
          <w:p>
            <w:pPr>
              <w:spacing w:after="0"/>
              <w:rPr>
                <w:sz w:val="1"/>
                <w:szCs w:val="1"/>
                <w:color w:val="auto"/>
              </w:rPr>
            </w:pPr>
          </w:p>
        </w:tc>
      </w:tr>
      <w:tr>
        <w:trPr>
          <w:trHeight w:val="197"/>
        </w:trPr>
        <w:tc>
          <w:tcPr>
            <w:tcW w:w="8280" w:type="dxa"/>
            <w:vAlign w:val="bottom"/>
          </w:tcPr>
          <w:p>
            <w:pPr>
              <w:ind w:left="580"/>
              <w:spacing w:after="0"/>
              <w:rPr>
                <w:sz w:val="20"/>
                <w:szCs w:val="20"/>
                <w:color w:val="auto"/>
              </w:rPr>
            </w:pPr>
            <w:r>
              <w:rPr>
                <w:rFonts w:ascii="Arial" w:cs="Arial" w:eastAsia="Arial" w:hAnsi="Arial"/>
                <w:sz w:val="16"/>
                <w:szCs w:val="16"/>
                <w:color w:val="auto"/>
              </w:rPr>
              <w:t>Total current liabilities</w:t>
            </w:r>
          </w:p>
        </w:tc>
        <w:tc>
          <w:tcPr>
            <w:tcW w:w="34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150,063</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140,752</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Lease liability, long-term</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13,376</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14,949</w:t>
            </w:r>
          </w:p>
        </w:tc>
        <w:tc>
          <w:tcPr>
            <w:tcW w:w="0" w:type="dxa"/>
            <w:vAlign w:val="bottom"/>
          </w:tcPr>
          <w:p>
            <w:pPr>
              <w:spacing w:after="0"/>
              <w:rPr>
                <w:sz w:val="1"/>
                <w:szCs w:val="1"/>
                <w:color w:val="auto"/>
              </w:rPr>
            </w:pPr>
          </w:p>
        </w:tc>
      </w:tr>
      <w:tr>
        <w:trPr>
          <w:trHeight w:val="205"/>
        </w:trPr>
        <w:tc>
          <w:tcPr>
            <w:tcW w:w="8280" w:type="dxa"/>
            <w:vAlign w:val="bottom"/>
          </w:tcPr>
          <w:p>
            <w:pPr>
              <w:spacing w:after="0"/>
              <w:rPr>
                <w:sz w:val="20"/>
                <w:szCs w:val="20"/>
                <w:color w:val="auto"/>
              </w:rPr>
            </w:pPr>
            <w:r>
              <w:rPr>
                <w:rFonts w:ascii="Arial" w:cs="Arial" w:eastAsia="Arial" w:hAnsi="Arial"/>
                <w:sz w:val="16"/>
                <w:szCs w:val="16"/>
                <w:color w:val="auto"/>
              </w:rPr>
              <w:t>Long-term debt</w:t>
            </w:r>
          </w:p>
        </w:tc>
        <w:tc>
          <w:tcPr>
            <w:tcW w:w="34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127,000</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134,000</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Pension and other postretirement benefit obligations, net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102,970</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110,585</w:t>
            </w:r>
          </w:p>
        </w:tc>
        <w:tc>
          <w:tcPr>
            <w:tcW w:w="0" w:type="dxa"/>
            <w:vAlign w:val="bottom"/>
          </w:tcPr>
          <w:p>
            <w:pPr>
              <w:spacing w:after="0"/>
              <w:rPr>
                <w:sz w:val="1"/>
                <w:szCs w:val="1"/>
                <w:color w:val="auto"/>
              </w:rPr>
            </w:pPr>
          </w:p>
        </w:tc>
      </w:tr>
      <w:tr>
        <w:trPr>
          <w:trHeight w:val="205"/>
        </w:trPr>
        <w:tc>
          <w:tcPr>
            <w:tcW w:w="8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non-current liabilities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6,146</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5,529</w:t>
            </w:r>
          </w:p>
        </w:tc>
        <w:tc>
          <w:tcPr>
            <w:tcW w:w="0" w:type="dxa"/>
            <w:vAlign w:val="bottom"/>
          </w:tcPr>
          <w:p>
            <w:pPr>
              <w:spacing w:after="0"/>
              <w:rPr>
                <w:sz w:val="1"/>
                <w:szCs w:val="1"/>
                <w:color w:val="auto"/>
              </w:rPr>
            </w:pPr>
          </w:p>
        </w:tc>
      </w:tr>
      <w:tr>
        <w:trPr>
          <w:trHeight w:val="197"/>
        </w:trPr>
        <w:tc>
          <w:tcPr>
            <w:tcW w:w="8280" w:type="dxa"/>
            <w:vAlign w:val="bottom"/>
            <w:shd w:val="clear" w:color="auto" w:fill="CCEEFF"/>
          </w:tcPr>
          <w:p>
            <w:pPr>
              <w:ind w:left="580"/>
              <w:spacing w:after="0"/>
              <w:rPr>
                <w:sz w:val="20"/>
                <w:szCs w:val="20"/>
                <w:color w:val="auto"/>
              </w:rPr>
            </w:pPr>
            <w:r>
              <w:rPr>
                <w:rFonts w:ascii="Arial" w:cs="Arial" w:eastAsia="Arial" w:hAnsi="Arial"/>
                <w:sz w:val="16"/>
                <w:szCs w:val="16"/>
                <w:color w:val="auto"/>
              </w:rPr>
              <w:t>Total liabilities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399,555</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405,815</w:t>
            </w:r>
          </w:p>
        </w:tc>
        <w:tc>
          <w:tcPr>
            <w:tcW w:w="0" w:type="dxa"/>
            <w:vAlign w:val="bottom"/>
          </w:tcPr>
          <w:p>
            <w:pPr>
              <w:spacing w:after="0"/>
              <w:rPr>
                <w:sz w:val="1"/>
                <w:szCs w:val="1"/>
                <w:color w:val="auto"/>
              </w:rPr>
            </w:pPr>
          </w:p>
        </w:tc>
      </w:tr>
      <w:tr>
        <w:trPr>
          <w:trHeight w:val="205"/>
        </w:trPr>
        <w:tc>
          <w:tcPr>
            <w:tcW w:w="8280" w:type="dxa"/>
            <w:vAlign w:val="bottom"/>
          </w:tcPr>
          <w:p>
            <w:pPr>
              <w:spacing w:after="0"/>
              <w:rPr>
                <w:sz w:val="20"/>
                <w:szCs w:val="20"/>
                <w:color w:val="auto"/>
              </w:rPr>
            </w:pPr>
            <w:r>
              <w:rPr>
                <w:rFonts w:ascii="Arial" w:cs="Arial" w:eastAsia="Arial" w:hAnsi="Arial"/>
                <w:sz w:val="16"/>
                <w:szCs w:val="16"/>
                <w:color w:val="auto"/>
              </w:rPr>
              <w:t>Shareholders’ equity:</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280" w:type="dxa"/>
            <w:vAlign w:val="bottom"/>
            <w:shd w:val="clear" w:color="auto" w:fill="CCEEFF"/>
          </w:tcPr>
          <w:p>
            <w:pPr>
              <w:ind w:left="300"/>
              <w:spacing w:after="0" w:line="157" w:lineRule="exact"/>
              <w:rPr>
                <w:sz w:val="20"/>
                <w:szCs w:val="20"/>
                <w:color w:val="auto"/>
              </w:rPr>
            </w:pPr>
            <w:r>
              <w:rPr>
                <w:rFonts w:ascii="Arial" w:cs="Arial" w:eastAsia="Arial" w:hAnsi="Arial"/>
                <w:sz w:val="16"/>
                <w:szCs w:val="16"/>
                <w:color w:val="auto"/>
                <w:w w:val="91"/>
              </w:rPr>
              <w:t>Common stock, no par value (issued and outstanding 33,727,317 shares at September 30, 2021 and 33,457,176 shares at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53,906</w:t>
            </w:r>
          </w:p>
        </w:tc>
        <w:tc>
          <w:tcPr>
            <w:tcW w:w="16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50,066</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December 31, 2020)</w:t>
            </w:r>
          </w:p>
        </w:tc>
        <w:tc>
          <w:tcPr>
            <w:tcW w:w="3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280" w:type="dxa"/>
            <w:vAlign w:val="bottom"/>
          </w:tcPr>
          <w:p>
            <w:pPr>
              <w:ind w:left="300"/>
              <w:spacing w:after="0" w:line="157" w:lineRule="exact"/>
              <w:rPr>
                <w:sz w:val="20"/>
                <w:szCs w:val="20"/>
                <w:color w:val="auto"/>
              </w:rPr>
            </w:pPr>
            <w:r>
              <w:rPr>
                <w:rFonts w:ascii="Arial" w:cs="Arial" w:eastAsia="Arial" w:hAnsi="Arial"/>
                <w:sz w:val="16"/>
                <w:szCs w:val="16"/>
                <w:color w:val="auto"/>
                <w:w w:val="94"/>
              </w:rPr>
              <w:t>Common stock held in trust for savings restoration plan (107,397 shares at September 30, 2021 and 105,067 shares at</w:t>
            </w:r>
          </w:p>
        </w:tc>
        <w:tc>
          <w:tcPr>
            <w:tcW w:w="3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(2,122)</w:t>
            </w:r>
          </w:p>
        </w:tc>
        <w:tc>
          <w:tcPr>
            <w:tcW w:w="1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(2,087)</w:t>
            </w:r>
          </w:p>
        </w:tc>
        <w:tc>
          <w:tcPr>
            <w:tcW w:w="0" w:type="dxa"/>
            <w:vAlign w:val="bottom"/>
          </w:tcPr>
          <w:p>
            <w:pPr>
              <w:spacing w:after="0"/>
              <w:rPr>
                <w:sz w:val="1"/>
                <w:szCs w:val="1"/>
                <w:color w:val="auto"/>
              </w:rPr>
            </w:pPr>
          </w:p>
        </w:tc>
      </w:tr>
      <w:tr>
        <w:trPr>
          <w:trHeight w:val="205"/>
        </w:trPr>
        <w:tc>
          <w:tcPr>
            <w:tcW w:w="8280" w:type="dxa"/>
            <w:vAlign w:val="bottom"/>
          </w:tcPr>
          <w:p>
            <w:pPr>
              <w:ind w:left="300"/>
              <w:spacing w:after="0"/>
              <w:rPr>
                <w:sz w:val="20"/>
                <w:szCs w:val="20"/>
                <w:color w:val="auto"/>
              </w:rPr>
            </w:pPr>
            <w:r>
              <w:rPr>
                <w:rFonts w:ascii="Arial" w:cs="Arial" w:eastAsia="Arial" w:hAnsi="Arial"/>
                <w:sz w:val="16"/>
                <w:szCs w:val="16"/>
                <w:color w:val="auto"/>
              </w:rPr>
              <w:t>December 31, 2020)</w:t>
            </w:r>
          </w:p>
        </w:tc>
        <w:tc>
          <w:tcPr>
            <w:tcW w:w="3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Accumulated other comprehensive income (loss):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80" w:type="dxa"/>
            <w:vAlign w:val="bottom"/>
          </w:tcPr>
          <w:p>
            <w:pPr>
              <w:ind w:left="480"/>
              <w:spacing w:after="0"/>
              <w:rPr>
                <w:sz w:val="20"/>
                <w:szCs w:val="20"/>
                <w:color w:val="auto"/>
              </w:rPr>
            </w:pPr>
            <w:r>
              <w:rPr>
                <w:rFonts w:ascii="Arial" w:cs="Arial" w:eastAsia="Arial" w:hAnsi="Arial"/>
                <w:sz w:val="16"/>
                <w:szCs w:val="16"/>
                <w:color w:val="auto"/>
              </w:rPr>
              <w:t>Foreign currency translation adjustment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(85,592)</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(84,149)</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Gain (loss) on derivative financial instruments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2,779</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w:t>
            </w:r>
          </w:p>
        </w:tc>
        <w:tc>
          <w:tcPr>
            <w:tcW w:w="0" w:type="dxa"/>
            <w:vAlign w:val="bottom"/>
          </w:tcPr>
          <w:p>
            <w:pPr>
              <w:spacing w:after="0"/>
              <w:rPr>
                <w:sz w:val="1"/>
                <w:szCs w:val="1"/>
                <w:color w:val="auto"/>
              </w:rPr>
            </w:pPr>
          </w:p>
        </w:tc>
      </w:tr>
      <w:tr>
        <w:trPr>
          <w:trHeight w:val="205"/>
        </w:trPr>
        <w:tc>
          <w:tcPr>
            <w:tcW w:w="8280" w:type="dxa"/>
            <w:vAlign w:val="bottom"/>
          </w:tcPr>
          <w:p>
            <w:pPr>
              <w:ind w:left="480"/>
              <w:spacing w:after="0"/>
              <w:rPr>
                <w:sz w:val="20"/>
                <w:szCs w:val="20"/>
                <w:color w:val="auto"/>
              </w:rPr>
            </w:pPr>
            <w:r>
              <w:rPr>
                <w:rFonts w:ascii="Arial" w:cs="Arial" w:eastAsia="Arial" w:hAnsi="Arial"/>
                <w:sz w:val="16"/>
                <w:szCs w:val="16"/>
                <w:color w:val="auto"/>
              </w:rPr>
              <w:t>Pension and other postretirement benefit adjustments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(86,565)</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(96,519)</w:t>
            </w:r>
          </w:p>
        </w:tc>
        <w:tc>
          <w:tcPr>
            <w:tcW w:w="0" w:type="dxa"/>
            <w:vAlign w:val="bottom"/>
          </w:tcPr>
          <w:p>
            <w:pPr>
              <w:spacing w:after="0"/>
              <w:rPr>
                <w:sz w:val="1"/>
                <w:szCs w:val="1"/>
                <w:color w:val="auto"/>
              </w:rPr>
            </w:pPr>
          </w:p>
        </w:tc>
      </w:tr>
      <w:tr>
        <w:trPr>
          <w:trHeight w:val="205"/>
        </w:trPr>
        <w:tc>
          <w:tcPr>
            <w:tcW w:w="82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Retained earnings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263,873</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239,480</w:t>
            </w:r>
          </w:p>
        </w:tc>
        <w:tc>
          <w:tcPr>
            <w:tcW w:w="0" w:type="dxa"/>
            <w:vAlign w:val="bottom"/>
          </w:tcPr>
          <w:p>
            <w:pPr>
              <w:spacing w:after="0"/>
              <w:rPr>
                <w:sz w:val="1"/>
                <w:szCs w:val="1"/>
                <w:color w:val="auto"/>
              </w:rPr>
            </w:pPr>
          </w:p>
        </w:tc>
      </w:tr>
      <w:tr>
        <w:trPr>
          <w:trHeight w:val="197"/>
        </w:trPr>
        <w:tc>
          <w:tcPr>
            <w:tcW w:w="828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Total shareholders’ equity</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146,279</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109,055</w:t>
            </w:r>
          </w:p>
        </w:tc>
        <w:tc>
          <w:tcPr>
            <w:tcW w:w="0" w:type="dxa"/>
            <w:vAlign w:val="bottom"/>
          </w:tcPr>
          <w:p>
            <w:pPr>
              <w:spacing w:after="0"/>
              <w:rPr>
                <w:sz w:val="1"/>
                <w:szCs w:val="1"/>
                <w:color w:val="auto"/>
              </w:rPr>
            </w:pPr>
          </w:p>
        </w:tc>
      </w:tr>
      <w:tr>
        <w:trPr>
          <w:trHeight w:val="201"/>
        </w:trPr>
        <w:tc>
          <w:tcPr>
            <w:tcW w:w="82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Total liabilities and shareholders’ equity</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545,834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514,870</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See accompanying notes to financial statements.</w:t>
      </w: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140"/>
          </w:cols>
          <w:pgMar w:left="320" w:top="557" w:right="4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6"/>
          <w:szCs w:val="16"/>
          <w:b w:val="1"/>
          <w:bCs w:val="1"/>
          <w:color w:val="auto"/>
        </w:rPr>
        <w:t>Tredegar Corporation</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Income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16"/>
                <w:szCs w:val="16"/>
                <w:color w:val="auto"/>
                <w:w w:val="93"/>
              </w:rPr>
              <w:t>Three Months Ended September 30,</w:t>
            </w:r>
          </w:p>
        </w:tc>
        <w:tc>
          <w:tcPr>
            <w:tcW w:w="24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6"/>
                <w:szCs w:val="16"/>
                <w:color w:val="auto"/>
                <w:w w:val="93"/>
              </w:rPr>
              <w:t>Nine Months Ended September 30,</w:t>
            </w:r>
          </w:p>
        </w:tc>
        <w:tc>
          <w:tcPr>
            <w:tcW w:w="0" w:type="dxa"/>
            <w:vAlign w:val="bottom"/>
          </w:tcPr>
          <w:p>
            <w:pPr>
              <w:spacing w:after="0"/>
              <w:rPr>
                <w:sz w:val="1"/>
                <w:szCs w:val="1"/>
                <w:color w:val="auto"/>
              </w:rPr>
            </w:pPr>
          </w:p>
        </w:tc>
      </w:tr>
      <w:tr>
        <w:trPr>
          <w:trHeight w:val="205"/>
        </w:trPr>
        <w:tc>
          <w:tcPr>
            <w:tcW w:w="53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color w:val="auto"/>
              </w:rPr>
              <w:t>2021</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color w:val="auto"/>
              </w:rPr>
              <w:t>2020</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2021</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7"/>
        </w:trPr>
        <w:tc>
          <w:tcPr>
            <w:tcW w:w="5360" w:type="dxa"/>
            <w:vAlign w:val="bottom"/>
          </w:tcPr>
          <w:p>
            <w:pPr>
              <w:ind w:left="20"/>
              <w:spacing w:after="0"/>
              <w:rPr>
                <w:sz w:val="20"/>
                <w:szCs w:val="20"/>
                <w:color w:val="auto"/>
              </w:rPr>
            </w:pPr>
            <w:r>
              <w:rPr>
                <w:rFonts w:ascii="Arial" w:cs="Arial" w:eastAsia="Arial" w:hAnsi="Arial"/>
                <w:sz w:val="16"/>
                <w:szCs w:val="16"/>
                <w:b w:val="1"/>
                <w:bCs w:val="1"/>
                <w:color w:val="auto"/>
              </w:rPr>
              <w:t>Revenues and other items: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Sales</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209,517</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184,370</w:t>
            </w:r>
          </w:p>
        </w:tc>
        <w:tc>
          <w:tcPr>
            <w:tcW w:w="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605,468</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562,766</w:t>
            </w:r>
          </w:p>
        </w:tc>
        <w:tc>
          <w:tcPr>
            <w:tcW w:w="0" w:type="dxa"/>
            <w:vAlign w:val="bottom"/>
          </w:tcPr>
          <w:p>
            <w:pPr>
              <w:spacing w:after="0"/>
              <w:rPr>
                <w:sz w:val="1"/>
                <w:szCs w:val="1"/>
                <w:color w:val="auto"/>
              </w:rPr>
            </w:pPr>
          </w:p>
        </w:tc>
      </w:tr>
      <w:tr>
        <w:trPr>
          <w:trHeight w:val="205"/>
        </w:trPr>
        <w:tc>
          <w:tcPr>
            <w:tcW w:w="53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391</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(37,934)</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9,272</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(63,898)</w:t>
            </w:r>
          </w:p>
        </w:tc>
        <w:tc>
          <w:tcPr>
            <w:tcW w:w="0" w:type="dxa"/>
            <w:vAlign w:val="bottom"/>
          </w:tcPr>
          <w:p>
            <w:pPr>
              <w:spacing w:after="0"/>
              <w:rPr>
                <w:sz w:val="1"/>
                <w:szCs w:val="1"/>
                <w:color w:val="auto"/>
              </w:rPr>
            </w:pPr>
          </w:p>
        </w:tc>
      </w:tr>
      <w:tr>
        <w:trPr>
          <w:trHeight w:val="197"/>
        </w:trPr>
        <w:tc>
          <w:tcPr>
            <w:tcW w:w="5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209,908</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146,436</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614,740</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498,868</w:t>
            </w:r>
          </w:p>
        </w:tc>
        <w:tc>
          <w:tcPr>
            <w:tcW w:w="0" w:type="dxa"/>
            <w:vAlign w:val="bottom"/>
          </w:tcPr>
          <w:p>
            <w:pPr>
              <w:spacing w:after="0"/>
              <w:rPr>
                <w:sz w:val="1"/>
                <w:szCs w:val="1"/>
                <w:color w:val="auto"/>
              </w:rPr>
            </w:pPr>
          </w:p>
        </w:tc>
      </w:tr>
      <w:tr>
        <w:trPr>
          <w:trHeight w:val="205"/>
        </w:trPr>
        <w:tc>
          <w:tcPr>
            <w:tcW w:w="536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Cost of goods sold</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170,756</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136,008</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470,733</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415,212</w:t>
            </w:r>
          </w:p>
        </w:tc>
        <w:tc>
          <w:tcPr>
            <w:tcW w:w="0" w:type="dxa"/>
            <w:vAlign w:val="bottom"/>
          </w:tcPr>
          <w:p>
            <w:pPr>
              <w:spacing w:after="0"/>
              <w:rPr>
                <w:sz w:val="1"/>
                <w:szCs w:val="1"/>
                <w:color w:val="auto"/>
              </w:rPr>
            </w:pPr>
          </w:p>
        </w:tc>
      </w:tr>
      <w:tr>
        <w:trPr>
          <w:trHeight w:val="205"/>
        </w:trPr>
        <w:tc>
          <w:tcPr>
            <w:tcW w:w="5360" w:type="dxa"/>
            <w:vAlign w:val="bottom"/>
          </w:tcPr>
          <w:p>
            <w:pPr>
              <w:ind w:left="300"/>
              <w:spacing w:after="0"/>
              <w:rPr>
                <w:sz w:val="20"/>
                <w:szCs w:val="20"/>
                <w:color w:val="auto"/>
              </w:rPr>
            </w:pPr>
            <w:r>
              <w:rPr>
                <w:rFonts w:ascii="Arial" w:cs="Arial" w:eastAsia="Arial" w:hAnsi="Arial"/>
                <w:sz w:val="16"/>
                <w:szCs w:val="16"/>
                <w:color w:val="auto"/>
              </w:rPr>
              <w:t>Freight</w:t>
            </w:r>
          </w:p>
        </w:tc>
        <w:tc>
          <w:tcPr>
            <w:tcW w:w="22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7,264</w:t>
            </w:r>
          </w:p>
        </w:tc>
        <w:tc>
          <w:tcPr>
            <w:tcW w:w="38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6,453</w:t>
            </w:r>
          </w:p>
        </w:tc>
        <w:tc>
          <w:tcPr>
            <w:tcW w:w="240" w:type="dxa"/>
            <w:vAlign w:val="bottom"/>
          </w:tcPr>
          <w:p>
            <w:pPr>
              <w:spacing w:after="0"/>
              <w:rPr>
                <w:sz w:val="17"/>
                <w:szCs w:val="17"/>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20,531</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19,222</w:t>
            </w:r>
          </w:p>
        </w:tc>
        <w:tc>
          <w:tcPr>
            <w:tcW w:w="0" w:type="dxa"/>
            <w:vAlign w:val="bottom"/>
          </w:tcPr>
          <w:p>
            <w:pPr>
              <w:spacing w:after="0"/>
              <w:rPr>
                <w:sz w:val="1"/>
                <w:szCs w:val="1"/>
                <w:color w:val="auto"/>
              </w:rPr>
            </w:pPr>
          </w:p>
        </w:tc>
      </w:tr>
      <w:tr>
        <w:trPr>
          <w:trHeight w:val="205"/>
        </w:trPr>
        <w:tc>
          <w:tcPr>
            <w:tcW w:w="5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16,767</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20,420</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55,422</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61,654</w:t>
            </w:r>
          </w:p>
        </w:tc>
        <w:tc>
          <w:tcPr>
            <w:tcW w:w="0" w:type="dxa"/>
            <w:vAlign w:val="bottom"/>
          </w:tcPr>
          <w:p>
            <w:pPr>
              <w:spacing w:after="0"/>
              <w:rPr>
                <w:sz w:val="1"/>
                <w:szCs w:val="1"/>
                <w:color w:val="auto"/>
              </w:rPr>
            </w:pPr>
          </w:p>
        </w:tc>
      </w:tr>
      <w:tr>
        <w:trPr>
          <w:trHeight w:val="205"/>
        </w:trPr>
        <w:tc>
          <w:tcPr>
            <w:tcW w:w="5360" w:type="dxa"/>
            <w:vAlign w:val="bottom"/>
          </w:tcPr>
          <w:p>
            <w:pPr>
              <w:ind w:left="300"/>
              <w:spacing w:after="0"/>
              <w:rPr>
                <w:sz w:val="20"/>
                <w:szCs w:val="20"/>
                <w:color w:val="auto"/>
              </w:rPr>
            </w:pPr>
            <w:r>
              <w:rPr>
                <w:rFonts w:ascii="Arial" w:cs="Arial" w:eastAsia="Arial" w:hAnsi="Arial"/>
                <w:sz w:val="16"/>
                <w:szCs w:val="16"/>
                <w:color w:val="auto"/>
              </w:rPr>
              <w:t>Research and development</w:t>
            </w:r>
          </w:p>
        </w:tc>
        <w:tc>
          <w:tcPr>
            <w:tcW w:w="22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1,613</w:t>
            </w:r>
          </w:p>
        </w:tc>
        <w:tc>
          <w:tcPr>
            <w:tcW w:w="38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1,656</w:t>
            </w:r>
          </w:p>
        </w:tc>
        <w:tc>
          <w:tcPr>
            <w:tcW w:w="240" w:type="dxa"/>
            <w:vAlign w:val="bottom"/>
          </w:tcPr>
          <w:p>
            <w:pPr>
              <w:spacing w:after="0"/>
              <w:rPr>
                <w:sz w:val="17"/>
                <w:szCs w:val="17"/>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4,770</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6,063</w:t>
            </w:r>
          </w:p>
        </w:tc>
        <w:tc>
          <w:tcPr>
            <w:tcW w:w="0" w:type="dxa"/>
            <w:vAlign w:val="bottom"/>
          </w:tcPr>
          <w:p>
            <w:pPr>
              <w:spacing w:after="0"/>
              <w:rPr>
                <w:sz w:val="1"/>
                <w:szCs w:val="1"/>
                <w:color w:val="auto"/>
              </w:rPr>
            </w:pPr>
          </w:p>
        </w:tc>
      </w:tr>
      <w:tr>
        <w:trPr>
          <w:trHeight w:val="205"/>
        </w:trPr>
        <w:tc>
          <w:tcPr>
            <w:tcW w:w="5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Amortization of identifiable intangibles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724</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753</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2,170</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w:t>
            </w:r>
          </w:p>
        </w:tc>
        <w:tc>
          <w:tcPr>
            <w:tcW w:w="0" w:type="dxa"/>
            <w:vAlign w:val="bottom"/>
          </w:tcPr>
          <w:p>
            <w:pPr>
              <w:spacing w:after="0"/>
              <w:rPr>
                <w:sz w:val="1"/>
                <w:szCs w:val="1"/>
                <w:color w:val="auto"/>
              </w:rPr>
            </w:pPr>
          </w:p>
        </w:tc>
      </w:tr>
      <w:tr>
        <w:trPr>
          <w:trHeight w:val="205"/>
        </w:trPr>
        <w:tc>
          <w:tcPr>
            <w:tcW w:w="5360" w:type="dxa"/>
            <w:vAlign w:val="bottom"/>
          </w:tcPr>
          <w:p>
            <w:pPr>
              <w:ind w:left="300"/>
              <w:spacing w:after="0"/>
              <w:rPr>
                <w:sz w:val="20"/>
                <w:szCs w:val="20"/>
                <w:color w:val="auto"/>
              </w:rPr>
            </w:pPr>
            <w:r>
              <w:rPr>
                <w:rFonts w:ascii="Arial" w:cs="Arial" w:eastAsia="Arial" w:hAnsi="Arial"/>
                <w:sz w:val="16"/>
                <w:szCs w:val="16"/>
                <w:color w:val="auto"/>
              </w:rPr>
              <w:t>Pension and postretirement benefits</w:t>
            </w:r>
          </w:p>
        </w:tc>
        <w:tc>
          <w:tcPr>
            <w:tcW w:w="22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3,540</w:t>
            </w:r>
          </w:p>
        </w:tc>
        <w:tc>
          <w:tcPr>
            <w:tcW w:w="38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3,567</w:t>
            </w:r>
          </w:p>
        </w:tc>
        <w:tc>
          <w:tcPr>
            <w:tcW w:w="240" w:type="dxa"/>
            <w:vAlign w:val="bottom"/>
          </w:tcPr>
          <w:p>
            <w:pPr>
              <w:spacing w:after="0"/>
              <w:rPr>
                <w:sz w:val="17"/>
                <w:szCs w:val="17"/>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10,622</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10,701</w:t>
            </w:r>
          </w:p>
        </w:tc>
        <w:tc>
          <w:tcPr>
            <w:tcW w:w="0" w:type="dxa"/>
            <w:vAlign w:val="bottom"/>
          </w:tcPr>
          <w:p>
            <w:pPr>
              <w:spacing w:after="0"/>
              <w:rPr>
                <w:sz w:val="1"/>
                <w:szCs w:val="1"/>
                <w:color w:val="auto"/>
              </w:rPr>
            </w:pPr>
          </w:p>
        </w:tc>
      </w:tr>
      <w:tr>
        <w:trPr>
          <w:trHeight w:val="205"/>
        </w:trPr>
        <w:tc>
          <w:tcPr>
            <w:tcW w:w="5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842</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494</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2,555</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w:t>
            </w:r>
          </w:p>
        </w:tc>
        <w:tc>
          <w:tcPr>
            <w:tcW w:w="0" w:type="dxa"/>
            <w:vAlign w:val="bottom"/>
          </w:tcPr>
          <w:p>
            <w:pPr>
              <w:spacing w:after="0"/>
              <w:rPr>
                <w:sz w:val="1"/>
                <w:szCs w:val="1"/>
                <w:color w:val="auto"/>
              </w:rPr>
            </w:pPr>
          </w:p>
        </w:tc>
      </w:tr>
      <w:tr>
        <w:trPr>
          <w:trHeight w:val="157"/>
        </w:trPr>
        <w:tc>
          <w:tcPr>
            <w:tcW w:w="5360" w:type="dxa"/>
            <w:vAlign w:val="bottom"/>
          </w:tcPr>
          <w:p>
            <w:pPr>
              <w:ind w:left="300"/>
              <w:spacing w:after="0" w:line="157" w:lineRule="exact"/>
              <w:rPr>
                <w:sz w:val="20"/>
                <w:szCs w:val="20"/>
                <w:color w:val="auto"/>
              </w:rPr>
            </w:pPr>
            <w:r>
              <w:rPr>
                <w:rFonts w:ascii="Arial" w:cs="Arial" w:eastAsia="Arial" w:hAnsi="Arial"/>
                <w:sz w:val="16"/>
                <w:szCs w:val="16"/>
                <w:color w:val="auto"/>
                <w:w w:val="93"/>
              </w:rPr>
              <w:t>Asset impairments and costs associated with exit and disposal activities, net</w:t>
            </w:r>
          </w:p>
        </w:tc>
        <w:tc>
          <w:tcPr>
            <w:tcW w:w="220" w:type="dxa"/>
            <w:vAlign w:val="bottom"/>
          </w:tcPr>
          <w:p>
            <w:pPr>
              <w:spacing w:after="0"/>
              <w:rPr>
                <w:sz w:val="13"/>
                <w:szCs w:val="13"/>
                <w:color w:val="auto"/>
              </w:rPr>
            </w:pPr>
          </w:p>
        </w:tc>
        <w:tc>
          <w:tcPr>
            <w:tcW w:w="1260" w:type="dxa"/>
            <w:vAlign w:val="bottom"/>
            <w:vMerge w:val="restart"/>
          </w:tcPr>
          <w:p>
            <w:pPr>
              <w:jc w:val="right"/>
              <w:ind w:right="20"/>
              <w:spacing w:after="0"/>
              <w:rPr>
                <w:sz w:val="20"/>
                <w:szCs w:val="20"/>
                <w:color w:val="auto"/>
              </w:rPr>
            </w:pPr>
            <w:r>
              <w:rPr>
                <w:rFonts w:ascii="Arial" w:cs="Arial" w:eastAsia="Arial" w:hAnsi="Arial"/>
                <w:sz w:val="16"/>
                <w:szCs w:val="16"/>
                <w:color w:val="auto"/>
              </w:rPr>
              <w:t>265</w:t>
            </w:r>
          </w:p>
        </w:tc>
        <w:tc>
          <w:tcPr>
            <w:tcW w:w="380" w:type="dxa"/>
            <w:vAlign w:val="bottom"/>
          </w:tcPr>
          <w:p>
            <w:pPr>
              <w:spacing w:after="0"/>
              <w:rPr>
                <w:sz w:val="13"/>
                <w:szCs w:val="13"/>
                <w:color w:val="auto"/>
              </w:rPr>
            </w:pPr>
          </w:p>
        </w:tc>
        <w:tc>
          <w:tcPr>
            <w:tcW w:w="1160" w:type="dxa"/>
            <w:vAlign w:val="bottom"/>
            <w:vMerge w:val="restart"/>
          </w:tcPr>
          <w:p>
            <w:pPr>
              <w:jc w:val="right"/>
              <w:ind w:right="40"/>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3"/>
                <w:szCs w:val="13"/>
                <w:color w:val="auto"/>
              </w:rPr>
            </w:pPr>
          </w:p>
        </w:tc>
        <w:tc>
          <w:tcPr>
            <w:tcW w:w="1220" w:type="dxa"/>
            <w:vAlign w:val="bottom"/>
            <w:vMerge w:val="restart"/>
          </w:tcPr>
          <w:p>
            <w:pPr>
              <w:jc w:val="right"/>
              <w:ind w:right="40"/>
              <w:spacing w:after="0"/>
              <w:rPr>
                <w:sz w:val="20"/>
                <w:szCs w:val="20"/>
                <w:color w:val="auto"/>
              </w:rPr>
            </w:pPr>
            <w:r>
              <w:rPr>
                <w:rFonts w:ascii="Arial" w:cs="Arial" w:eastAsia="Arial" w:hAnsi="Arial"/>
                <w:sz w:val="16"/>
                <w:szCs w:val="16"/>
                <w:color w:val="auto"/>
              </w:rPr>
              <w:t>633</w:t>
            </w:r>
          </w:p>
        </w:tc>
        <w:tc>
          <w:tcPr>
            <w:tcW w:w="36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5"/>
        </w:trPr>
        <w:tc>
          <w:tcPr>
            <w:tcW w:w="5360" w:type="dxa"/>
            <w:vAlign w:val="bottom"/>
          </w:tcPr>
          <w:p>
            <w:pPr>
              <w:ind w:left="300"/>
              <w:spacing w:after="0"/>
              <w:rPr>
                <w:sz w:val="20"/>
                <w:szCs w:val="20"/>
                <w:color w:val="auto"/>
              </w:rPr>
            </w:pPr>
            <w:r>
              <w:rPr>
                <w:rFonts w:ascii="Arial" w:cs="Arial" w:eastAsia="Arial" w:hAnsi="Arial"/>
                <w:sz w:val="16"/>
                <w:szCs w:val="16"/>
                <w:color w:val="auto"/>
              </w:rPr>
              <w:t>of adjustments</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Goodwill impairment</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13,696</w:t>
            </w:r>
          </w:p>
        </w:tc>
        <w:tc>
          <w:tcPr>
            <w:tcW w:w="0" w:type="dxa"/>
            <w:vAlign w:val="bottom"/>
          </w:tcPr>
          <w:p>
            <w:pPr>
              <w:spacing w:after="0"/>
              <w:rPr>
                <w:sz w:val="1"/>
                <w:szCs w:val="1"/>
                <w:color w:val="auto"/>
              </w:rPr>
            </w:pPr>
          </w:p>
        </w:tc>
      </w:tr>
      <w:tr>
        <w:trPr>
          <w:trHeight w:val="197"/>
        </w:trPr>
        <w:tc>
          <w:tcPr>
            <w:tcW w:w="536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201,771</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169,354</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567,436</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530,484</w:t>
            </w:r>
          </w:p>
        </w:tc>
        <w:tc>
          <w:tcPr>
            <w:tcW w:w="0" w:type="dxa"/>
            <w:vAlign w:val="bottom"/>
          </w:tcPr>
          <w:p>
            <w:pPr>
              <w:spacing w:after="0"/>
              <w:rPr>
                <w:sz w:val="1"/>
                <w:szCs w:val="1"/>
                <w:color w:val="auto"/>
              </w:rPr>
            </w:pPr>
          </w:p>
        </w:tc>
      </w:tr>
      <w:tr>
        <w:trPr>
          <w:trHeight w:val="197"/>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8,137</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(22,918)</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47,304</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(31,616)</w:t>
            </w:r>
          </w:p>
        </w:tc>
        <w:tc>
          <w:tcPr>
            <w:tcW w:w="0" w:type="dxa"/>
            <w:vAlign w:val="bottom"/>
          </w:tcPr>
          <w:p>
            <w:pPr>
              <w:spacing w:after="0"/>
              <w:rPr>
                <w:sz w:val="1"/>
                <w:szCs w:val="1"/>
                <w:color w:val="auto"/>
              </w:rPr>
            </w:pPr>
          </w:p>
        </w:tc>
      </w:tr>
      <w:tr>
        <w:trPr>
          <w:trHeight w:val="205"/>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 (benefit)</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1,908</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(5,942)</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10,728</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(8,308)</w:t>
            </w:r>
          </w:p>
        </w:tc>
        <w:tc>
          <w:tcPr>
            <w:tcW w:w="0" w:type="dxa"/>
            <w:vAlign w:val="bottom"/>
          </w:tcPr>
          <w:p>
            <w:pPr>
              <w:spacing w:after="0"/>
              <w:rPr>
                <w:sz w:val="1"/>
                <w:szCs w:val="1"/>
                <w:color w:val="auto"/>
              </w:rPr>
            </w:pPr>
          </w:p>
        </w:tc>
      </w:tr>
      <w:tr>
        <w:trPr>
          <w:trHeight w:val="197"/>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from continuing operations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6,229</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(16,976)</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36,576</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(23,308)</w:t>
            </w:r>
          </w:p>
        </w:tc>
        <w:tc>
          <w:tcPr>
            <w:tcW w:w="0" w:type="dxa"/>
            <w:vAlign w:val="bottom"/>
          </w:tcPr>
          <w:p>
            <w:pPr>
              <w:spacing w:after="0"/>
              <w:rPr>
                <w:sz w:val="1"/>
                <w:szCs w:val="1"/>
                <w:color w:val="auto"/>
              </w:rPr>
            </w:pPr>
          </w:p>
        </w:tc>
      </w:tr>
      <w:tr>
        <w:trPr>
          <w:trHeight w:val="205"/>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from discontinued operations, net of tax</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(48,237)</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(53,031)</w:t>
            </w:r>
          </w:p>
        </w:tc>
        <w:tc>
          <w:tcPr>
            <w:tcW w:w="0" w:type="dxa"/>
            <w:vAlign w:val="bottom"/>
          </w:tcPr>
          <w:p>
            <w:pPr>
              <w:spacing w:after="0"/>
              <w:rPr>
                <w:sz w:val="1"/>
                <w:szCs w:val="1"/>
                <w:color w:val="auto"/>
              </w:rPr>
            </w:pPr>
          </w:p>
        </w:tc>
      </w:tr>
      <w:tr>
        <w:trPr>
          <w:trHeight w:val="201"/>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6,203</w:t>
            </w:r>
          </w:p>
        </w:tc>
        <w:tc>
          <w:tcPr>
            <w:tcW w:w="3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(65,213)</w:t>
            </w:r>
          </w:p>
        </w:tc>
        <w:tc>
          <w:tcPr>
            <w:tcW w:w="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36,472</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(76,339)</w:t>
            </w:r>
          </w:p>
        </w:tc>
        <w:tc>
          <w:tcPr>
            <w:tcW w:w="0" w:type="dxa"/>
            <w:vAlign w:val="bottom"/>
          </w:tcPr>
          <w:p>
            <w:pPr>
              <w:spacing w:after="0"/>
              <w:rPr>
                <w:sz w:val="1"/>
                <w:szCs w:val="1"/>
                <w:color w:val="auto"/>
              </w:rPr>
            </w:pPr>
          </w:p>
        </w:tc>
      </w:tr>
      <w:tr>
        <w:trPr>
          <w:trHeight w:val="121"/>
        </w:trPr>
        <w:tc>
          <w:tcPr>
            <w:tcW w:w="5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(loss) per share:</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60" w:type="dxa"/>
            <w:vAlign w:val="bottom"/>
          </w:tcPr>
          <w:p>
            <w:pPr>
              <w:ind w:left="300"/>
              <w:spacing w:after="0"/>
              <w:rPr>
                <w:sz w:val="20"/>
                <w:szCs w:val="20"/>
                <w:color w:val="auto"/>
              </w:rPr>
            </w:pPr>
            <w:r>
              <w:rPr>
                <w:rFonts w:ascii="Arial" w:cs="Arial" w:eastAsia="Arial" w:hAnsi="Arial"/>
                <w:sz w:val="16"/>
                <w:szCs w:val="16"/>
                <w:color w:val="auto"/>
              </w:rPr>
              <w:t>Basic:</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Continuing operations</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0.19</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1.09</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05"/>
        </w:trPr>
        <w:tc>
          <w:tcPr>
            <w:tcW w:w="536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Discontinued operations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197"/>
        </w:trPr>
        <w:tc>
          <w:tcPr>
            <w:tcW w:w="53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Basic earnings (loss) per share</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0.19</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1.09</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5"/>
        </w:trPr>
        <w:tc>
          <w:tcPr>
            <w:tcW w:w="5360" w:type="dxa"/>
            <w:vAlign w:val="bottom"/>
          </w:tcPr>
          <w:p>
            <w:pPr>
              <w:ind w:left="30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Continuing operations</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0.19</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1.09</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05"/>
        </w:trPr>
        <w:tc>
          <w:tcPr>
            <w:tcW w:w="536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Discontinued operations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197"/>
        </w:trPr>
        <w:tc>
          <w:tcPr>
            <w:tcW w:w="53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Diluted earnings (loss) per share</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0.19</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1.09</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5"/>
        </w:trPr>
        <w:tc>
          <w:tcPr>
            <w:tcW w:w="5360" w:type="dxa"/>
            <w:vAlign w:val="bottom"/>
          </w:tcPr>
          <w:p>
            <w:pPr>
              <w:ind w:left="20"/>
              <w:spacing w:after="0"/>
              <w:rPr>
                <w:sz w:val="20"/>
                <w:szCs w:val="20"/>
                <w:color w:val="auto"/>
              </w:rPr>
            </w:pPr>
            <w:r>
              <w:rPr>
                <w:rFonts w:ascii="Arial" w:cs="Arial" w:eastAsia="Arial" w:hAnsi="Arial"/>
                <w:sz w:val="16"/>
                <w:szCs w:val="16"/>
                <w:b w:val="1"/>
                <w:bCs w:val="1"/>
                <w:color w:val="auto"/>
              </w:rPr>
              <w:t>Shares used to compute earnings (loss) per share:</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33,620</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33,439</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33,541</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33,396</w:t>
            </w:r>
          </w:p>
        </w:tc>
        <w:tc>
          <w:tcPr>
            <w:tcW w:w="0" w:type="dxa"/>
            <w:vAlign w:val="bottom"/>
          </w:tcPr>
          <w:p>
            <w:pPr>
              <w:spacing w:after="0"/>
              <w:rPr>
                <w:sz w:val="1"/>
                <w:szCs w:val="1"/>
                <w:color w:val="auto"/>
              </w:rPr>
            </w:pPr>
          </w:p>
        </w:tc>
      </w:tr>
      <w:tr>
        <w:trPr>
          <w:trHeight w:val="205"/>
        </w:trPr>
        <w:tc>
          <w:tcPr>
            <w:tcW w:w="5360" w:type="dxa"/>
            <w:vAlign w:val="bottom"/>
          </w:tcPr>
          <w:p>
            <w:pPr>
              <w:ind w:left="30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33,649</w:t>
            </w:r>
          </w:p>
        </w:tc>
        <w:tc>
          <w:tcPr>
            <w:tcW w:w="38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33,439</w:t>
            </w:r>
          </w:p>
        </w:tc>
        <w:tc>
          <w:tcPr>
            <w:tcW w:w="240" w:type="dxa"/>
            <w:vAlign w:val="bottom"/>
          </w:tcPr>
          <w:p>
            <w:pPr>
              <w:spacing w:after="0"/>
              <w:rPr>
                <w:sz w:val="17"/>
                <w:szCs w:val="17"/>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33,678</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33,396</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11" w:right="3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6"/>
          <w:szCs w:val="16"/>
          <w:b w:val="1"/>
          <w:bCs w:val="1"/>
          <w:color w:val="auto"/>
        </w:rPr>
        <w:t>Tredegar Corporation</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Comprehensive Income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60" w:type="dxa"/>
            <w:vAlign w:val="bottom"/>
            <w:tcBorders>
              <w:top w:val="single" w:sz="8" w:color="auto"/>
            </w:tcBorders>
          </w:tcPr>
          <w:p>
            <w:pPr>
              <w:spacing w:after="0"/>
              <w:rPr>
                <w:sz w:val="19"/>
                <w:szCs w:val="19"/>
                <w:color w:val="auto"/>
              </w:rPr>
            </w:pPr>
          </w:p>
        </w:tc>
        <w:tc>
          <w:tcPr>
            <w:tcW w:w="2600" w:type="dxa"/>
            <w:vAlign w:val="bottom"/>
            <w:tcBorders>
              <w:top w:val="single" w:sz="8" w:color="auto"/>
            </w:tcBorders>
            <w:gridSpan w:val="4"/>
          </w:tcPr>
          <w:p>
            <w:pPr>
              <w:jc w:val="right"/>
              <w:spacing w:after="0"/>
              <w:rPr>
                <w:sz w:val="20"/>
                <w:szCs w:val="20"/>
                <w:color w:val="auto"/>
              </w:rPr>
            </w:pPr>
            <w:r>
              <w:rPr>
                <w:rFonts w:ascii="Arial" w:cs="Arial" w:eastAsia="Arial" w:hAnsi="Arial"/>
                <w:sz w:val="16"/>
                <w:szCs w:val="16"/>
                <w:color w:val="auto"/>
                <w:w w:val="97"/>
              </w:rPr>
              <w:t>Three Months Ended September 30,</w:t>
            </w:r>
          </w:p>
        </w:tc>
      </w:tr>
      <w:tr>
        <w:trPr>
          <w:trHeight w:val="205"/>
        </w:trPr>
        <w:tc>
          <w:tcPr>
            <w:tcW w:w="8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2021</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2020</w:t>
            </w:r>
          </w:p>
        </w:tc>
      </w:tr>
      <w:tr>
        <w:trPr>
          <w:trHeight w:val="197"/>
        </w:trPr>
        <w:tc>
          <w:tcPr>
            <w:tcW w:w="8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5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6,203</w:t>
            </w:r>
          </w:p>
        </w:tc>
        <w:tc>
          <w:tcPr>
            <w:tcW w:w="300" w:type="dxa"/>
            <w:vAlign w:val="bottom"/>
            <w:shd w:val="clear" w:color="auto" w:fill="CCEEFF"/>
          </w:tcPr>
          <w:p>
            <w:pPr>
              <w:jc w:val="center"/>
              <w:ind w:right="14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(65,213)</w:t>
            </w:r>
          </w:p>
        </w:tc>
      </w:tr>
      <w:tr>
        <w:trPr>
          <w:trHeight w:val="205"/>
        </w:trPr>
        <w:tc>
          <w:tcPr>
            <w:tcW w:w="8660" w:type="dxa"/>
            <w:vAlign w:val="bottom"/>
          </w:tcPr>
          <w:p>
            <w:pPr>
              <w:ind w:left="100"/>
              <w:spacing w:after="0"/>
              <w:rPr>
                <w:sz w:val="20"/>
                <w:szCs w:val="20"/>
                <w:color w:val="auto"/>
              </w:rPr>
            </w:pPr>
            <w:r>
              <w:rPr>
                <w:rFonts w:ascii="Arial" w:cs="Arial" w:eastAsia="Arial" w:hAnsi="Arial"/>
                <w:sz w:val="16"/>
                <w:szCs w:val="16"/>
                <w:b w:val="1"/>
                <w:bCs w:val="1"/>
                <w:color w:val="auto"/>
              </w:rPr>
              <w:t>Other comprehensive income (loss):</w:t>
            </w: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5"/>
        </w:trPr>
        <w:tc>
          <w:tcPr>
            <w:tcW w:w="866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6"/>
              </w:rPr>
              <w:t>Unrealized foreign currency translation adjustment (net of tax benefit of $294 in 2021 and net of tax benefit of $19 in 2020)</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(2,788)</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r>
      <w:tr>
        <w:trPr>
          <w:trHeight w:val="205"/>
        </w:trPr>
        <w:tc>
          <w:tcPr>
            <w:tcW w:w="8660" w:type="dxa"/>
            <w:vAlign w:val="bottom"/>
          </w:tcPr>
          <w:p>
            <w:pPr>
              <w:ind w:left="300"/>
              <w:spacing w:after="0"/>
              <w:rPr>
                <w:sz w:val="20"/>
                <w:szCs w:val="20"/>
                <w:color w:val="auto"/>
              </w:rPr>
            </w:pPr>
            <w:r>
              <w:rPr>
                <w:rFonts w:ascii="Arial" w:cs="Arial" w:eastAsia="Arial" w:hAnsi="Arial"/>
                <w:sz w:val="16"/>
                <w:szCs w:val="16"/>
                <w:color w:val="auto"/>
              </w:rPr>
              <w:t>Derivative financial instruments adjustment (net of tax benefit of $174 in 2021 and net of tax of $618 in 2020)</w:t>
            </w:r>
          </w:p>
        </w:tc>
        <w:tc>
          <w:tcPr>
            <w:tcW w:w="520" w:type="dxa"/>
            <w:vAlign w:val="bottom"/>
          </w:tcPr>
          <w:p>
            <w:pPr>
              <w:spacing w:after="0"/>
              <w:rPr>
                <w:sz w:val="17"/>
                <w:szCs w:val="17"/>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(717)</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2,213</w:t>
            </w:r>
          </w:p>
        </w:tc>
      </w:tr>
      <w:tr>
        <w:trPr>
          <w:trHeight w:val="205"/>
        </w:trPr>
        <w:tc>
          <w:tcPr>
            <w:tcW w:w="86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Amortization of prior service costs and net gains or losses (net of tax of $927 in 2021 and net of tax of $836 in 2020)</w:t>
            </w:r>
          </w:p>
        </w:tc>
        <w:tc>
          <w:tcPr>
            <w:tcW w:w="5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3,317</w:t>
            </w:r>
          </w:p>
        </w:tc>
        <w:tc>
          <w:tcPr>
            <w:tcW w:w="3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2,931</w:t>
            </w:r>
          </w:p>
        </w:tc>
      </w:tr>
      <w:tr>
        <w:trPr>
          <w:trHeight w:val="197"/>
        </w:trPr>
        <w:tc>
          <w:tcPr>
            <w:tcW w:w="86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Other comprehensive income (loss)</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(188)</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6,071</w:t>
            </w:r>
          </w:p>
        </w:tc>
      </w:tr>
      <w:tr>
        <w:trPr>
          <w:trHeight w:val="201"/>
        </w:trPr>
        <w:tc>
          <w:tcPr>
            <w:tcW w:w="8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5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6,015</w:t>
            </w:r>
          </w:p>
        </w:tc>
        <w:tc>
          <w:tcPr>
            <w:tcW w:w="300" w:type="dxa"/>
            <w:vAlign w:val="bottom"/>
            <w:tcBorders>
              <w:bottom w:val="single" w:sz="8" w:color="auto"/>
            </w:tcBorders>
            <w:shd w:val="clear" w:color="auto" w:fill="CCEEFF"/>
          </w:tcPr>
          <w:p>
            <w:pPr>
              <w:jc w:val="center"/>
              <w:ind w:right="14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(59,142)</w:t>
            </w:r>
          </w:p>
        </w:tc>
      </w:tr>
      <w:tr>
        <w:trPr>
          <w:trHeight w:val="330"/>
        </w:trPr>
        <w:tc>
          <w:tcPr>
            <w:tcW w:w="86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spacing w:after="0"/>
              <w:rPr>
                <w:sz w:val="24"/>
                <w:szCs w:val="24"/>
                <w:color w:val="auto"/>
              </w:rPr>
            </w:pPr>
          </w:p>
        </w:tc>
      </w:tr>
      <w:tr>
        <w:trPr>
          <w:trHeight w:val="157"/>
        </w:trPr>
        <w:tc>
          <w:tcPr>
            <w:tcW w:w="8660" w:type="dxa"/>
            <w:vAlign w:val="bottom"/>
          </w:tcPr>
          <w:p>
            <w:pPr>
              <w:spacing w:after="0"/>
              <w:rPr>
                <w:sz w:val="13"/>
                <w:szCs w:val="13"/>
                <w:color w:val="auto"/>
              </w:rPr>
            </w:pPr>
          </w:p>
        </w:tc>
        <w:tc>
          <w:tcPr>
            <w:tcW w:w="2600" w:type="dxa"/>
            <w:vAlign w:val="bottom"/>
            <w:gridSpan w:val="4"/>
          </w:tcPr>
          <w:p>
            <w:pPr>
              <w:jc w:val="center"/>
              <w:ind w:left="300"/>
              <w:spacing w:after="0" w:line="157" w:lineRule="exact"/>
              <w:rPr>
                <w:sz w:val="20"/>
                <w:szCs w:val="20"/>
                <w:color w:val="auto"/>
              </w:rPr>
            </w:pPr>
            <w:r>
              <w:rPr>
                <w:rFonts w:ascii="Arial" w:cs="Arial" w:eastAsia="Arial" w:hAnsi="Arial"/>
                <w:sz w:val="16"/>
                <w:szCs w:val="16"/>
                <w:color w:val="auto"/>
                <w:w w:val="90"/>
              </w:rPr>
              <w:t>Nine Months Ended September</w:t>
            </w:r>
          </w:p>
        </w:tc>
      </w:tr>
      <w:tr>
        <w:trPr>
          <w:trHeight w:val="205"/>
        </w:trPr>
        <w:tc>
          <w:tcPr>
            <w:tcW w:w="8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gridSpan w:val="2"/>
          </w:tcPr>
          <w:p>
            <w:pPr>
              <w:jc w:val="center"/>
              <w:ind w:left="620"/>
              <w:spacing w:after="0"/>
              <w:rPr>
                <w:sz w:val="20"/>
                <w:szCs w:val="20"/>
                <w:color w:val="auto"/>
              </w:rPr>
            </w:pPr>
            <w:r>
              <w:rPr>
                <w:rFonts w:ascii="Arial" w:cs="Arial" w:eastAsia="Arial" w:hAnsi="Arial"/>
                <w:sz w:val="16"/>
                <w:szCs w:val="16"/>
                <w:color w:val="auto"/>
                <w:w w:val="89"/>
              </w:rPr>
              <w:t>30,</w:t>
            </w:r>
          </w:p>
        </w:tc>
        <w:tc>
          <w:tcPr>
            <w:tcW w:w="860" w:type="dxa"/>
            <w:vAlign w:val="bottom"/>
          </w:tcPr>
          <w:p>
            <w:pPr>
              <w:spacing w:after="0"/>
              <w:rPr>
                <w:sz w:val="17"/>
                <w:szCs w:val="17"/>
                <w:color w:val="auto"/>
              </w:rPr>
            </w:pPr>
          </w:p>
        </w:tc>
      </w:tr>
      <w:tr>
        <w:trPr>
          <w:trHeight w:val="205"/>
        </w:trPr>
        <w:tc>
          <w:tcPr>
            <w:tcW w:w="8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2021</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2020</w:t>
            </w:r>
          </w:p>
        </w:tc>
      </w:tr>
      <w:tr>
        <w:trPr>
          <w:trHeight w:val="197"/>
        </w:trPr>
        <w:tc>
          <w:tcPr>
            <w:tcW w:w="8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36,472</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(76,339)</w:t>
            </w:r>
          </w:p>
        </w:tc>
      </w:tr>
      <w:tr>
        <w:trPr>
          <w:trHeight w:val="205"/>
        </w:trPr>
        <w:tc>
          <w:tcPr>
            <w:tcW w:w="8660" w:type="dxa"/>
            <w:vAlign w:val="bottom"/>
          </w:tcPr>
          <w:p>
            <w:pPr>
              <w:ind w:left="100"/>
              <w:spacing w:after="0"/>
              <w:rPr>
                <w:sz w:val="20"/>
                <w:szCs w:val="20"/>
                <w:color w:val="auto"/>
              </w:rPr>
            </w:pPr>
            <w:r>
              <w:rPr>
                <w:rFonts w:ascii="Arial" w:cs="Arial" w:eastAsia="Arial" w:hAnsi="Arial"/>
                <w:sz w:val="16"/>
                <w:szCs w:val="16"/>
                <w:b w:val="1"/>
                <w:bCs w:val="1"/>
                <w:color w:val="auto"/>
              </w:rPr>
              <w:t>Other comprehensive income (loss):</w:t>
            </w: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5"/>
        </w:trPr>
        <w:tc>
          <w:tcPr>
            <w:tcW w:w="866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4"/>
              </w:rPr>
              <w:t>Unrealized foreign currency translation adjustment (net of tax benefit of $103 in 2021 and net of tax benefit of $1,125 in 2020)</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(11,076)</w:t>
            </w:r>
          </w:p>
        </w:tc>
      </w:tr>
      <w:tr>
        <w:trPr>
          <w:trHeight w:val="205"/>
        </w:trPr>
        <w:tc>
          <w:tcPr>
            <w:tcW w:w="8660" w:type="dxa"/>
            <w:vAlign w:val="bottom"/>
          </w:tcPr>
          <w:p>
            <w:pPr>
              <w:ind w:left="300"/>
              <w:spacing w:after="0"/>
              <w:rPr>
                <w:sz w:val="20"/>
                <w:szCs w:val="20"/>
                <w:color w:val="auto"/>
              </w:rPr>
            </w:pPr>
            <w:r>
              <w:rPr>
                <w:rFonts w:ascii="Arial" w:cs="Arial" w:eastAsia="Arial" w:hAnsi="Arial"/>
                <w:sz w:val="16"/>
                <w:szCs w:val="16"/>
                <w:color w:val="auto"/>
              </w:rPr>
              <w:t>Derivative financial instruments adjustment (net of tax of $185 in 2021 and net of tax benefit of $269 in 2020)</w:t>
            </w: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515</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(304)</w:t>
            </w:r>
          </w:p>
        </w:tc>
      </w:tr>
      <w:tr>
        <w:trPr>
          <w:trHeight w:val="205"/>
        </w:trPr>
        <w:tc>
          <w:tcPr>
            <w:tcW w:w="86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w w:val="98"/>
              </w:rPr>
              <w:t>Amortization of prior service costs and net gains or losses (net of tax of $2,773 in 2021 and net of tax of $2,507 in 2020)</w:t>
            </w:r>
          </w:p>
        </w:tc>
        <w:tc>
          <w:tcPr>
            <w:tcW w:w="5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9,954</w:t>
            </w:r>
          </w:p>
        </w:tc>
        <w:tc>
          <w:tcPr>
            <w:tcW w:w="3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8,793</w:t>
            </w:r>
          </w:p>
        </w:tc>
      </w:tr>
      <w:tr>
        <w:trPr>
          <w:trHeight w:val="197"/>
        </w:trPr>
        <w:tc>
          <w:tcPr>
            <w:tcW w:w="86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Other comprehensive income (loss)</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9,026</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(2,587)</w:t>
            </w:r>
          </w:p>
        </w:tc>
      </w:tr>
      <w:tr>
        <w:trPr>
          <w:trHeight w:val="201"/>
        </w:trPr>
        <w:tc>
          <w:tcPr>
            <w:tcW w:w="8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45,498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(78,926)</w:t>
            </w:r>
          </w:p>
        </w:tc>
      </w:tr>
    </w:tbl>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11" w:right="31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6"/>
          <w:szCs w:val="16"/>
          <w:b w:val="1"/>
          <w:bCs w:val="1"/>
          <w:color w:val="auto"/>
        </w:rPr>
        <w:t>Tredegar Corporation</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0120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1205" cy="15240"/>
                    </a:xfrm>
                    <a:prstGeom prst="rect">
                      <a:avLst/>
                    </a:prstGeom>
                    <a:noFill/>
                  </pic:spPr>
                </pic:pic>
              </a:graphicData>
            </a:graphic>
          </wp:anchor>
        </w:drawing>
      </w:r>
    </w:p>
    <w:p>
      <w:pPr>
        <w:spacing w:after="0" w:line="24" w:lineRule="exact"/>
        <w:rPr>
          <w:sz w:val="20"/>
          <w:szCs w:val="20"/>
          <w:color w:val="auto"/>
        </w:rPr>
      </w:pPr>
    </w:p>
    <w:p>
      <w:pPr>
        <w:jc w:val="center"/>
        <w:ind w:left="9260"/>
        <w:spacing w:after="0"/>
        <w:rPr>
          <w:sz w:val="20"/>
          <w:szCs w:val="20"/>
          <w:color w:val="auto"/>
        </w:rPr>
      </w:pPr>
      <w:r>
        <w:rPr>
          <w:rFonts w:ascii="Arial" w:cs="Arial" w:eastAsia="Arial" w:hAnsi="Arial"/>
          <w:sz w:val="16"/>
          <w:szCs w:val="16"/>
          <w:color w:val="auto"/>
        </w:rPr>
        <w:t>Nine Months Ended</w:t>
      </w:r>
    </w:p>
    <w:p>
      <w:pPr>
        <w:jc w:val="center"/>
        <w:ind w:left="9260"/>
        <w:spacing w:after="0"/>
        <w:rPr>
          <w:sz w:val="20"/>
          <w:szCs w:val="20"/>
          <w:color w:val="auto"/>
        </w:rPr>
      </w:pPr>
      <w:r>
        <w:rPr>
          <w:rFonts w:ascii="Arial" w:cs="Arial" w:eastAsia="Arial" w:hAnsi="Arial"/>
          <w:sz w:val="16"/>
          <w:szCs w:val="16"/>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2020</w:t>
            </w:r>
          </w:p>
        </w:tc>
      </w:tr>
      <w:tr>
        <w:trPr>
          <w:trHeight w:val="197"/>
        </w:trPr>
        <w:tc>
          <w:tcPr>
            <w:tcW w:w="7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0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5"/>
        </w:trPr>
        <w:tc>
          <w:tcPr>
            <w:tcW w:w="7400" w:type="dxa"/>
            <w:vAlign w:val="bottom"/>
          </w:tcPr>
          <w:p>
            <w:pPr>
              <w:ind w:left="300"/>
              <w:spacing w:after="0"/>
              <w:rPr>
                <w:sz w:val="20"/>
                <w:szCs w:val="20"/>
                <w:color w:val="auto"/>
              </w:rPr>
            </w:pPr>
            <w:r>
              <w:rPr>
                <w:rFonts w:ascii="Arial" w:cs="Arial" w:eastAsia="Arial" w:hAnsi="Arial"/>
                <w:sz w:val="16"/>
                <w:szCs w:val="16"/>
                <w:color w:val="auto"/>
              </w:rPr>
              <w:t>Net income (loss)</w:t>
            </w:r>
          </w:p>
        </w:tc>
        <w:tc>
          <w:tcPr>
            <w:tcW w:w="20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36,472</w:t>
            </w:r>
          </w:p>
        </w:tc>
        <w:tc>
          <w:tcPr>
            <w:tcW w:w="2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(76,339)</w:t>
            </w:r>
          </w:p>
        </w:tc>
      </w:tr>
      <w:tr>
        <w:trPr>
          <w:trHeight w:val="205"/>
        </w:trPr>
        <w:tc>
          <w:tcPr>
            <w:tcW w:w="7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Adjustments for noncash items:</w:t>
            </w:r>
          </w:p>
        </w:tc>
        <w:tc>
          <w:tcPr>
            <w:tcW w:w="20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5"/>
        </w:trPr>
        <w:tc>
          <w:tcPr>
            <w:tcW w:w="7400" w:type="dxa"/>
            <w:vAlign w:val="bottom"/>
          </w:tcPr>
          <w:p>
            <w:pPr>
              <w:ind w:left="580"/>
              <w:spacing w:after="0"/>
              <w:rPr>
                <w:sz w:val="20"/>
                <w:szCs w:val="20"/>
                <w:color w:val="auto"/>
              </w:rPr>
            </w:pPr>
            <w:r>
              <w:rPr>
                <w:rFonts w:ascii="Arial" w:cs="Arial" w:eastAsia="Arial" w:hAnsi="Arial"/>
                <w:sz w:val="16"/>
                <w:szCs w:val="16"/>
                <w:color w:val="auto"/>
              </w:rPr>
              <w:t>Depreciation</w:t>
            </w:r>
          </w:p>
        </w:tc>
        <w:tc>
          <w:tcPr>
            <w:tcW w:w="206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16,169</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23,218</w:t>
            </w:r>
          </w:p>
        </w:tc>
      </w:tr>
      <w:tr>
        <w:trPr>
          <w:trHeight w:val="205"/>
        </w:trPr>
        <w:tc>
          <w:tcPr>
            <w:tcW w:w="74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Amortization of identifiable intangibles</w:t>
            </w:r>
          </w:p>
        </w:tc>
        <w:tc>
          <w:tcPr>
            <w:tcW w:w="20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2,170</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w:t>
            </w:r>
          </w:p>
        </w:tc>
      </w:tr>
      <w:tr>
        <w:trPr>
          <w:trHeight w:val="205"/>
        </w:trPr>
        <w:tc>
          <w:tcPr>
            <w:tcW w:w="7400" w:type="dxa"/>
            <w:vAlign w:val="bottom"/>
          </w:tcPr>
          <w:p>
            <w:pPr>
              <w:ind w:left="580"/>
              <w:spacing w:after="0"/>
              <w:rPr>
                <w:sz w:val="20"/>
                <w:szCs w:val="20"/>
                <w:color w:val="auto"/>
              </w:rPr>
            </w:pPr>
            <w:r>
              <w:rPr>
                <w:rFonts w:ascii="Arial" w:cs="Arial" w:eastAsia="Arial" w:hAnsi="Arial"/>
                <w:sz w:val="16"/>
                <w:szCs w:val="16"/>
                <w:color w:val="auto"/>
              </w:rPr>
              <w:t>Reduction of right-of-use lease asset</w:t>
            </w:r>
          </w:p>
        </w:tc>
        <w:tc>
          <w:tcPr>
            <w:tcW w:w="206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1,582</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2,102</w:t>
            </w:r>
          </w:p>
        </w:tc>
      </w:tr>
      <w:tr>
        <w:trPr>
          <w:trHeight w:val="205"/>
        </w:trPr>
        <w:tc>
          <w:tcPr>
            <w:tcW w:w="74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Goodwill impairment</w:t>
            </w:r>
          </w:p>
        </w:tc>
        <w:tc>
          <w:tcPr>
            <w:tcW w:w="20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13,696</w:t>
            </w:r>
          </w:p>
        </w:tc>
      </w:tr>
      <w:tr>
        <w:trPr>
          <w:trHeight w:val="205"/>
        </w:trPr>
        <w:tc>
          <w:tcPr>
            <w:tcW w:w="7400" w:type="dxa"/>
            <w:vAlign w:val="bottom"/>
          </w:tcPr>
          <w:p>
            <w:pPr>
              <w:ind w:left="580"/>
              <w:spacing w:after="0"/>
              <w:rPr>
                <w:sz w:val="20"/>
                <w:szCs w:val="20"/>
                <w:color w:val="auto"/>
              </w:rPr>
            </w:pPr>
            <w:r>
              <w:rPr>
                <w:rFonts w:ascii="Arial" w:cs="Arial" w:eastAsia="Arial" w:hAnsi="Arial"/>
                <w:sz w:val="16"/>
                <w:szCs w:val="16"/>
                <w:color w:val="auto"/>
              </w:rPr>
              <w:t>Deferred income taxes</w:t>
            </w:r>
          </w:p>
        </w:tc>
        <w:tc>
          <w:tcPr>
            <w:tcW w:w="206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4,120</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(19,492)</w:t>
            </w:r>
          </w:p>
        </w:tc>
      </w:tr>
      <w:tr>
        <w:trPr>
          <w:trHeight w:val="205"/>
        </w:trPr>
        <w:tc>
          <w:tcPr>
            <w:tcW w:w="74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Accrued pension and post-retirement benefits</w:t>
            </w:r>
          </w:p>
        </w:tc>
        <w:tc>
          <w:tcPr>
            <w:tcW w:w="20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10,622</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10,701</w:t>
            </w:r>
          </w:p>
        </w:tc>
      </w:tr>
      <w:tr>
        <w:trPr>
          <w:trHeight w:val="205"/>
        </w:trPr>
        <w:tc>
          <w:tcPr>
            <w:tcW w:w="7400" w:type="dxa"/>
            <w:vAlign w:val="bottom"/>
          </w:tcPr>
          <w:p>
            <w:pPr>
              <w:ind w:left="580"/>
              <w:spacing w:after="0"/>
              <w:rPr>
                <w:sz w:val="20"/>
                <w:szCs w:val="20"/>
                <w:color w:val="auto"/>
              </w:rPr>
            </w:pPr>
            <w:r>
              <w:rPr>
                <w:rFonts w:ascii="Arial" w:cs="Arial" w:eastAsia="Arial" w:hAnsi="Arial"/>
                <w:sz w:val="16"/>
                <w:szCs w:val="16"/>
                <w:color w:val="auto"/>
              </w:rPr>
              <w:t>Stock-based compensation expense</w:t>
            </w:r>
          </w:p>
        </w:tc>
        <w:tc>
          <w:tcPr>
            <w:tcW w:w="206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3,227</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4,120</w:t>
            </w:r>
          </w:p>
        </w:tc>
      </w:tr>
      <w:tr>
        <w:trPr>
          <w:trHeight w:val="205"/>
        </w:trPr>
        <w:tc>
          <w:tcPr>
            <w:tcW w:w="74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(Gain) loss on investment in kaléo accounted for under the fair value method</w:t>
            </w:r>
          </w:p>
        </w:tc>
        <w:tc>
          <w:tcPr>
            <w:tcW w:w="20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61,000</w:t>
            </w:r>
          </w:p>
        </w:tc>
      </w:tr>
      <w:tr>
        <w:trPr>
          <w:trHeight w:val="205"/>
        </w:trPr>
        <w:tc>
          <w:tcPr>
            <w:tcW w:w="7400" w:type="dxa"/>
            <w:vAlign w:val="bottom"/>
          </w:tcPr>
          <w:p>
            <w:pPr>
              <w:ind w:left="580"/>
              <w:spacing w:after="0"/>
              <w:rPr>
                <w:sz w:val="20"/>
                <w:szCs w:val="20"/>
                <w:color w:val="auto"/>
              </w:rPr>
            </w:pPr>
            <w:r>
              <w:rPr>
                <w:rFonts w:ascii="Arial" w:cs="Arial" w:eastAsia="Arial" w:hAnsi="Arial"/>
                <w:sz w:val="16"/>
                <w:szCs w:val="16"/>
                <w:color w:val="auto"/>
              </w:rPr>
              <w:t>Held for sale impairment loss on divested assets</w:t>
            </w:r>
          </w:p>
        </w:tc>
        <w:tc>
          <w:tcPr>
            <w:tcW w:w="206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45,054</w:t>
            </w:r>
          </w:p>
        </w:tc>
      </w:tr>
      <w:tr>
        <w:trPr>
          <w:trHeight w:val="205"/>
        </w:trPr>
        <w:tc>
          <w:tcPr>
            <w:tcW w:w="7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Changes in assets and liabilities:</w:t>
            </w:r>
          </w:p>
        </w:tc>
        <w:tc>
          <w:tcPr>
            <w:tcW w:w="20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5"/>
        </w:trPr>
        <w:tc>
          <w:tcPr>
            <w:tcW w:w="7400" w:type="dxa"/>
            <w:vAlign w:val="bottom"/>
          </w:tcPr>
          <w:p>
            <w:pPr>
              <w:ind w:left="580"/>
              <w:spacing w:after="0"/>
              <w:rPr>
                <w:sz w:val="20"/>
                <w:szCs w:val="20"/>
                <w:color w:val="auto"/>
              </w:rPr>
            </w:pPr>
            <w:r>
              <w:rPr>
                <w:rFonts w:ascii="Arial" w:cs="Arial" w:eastAsia="Arial" w:hAnsi="Arial"/>
                <w:sz w:val="16"/>
                <w:szCs w:val="16"/>
                <w:color w:val="auto"/>
              </w:rPr>
              <w:t>Accounts and other receivables</w:t>
            </w:r>
          </w:p>
        </w:tc>
        <w:tc>
          <w:tcPr>
            <w:tcW w:w="20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(11,379)</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4,961</w:t>
            </w:r>
          </w:p>
        </w:tc>
      </w:tr>
      <w:tr>
        <w:trPr>
          <w:trHeight w:val="205"/>
        </w:trPr>
        <w:tc>
          <w:tcPr>
            <w:tcW w:w="74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Inventories</w:t>
            </w:r>
          </w:p>
        </w:tc>
        <w:tc>
          <w:tcPr>
            <w:tcW w:w="20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(19,902)</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(2,761)</w:t>
            </w:r>
          </w:p>
        </w:tc>
      </w:tr>
      <w:tr>
        <w:trPr>
          <w:trHeight w:val="205"/>
        </w:trPr>
        <w:tc>
          <w:tcPr>
            <w:tcW w:w="7400" w:type="dxa"/>
            <w:vAlign w:val="bottom"/>
          </w:tcPr>
          <w:p>
            <w:pPr>
              <w:ind w:left="580"/>
              <w:spacing w:after="0"/>
              <w:rPr>
                <w:sz w:val="20"/>
                <w:szCs w:val="20"/>
                <w:color w:val="auto"/>
              </w:rPr>
            </w:pPr>
            <w:r>
              <w:rPr>
                <w:rFonts w:ascii="Arial" w:cs="Arial" w:eastAsia="Arial" w:hAnsi="Arial"/>
                <w:sz w:val="16"/>
                <w:szCs w:val="16"/>
                <w:color w:val="auto"/>
              </w:rPr>
              <w:t>Income taxes recoverable/payable</w:t>
            </w:r>
          </w:p>
        </w:tc>
        <w:tc>
          <w:tcPr>
            <w:tcW w:w="206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111</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5,332</w:t>
            </w:r>
          </w:p>
        </w:tc>
      </w:tr>
      <w:tr>
        <w:trPr>
          <w:trHeight w:val="205"/>
        </w:trPr>
        <w:tc>
          <w:tcPr>
            <w:tcW w:w="74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Prepaid expenses and other</w:t>
            </w:r>
          </w:p>
        </w:tc>
        <w:tc>
          <w:tcPr>
            <w:tcW w:w="20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3,422</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(5,305)</w:t>
            </w:r>
          </w:p>
        </w:tc>
      </w:tr>
      <w:tr>
        <w:trPr>
          <w:trHeight w:val="205"/>
        </w:trPr>
        <w:tc>
          <w:tcPr>
            <w:tcW w:w="7400" w:type="dxa"/>
            <w:vAlign w:val="bottom"/>
          </w:tcPr>
          <w:p>
            <w:pPr>
              <w:ind w:left="580"/>
              <w:spacing w:after="0"/>
              <w:rPr>
                <w:sz w:val="20"/>
                <w:szCs w:val="20"/>
                <w:color w:val="auto"/>
              </w:rPr>
            </w:pPr>
            <w:r>
              <w:rPr>
                <w:rFonts w:ascii="Arial" w:cs="Arial" w:eastAsia="Arial" w:hAnsi="Arial"/>
                <w:sz w:val="16"/>
                <w:szCs w:val="16"/>
                <w:color w:val="auto"/>
              </w:rPr>
              <w:t>Accounts payable and accrued expenses</w:t>
            </w:r>
          </w:p>
        </w:tc>
        <w:tc>
          <w:tcPr>
            <w:tcW w:w="206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12,078</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(2,112)</w:t>
            </w:r>
          </w:p>
        </w:tc>
      </w:tr>
      <w:tr>
        <w:trPr>
          <w:trHeight w:val="205"/>
        </w:trPr>
        <w:tc>
          <w:tcPr>
            <w:tcW w:w="74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Lease liability</w:t>
            </w:r>
          </w:p>
        </w:tc>
        <w:tc>
          <w:tcPr>
            <w:tcW w:w="20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w:t>
            </w:r>
          </w:p>
        </w:tc>
      </w:tr>
      <w:tr>
        <w:trPr>
          <w:trHeight w:val="205"/>
        </w:trPr>
        <w:tc>
          <w:tcPr>
            <w:tcW w:w="7400" w:type="dxa"/>
            <w:vAlign w:val="bottom"/>
          </w:tcPr>
          <w:p>
            <w:pPr>
              <w:ind w:left="300"/>
              <w:spacing w:after="0"/>
              <w:rPr>
                <w:sz w:val="20"/>
                <w:szCs w:val="20"/>
                <w:color w:val="auto"/>
              </w:rPr>
            </w:pPr>
            <w:r>
              <w:rPr>
                <w:rFonts w:ascii="Arial" w:cs="Arial" w:eastAsia="Arial" w:hAnsi="Arial"/>
                <w:sz w:val="16"/>
                <w:szCs w:val="16"/>
                <w:color w:val="auto"/>
              </w:rPr>
              <w:t>Pension and postretirement benefit plan contributions</w:t>
            </w:r>
          </w:p>
        </w:tc>
        <w:tc>
          <w:tcPr>
            <w:tcW w:w="20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(5,510)</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(2,254)</w:t>
            </w:r>
          </w:p>
        </w:tc>
      </w:tr>
      <w:tr>
        <w:trPr>
          <w:trHeight w:val="205"/>
        </w:trPr>
        <w:tc>
          <w:tcPr>
            <w:tcW w:w="74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Other, net</w:t>
            </w:r>
          </w:p>
        </w:tc>
        <w:tc>
          <w:tcPr>
            <w:tcW w:w="20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750</w:t>
            </w:r>
          </w:p>
        </w:tc>
        <w:tc>
          <w:tcPr>
            <w:tcW w:w="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4,386</w:t>
            </w:r>
          </w:p>
        </w:tc>
      </w:tr>
      <w:tr>
        <w:trPr>
          <w:trHeight w:val="197"/>
        </w:trPr>
        <w:tc>
          <w:tcPr>
            <w:tcW w:w="7400" w:type="dxa"/>
            <w:vAlign w:val="bottom"/>
          </w:tcPr>
          <w:p>
            <w:pPr>
              <w:ind w:left="580"/>
              <w:spacing w:after="0"/>
              <w:rPr>
                <w:sz w:val="20"/>
                <w:szCs w:val="20"/>
                <w:color w:val="auto"/>
              </w:rPr>
            </w:pPr>
            <w:r>
              <w:rPr>
                <w:rFonts w:ascii="Arial" w:cs="Arial" w:eastAsia="Arial" w:hAnsi="Arial"/>
                <w:sz w:val="16"/>
                <w:szCs w:val="16"/>
                <w:color w:val="auto"/>
              </w:rPr>
              <w:t>Net cash provided by operating activities</w:t>
            </w:r>
          </w:p>
        </w:tc>
        <w:tc>
          <w:tcPr>
            <w:tcW w:w="206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51,487</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66,326</w:t>
            </w:r>
          </w:p>
        </w:tc>
      </w:tr>
      <w:tr>
        <w:trPr>
          <w:trHeight w:val="205"/>
        </w:trPr>
        <w:tc>
          <w:tcPr>
            <w:tcW w:w="7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0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5"/>
        </w:trPr>
        <w:tc>
          <w:tcPr>
            <w:tcW w:w="7400" w:type="dxa"/>
            <w:vAlign w:val="bottom"/>
          </w:tcPr>
          <w:p>
            <w:pPr>
              <w:ind w:left="300"/>
              <w:spacing w:after="0"/>
              <w:rPr>
                <w:sz w:val="20"/>
                <w:szCs w:val="20"/>
                <w:color w:val="auto"/>
              </w:rPr>
            </w:pPr>
            <w:r>
              <w:rPr>
                <w:rFonts w:ascii="Arial" w:cs="Arial" w:eastAsia="Arial" w:hAnsi="Arial"/>
                <w:sz w:val="16"/>
                <w:szCs w:val="16"/>
                <w:color w:val="auto"/>
              </w:rPr>
              <w:t>Capital expenditures</w:t>
            </w:r>
          </w:p>
        </w:tc>
        <w:tc>
          <w:tcPr>
            <w:tcW w:w="20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(19,576)</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(13,416)</w:t>
            </w:r>
          </w:p>
        </w:tc>
      </w:tr>
      <w:tr>
        <w:trPr>
          <w:trHeight w:val="205"/>
        </w:trPr>
        <w:tc>
          <w:tcPr>
            <w:tcW w:w="74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Proceeds from the sale of assets</w:t>
            </w:r>
          </w:p>
        </w:tc>
        <w:tc>
          <w:tcPr>
            <w:tcW w:w="20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4,749</w:t>
            </w:r>
          </w:p>
        </w:tc>
        <w:tc>
          <w:tcPr>
            <w:tcW w:w="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7400" w:type="dxa"/>
            <w:vAlign w:val="bottom"/>
          </w:tcPr>
          <w:p>
            <w:pPr>
              <w:ind w:left="580"/>
              <w:spacing w:after="0"/>
              <w:rPr>
                <w:sz w:val="20"/>
                <w:szCs w:val="20"/>
                <w:color w:val="auto"/>
              </w:rPr>
            </w:pPr>
            <w:r>
              <w:rPr>
                <w:rFonts w:ascii="Arial" w:cs="Arial" w:eastAsia="Arial" w:hAnsi="Arial"/>
                <w:sz w:val="16"/>
                <w:szCs w:val="16"/>
                <w:color w:val="auto"/>
              </w:rPr>
              <w:t>Net cash used in investing activities</w:t>
            </w:r>
          </w:p>
        </w:tc>
        <w:tc>
          <w:tcPr>
            <w:tcW w:w="20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(14,827)</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(13,416)</w:t>
            </w:r>
          </w:p>
        </w:tc>
      </w:tr>
      <w:tr>
        <w:trPr>
          <w:trHeight w:val="205"/>
        </w:trPr>
        <w:tc>
          <w:tcPr>
            <w:tcW w:w="7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0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5"/>
        </w:trPr>
        <w:tc>
          <w:tcPr>
            <w:tcW w:w="7400" w:type="dxa"/>
            <w:vAlign w:val="bottom"/>
          </w:tcPr>
          <w:p>
            <w:pPr>
              <w:ind w:left="300"/>
              <w:spacing w:after="0"/>
              <w:rPr>
                <w:sz w:val="20"/>
                <w:szCs w:val="20"/>
                <w:color w:val="auto"/>
              </w:rPr>
            </w:pPr>
            <w:r>
              <w:rPr>
                <w:rFonts w:ascii="Arial" w:cs="Arial" w:eastAsia="Arial" w:hAnsi="Arial"/>
                <w:sz w:val="16"/>
                <w:szCs w:val="16"/>
                <w:color w:val="auto"/>
              </w:rPr>
              <w:t>Borrowings</w:t>
            </w:r>
          </w:p>
        </w:tc>
        <w:tc>
          <w:tcPr>
            <w:tcW w:w="206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69,250</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205"/>
        </w:trPr>
        <w:tc>
          <w:tcPr>
            <w:tcW w:w="7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Debt principal payments</w:t>
            </w:r>
          </w:p>
        </w:tc>
        <w:tc>
          <w:tcPr>
            <w:tcW w:w="20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(76,250)</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w:t>
            </w:r>
          </w:p>
        </w:tc>
      </w:tr>
      <w:tr>
        <w:trPr>
          <w:trHeight w:val="205"/>
        </w:trPr>
        <w:tc>
          <w:tcPr>
            <w:tcW w:w="7400" w:type="dxa"/>
            <w:vAlign w:val="bottom"/>
          </w:tcPr>
          <w:p>
            <w:pPr>
              <w:ind w:left="300"/>
              <w:spacing w:after="0"/>
              <w:rPr>
                <w:sz w:val="20"/>
                <w:szCs w:val="20"/>
                <w:color w:val="auto"/>
              </w:rPr>
            </w:pPr>
            <w:r>
              <w:rPr>
                <w:rFonts w:ascii="Arial" w:cs="Arial" w:eastAsia="Arial" w:hAnsi="Arial"/>
                <w:sz w:val="16"/>
                <w:szCs w:val="16"/>
                <w:color w:val="auto"/>
              </w:rPr>
              <w:t>Dividends paid</w:t>
            </w:r>
          </w:p>
        </w:tc>
        <w:tc>
          <w:tcPr>
            <w:tcW w:w="20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(12,114)</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(12,048)</w:t>
            </w:r>
          </w:p>
        </w:tc>
      </w:tr>
      <w:tr>
        <w:trPr>
          <w:trHeight w:val="205"/>
        </w:trPr>
        <w:tc>
          <w:tcPr>
            <w:tcW w:w="74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Other</w:t>
            </w:r>
          </w:p>
        </w:tc>
        <w:tc>
          <w:tcPr>
            <w:tcW w:w="20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915</w:t>
            </w:r>
          </w:p>
        </w:tc>
        <w:tc>
          <w:tcPr>
            <w:tcW w:w="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w:t>
            </w:r>
          </w:p>
        </w:tc>
      </w:tr>
      <w:tr>
        <w:trPr>
          <w:trHeight w:val="197"/>
        </w:trPr>
        <w:tc>
          <w:tcPr>
            <w:tcW w:w="7400" w:type="dxa"/>
            <w:vAlign w:val="bottom"/>
          </w:tcPr>
          <w:p>
            <w:pPr>
              <w:ind w:left="580"/>
              <w:spacing w:after="0"/>
              <w:rPr>
                <w:sz w:val="20"/>
                <w:szCs w:val="20"/>
                <w:color w:val="auto"/>
              </w:rPr>
            </w:pPr>
            <w:r>
              <w:rPr>
                <w:rFonts w:ascii="Arial" w:cs="Arial" w:eastAsia="Arial" w:hAnsi="Arial"/>
                <w:sz w:val="16"/>
                <w:szCs w:val="16"/>
                <w:color w:val="auto"/>
              </w:rPr>
              <w:t>Net cash used in financing activities</w:t>
            </w:r>
          </w:p>
        </w:tc>
        <w:tc>
          <w:tcPr>
            <w:tcW w:w="20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(18,199)</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(47,634)</w:t>
            </w:r>
          </w:p>
        </w:tc>
      </w:tr>
      <w:tr>
        <w:trPr>
          <w:trHeight w:val="205"/>
        </w:trPr>
        <w:tc>
          <w:tcPr>
            <w:tcW w:w="7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Effect of exchange rate changes on cash</w:t>
            </w:r>
          </w:p>
        </w:tc>
        <w:tc>
          <w:tcPr>
            <w:tcW w:w="20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(1,676)</w:t>
            </w:r>
          </w:p>
        </w:tc>
      </w:tr>
      <w:tr>
        <w:trPr>
          <w:trHeight w:val="197"/>
        </w:trPr>
        <w:tc>
          <w:tcPr>
            <w:tcW w:w="7400" w:type="dxa"/>
            <w:vAlign w:val="bottom"/>
          </w:tcPr>
          <w:p>
            <w:pPr>
              <w:spacing w:after="0"/>
              <w:rPr>
                <w:sz w:val="20"/>
                <w:szCs w:val="20"/>
                <w:color w:val="auto"/>
              </w:rPr>
            </w:pPr>
            <w:r>
              <w:rPr>
                <w:rFonts w:ascii="Arial" w:cs="Arial" w:eastAsia="Arial" w:hAnsi="Arial"/>
                <w:sz w:val="16"/>
                <w:szCs w:val="16"/>
                <w:b w:val="1"/>
                <w:bCs w:val="1"/>
                <w:color w:val="auto"/>
              </w:rPr>
              <w:t>Increase in cash &amp; cash equivalents</w:t>
            </w:r>
          </w:p>
        </w:tc>
        <w:tc>
          <w:tcPr>
            <w:tcW w:w="206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18,407</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3,600</w:t>
            </w:r>
          </w:p>
        </w:tc>
      </w:tr>
      <w:tr>
        <w:trPr>
          <w:trHeight w:val="205"/>
        </w:trPr>
        <w:tc>
          <w:tcPr>
            <w:tcW w:w="7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20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11,846</w:t>
            </w:r>
          </w:p>
        </w:tc>
        <w:tc>
          <w:tcPr>
            <w:tcW w:w="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31,422</w:t>
            </w:r>
          </w:p>
        </w:tc>
      </w:tr>
      <w:tr>
        <w:trPr>
          <w:trHeight w:val="201"/>
        </w:trPr>
        <w:tc>
          <w:tcPr>
            <w:tcW w:w="7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2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30,253</w:t>
            </w:r>
          </w:p>
        </w:tc>
        <w:tc>
          <w:tcPr>
            <w:tcW w:w="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35,022</w:t>
            </w:r>
          </w:p>
        </w:tc>
      </w:tr>
    </w:tbl>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62230</wp:posOffset>
            </wp:positionV>
            <wp:extent cx="717232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180"/>
          </w:cols>
          <w:pgMar w:left="360" w:top="811" w:right="35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Tredegar Corporation</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Shareholders’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1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summarizes the changes in shareholders’ equity for the three month period ended September 30,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3660" w:type="dxa"/>
            <w:vAlign w:val="bottom"/>
            <w:tcBorders>
              <w:top w:val="single" w:sz="8" w:color="auto"/>
              <w:bottom w:val="single" w:sz="8" w:color="auto"/>
            </w:tcBorders>
            <w:gridSpan w:val="5"/>
          </w:tcPr>
          <w:p>
            <w:pPr>
              <w:jc w:val="right"/>
              <w:ind w:right="200"/>
              <w:spacing w:after="0"/>
              <w:rPr>
                <w:sz w:val="20"/>
                <w:szCs w:val="20"/>
                <w:color w:val="auto"/>
              </w:rPr>
            </w:pPr>
            <w:r>
              <w:rPr>
                <w:rFonts w:ascii="Arial" w:cs="Arial" w:eastAsia="Arial" w:hAnsi="Arial"/>
                <w:sz w:val="16"/>
                <w:szCs w:val="16"/>
                <w:color w:val="auto"/>
                <w:w w:val="93"/>
              </w:rPr>
              <w:t>Accumulated Other Comprehensive Income (Loss)</w:t>
            </w:r>
          </w:p>
        </w:tc>
        <w:tc>
          <w:tcPr>
            <w:tcW w:w="6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vMerge w:val="restart"/>
          </w:tcPr>
          <w:p>
            <w:pPr>
              <w:jc w:val="right"/>
              <w:ind w:right="200"/>
              <w:spacing w:after="0"/>
              <w:rPr>
                <w:sz w:val="20"/>
                <w:szCs w:val="20"/>
                <w:color w:val="auto"/>
              </w:rPr>
            </w:pPr>
            <w:r>
              <w:rPr>
                <w:rFonts w:ascii="Arial" w:cs="Arial" w:eastAsia="Arial" w:hAnsi="Arial"/>
                <w:sz w:val="16"/>
                <w:szCs w:val="16"/>
                <w:color w:val="auto"/>
                <w:w w:val="97"/>
              </w:rPr>
              <w:t>Trust for</w:t>
            </w: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80" w:type="dxa"/>
            <w:vAlign w:val="bottom"/>
            <w:gridSpan w:val="2"/>
          </w:tcPr>
          <w:p>
            <w:pPr>
              <w:jc w:val="right"/>
              <w:ind w:right="60"/>
              <w:spacing w:after="0" w:line="149" w:lineRule="exact"/>
              <w:rPr>
                <w:sz w:val="20"/>
                <w:szCs w:val="20"/>
                <w:color w:val="auto"/>
              </w:rPr>
            </w:pPr>
            <w:r>
              <w:rPr>
                <w:rFonts w:ascii="Arial" w:cs="Arial" w:eastAsia="Arial" w:hAnsi="Arial"/>
                <w:sz w:val="16"/>
                <w:szCs w:val="16"/>
                <w:color w:val="auto"/>
              </w:rPr>
              <w:t>Gain (Loss)</w:t>
            </w:r>
          </w:p>
        </w:tc>
        <w:tc>
          <w:tcPr>
            <w:tcW w:w="500" w:type="dxa"/>
            <w:vAlign w:val="bottom"/>
          </w:tcPr>
          <w:p>
            <w:pPr>
              <w:spacing w:after="0"/>
              <w:rPr>
                <w:sz w:val="12"/>
                <w:szCs w:val="12"/>
                <w:color w:val="auto"/>
              </w:rPr>
            </w:pPr>
          </w:p>
        </w:tc>
        <w:tc>
          <w:tcPr>
            <w:tcW w:w="900" w:type="dxa"/>
            <w:vAlign w:val="bottom"/>
          </w:tcPr>
          <w:p>
            <w:pPr>
              <w:jc w:val="right"/>
              <w:ind w:right="100"/>
              <w:spacing w:after="0" w:line="149" w:lineRule="exact"/>
              <w:rPr>
                <w:sz w:val="20"/>
                <w:szCs w:val="20"/>
                <w:color w:val="auto"/>
              </w:rPr>
            </w:pPr>
            <w:r>
              <w:rPr>
                <w:rFonts w:ascii="Arial" w:cs="Arial" w:eastAsia="Arial" w:hAnsi="Arial"/>
                <w:sz w:val="16"/>
                <w:szCs w:val="16"/>
                <w:color w:val="auto"/>
                <w:w w:val="95"/>
              </w:rPr>
              <w:t>Pension &amp;</w:t>
            </w: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ind w:right="300"/>
              <w:spacing w:after="0"/>
              <w:rPr>
                <w:sz w:val="20"/>
                <w:szCs w:val="20"/>
                <w:color w:val="auto"/>
              </w:rPr>
            </w:pPr>
            <w:r>
              <w:rPr>
                <w:rFonts w:ascii="Arial" w:cs="Arial" w:eastAsia="Arial" w:hAnsi="Arial"/>
                <w:sz w:val="16"/>
                <w:szCs w:val="16"/>
                <w:color w:val="auto"/>
                <w:w w:val="98"/>
              </w:rPr>
              <w:t>Common</w:t>
            </w:r>
          </w:p>
        </w:tc>
        <w:tc>
          <w:tcPr>
            <w:tcW w:w="420" w:type="dxa"/>
            <w:vAlign w:val="bottom"/>
          </w:tcPr>
          <w:p>
            <w:pPr>
              <w:spacing w:after="0"/>
              <w:rPr>
                <w:sz w:val="13"/>
                <w:szCs w:val="13"/>
                <w:color w:val="auto"/>
              </w:rPr>
            </w:pPr>
          </w:p>
        </w:tc>
        <w:tc>
          <w:tcPr>
            <w:tcW w:w="960" w:type="dxa"/>
            <w:vAlign w:val="bottom"/>
            <w:vMerge w:val="restart"/>
          </w:tcPr>
          <w:p>
            <w:pPr>
              <w:jc w:val="right"/>
              <w:ind w:right="240"/>
              <w:spacing w:after="0"/>
              <w:rPr>
                <w:sz w:val="20"/>
                <w:szCs w:val="20"/>
                <w:color w:val="auto"/>
              </w:rPr>
            </w:pPr>
            <w:r>
              <w:rPr>
                <w:rFonts w:ascii="Arial" w:cs="Arial" w:eastAsia="Arial" w:hAnsi="Arial"/>
                <w:sz w:val="16"/>
                <w:szCs w:val="16"/>
                <w:color w:val="auto"/>
                <w:w w:val="96"/>
              </w:rPr>
              <w:t>Retained</w:t>
            </w:r>
          </w:p>
        </w:tc>
        <w:tc>
          <w:tcPr>
            <w:tcW w:w="5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vMerge w:val="restart"/>
          </w:tcPr>
          <w:p>
            <w:pPr>
              <w:jc w:val="right"/>
              <w:ind w:right="320"/>
              <w:spacing w:after="0"/>
              <w:rPr>
                <w:sz w:val="20"/>
                <w:szCs w:val="20"/>
                <w:color w:val="auto"/>
              </w:rPr>
            </w:pPr>
            <w:r>
              <w:rPr>
                <w:rFonts w:ascii="Arial" w:cs="Arial" w:eastAsia="Arial" w:hAnsi="Arial"/>
                <w:sz w:val="16"/>
                <w:szCs w:val="16"/>
                <w:color w:val="auto"/>
              </w:rPr>
              <w:t>Foreign</w:t>
            </w:r>
          </w:p>
        </w:tc>
        <w:tc>
          <w:tcPr>
            <w:tcW w:w="1280" w:type="dxa"/>
            <w:vAlign w:val="bottom"/>
            <w:gridSpan w:val="2"/>
          </w:tcPr>
          <w:p>
            <w:pPr>
              <w:jc w:val="center"/>
              <w:ind w:right="40"/>
              <w:spacing w:after="0" w:line="157" w:lineRule="exact"/>
              <w:rPr>
                <w:sz w:val="20"/>
                <w:szCs w:val="20"/>
                <w:color w:val="auto"/>
              </w:rPr>
            </w:pPr>
            <w:r>
              <w:rPr>
                <w:rFonts w:ascii="Arial" w:cs="Arial" w:eastAsia="Arial" w:hAnsi="Arial"/>
                <w:sz w:val="16"/>
                <w:szCs w:val="16"/>
                <w:color w:val="auto"/>
                <w:w w:val="94"/>
              </w:rPr>
              <w:t>on Derivative</w:t>
            </w:r>
          </w:p>
        </w:tc>
        <w:tc>
          <w:tcPr>
            <w:tcW w:w="1400" w:type="dxa"/>
            <w:vAlign w:val="bottom"/>
            <w:gridSpan w:val="2"/>
          </w:tcPr>
          <w:p>
            <w:pPr>
              <w:jc w:val="center"/>
              <w:spacing w:after="0" w:line="157" w:lineRule="exact"/>
              <w:rPr>
                <w:sz w:val="20"/>
                <w:szCs w:val="20"/>
                <w:color w:val="auto"/>
              </w:rPr>
            </w:pPr>
            <w:r>
              <w:rPr>
                <w:rFonts w:ascii="Arial" w:cs="Arial" w:eastAsia="Arial" w:hAnsi="Arial"/>
                <w:sz w:val="16"/>
                <w:szCs w:val="16"/>
                <w:color w:val="auto"/>
                <w:w w:val="90"/>
              </w:rPr>
              <w:t>Other Post-</w:t>
            </w:r>
          </w:p>
        </w:tc>
        <w:tc>
          <w:tcPr>
            <w:tcW w:w="680" w:type="dxa"/>
            <w:vAlign w:val="bottom"/>
          </w:tcPr>
          <w:p>
            <w:pPr>
              <w:spacing w:after="0"/>
              <w:rPr>
                <w:sz w:val="13"/>
                <w:szCs w:val="13"/>
                <w:color w:val="auto"/>
              </w:rPr>
            </w:pPr>
          </w:p>
        </w:tc>
        <w:tc>
          <w:tcPr>
            <w:tcW w:w="840" w:type="dxa"/>
            <w:vAlign w:val="bottom"/>
            <w:vMerge w:val="restart"/>
          </w:tcPr>
          <w:p>
            <w:pPr>
              <w:jc w:val="right"/>
              <w:ind w:right="30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380" w:type="dxa"/>
            <w:vAlign w:val="bottom"/>
            <w:gridSpan w:val="2"/>
          </w:tcPr>
          <w:p>
            <w:pPr>
              <w:jc w:val="right"/>
              <w:ind w:right="400"/>
              <w:spacing w:after="0" w:line="157" w:lineRule="exact"/>
              <w:rPr>
                <w:sz w:val="20"/>
                <w:szCs w:val="20"/>
                <w:color w:val="auto"/>
              </w:rPr>
            </w:pPr>
            <w:r>
              <w:rPr>
                <w:rFonts w:ascii="Arial" w:cs="Arial" w:eastAsia="Arial" w:hAnsi="Arial"/>
                <w:sz w:val="16"/>
                <w:szCs w:val="16"/>
                <w:color w:val="auto"/>
              </w:rPr>
              <w:t>Savings</w:t>
            </w:r>
          </w:p>
        </w:tc>
        <w:tc>
          <w:tcPr>
            <w:tcW w:w="5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280" w:type="dxa"/>
            <w:vAlign w:val="bottom"/>
            <w:gridSpan w:val="2"/>
          </w:tcPr>
          <w:p>
            <w:pPr>
              <w:jc w:val="center"/>
              <w:ind w:right="40"/>
              <w:spacing w:after="0" w:line="157" w:lineRule="exact"/>
              <w:rPr>
                <w:sz w:val="20"/>
                <w:szCs w:val="20"/>
                <w:color w:val="auto"/>
              </w:rPr>
            </w:pPr>
            <w:r>
              <w:rPr>
                <w:rFonts w:ascii="Arial" w:cs="Arial" w:eastAsia="Arial" w:hAnsi="Arial"/>
                <w:sz w:val="16"/>
                <w:szCs w:val="16"/>
                <w:color w:val="auto"/>
                <w:w w:val="93"/>
              </w:rPr>
              <w:t>Financial</w:t>
            </w:r>
          </w:p>
        </w:tc>
        <w:tc>
          <w:tcPr>
            <w:tcW w:w="1400" w:type="dxa"/>
            <w:vAlign w:val="bottom"/>
            <w:gridSpan w:val="2"/>
          </w:tcPr>
          <w:p>
            <w:pPr>
              <w:jc w:val="center"/>
              <w:spacing w:after="0" w:line="157" w:lineRule="exact"/>
              <w:rPr>
                <w:sz w:val="20"/>
                <w:szCs w:val="20"/>
                <w:color w:val="auto"/>
              </w:rPr>
            </w:pPr>
            <w:r>
              <w:rPr>
                <w:rFonts w:ascii="Arial" w:cs="Arial" w:eastAsia="Arial" w:hAnsi="Arial"/>
                <w:sz w:val="16"/>
                <w:szCs w:val="16"/>
                <w:color w:val="auto"/>
                <w:w w:val="91"/>
              </w:rPr>
              <w:t>retirement Benefit</w:t>
            </w:r>
          </w:p>
        </w:tc>
        <w:tc>
          <w:tcPr>
            <w:tcW w:w="6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4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0"/>
              <w:spacing w:after="0"/>
              <w:rPr>
                <w:sz w:val="20"/>
                <w:szCs w:val="20"/>
                <w:color w:val="auto"/>
              </w:rPr>
            </w:pPr>
            <w:r>
              <w:rPr>
                <w:rFonts w:ascii="Arial" w:cs="Arial" w:eastAsia="Arial" w:hAnsi="Arial"/>
                <w:sz w:val="16"/>
                <w:szCs w:val="16"/>
                <w:color w:val="auto"/>
                <w:w w:val="84"/>
              </w:rPr>
              <w:t>Stock</w:t>
            </w:r>
          </w:p>
        </w:tc>
        <w:tc>
          <w:tcPr>
            <w:tcW w:w="13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Earnings</w:t>
            </w:r>
          </w:p>
        </w:tc>
        <w:tc>
          <w:tcPr>
            <w:tcW w:w="13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98"/>
              </w:rPr>
              <w:t>Restoration Plan</w:t>
            </w:r>
          </w:p>
        </w:tc>
        <w:tc>
          <w:tcPr>
            <w:tcW w:w="1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91"/>
              </w:rPr>
              <w:t>Currency Translation</w:t>
            </w:r>
          </w:p>
        </w:tc>
        <w:tc>
          <w:tcPr>
            <w:tcW w:w="128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6"/>
                <w:szCs w:val="16"/>
                <w:color w:val="auto"/>
                <w:w w:val="90"/>
              </w:rPr>
              <w:t>Instruments</w:t>
            </w: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4"/>
              </w:rPr>
              <w:t>Adjustment</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8"/>
              </w:rPr>
              <w:t>Shareholders’ Equity</w:t>
            </w: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ind w:left="380"/>
              <w:spacing w:after="0" w:line="149" w:lineRule="exact"/>
              <w:rPr>
                <w:sz w:val="20"/>
                <w:szCs w:val="20"/>
                <w:color w:val="auto"/>
              </w:rPr>
            </w:pPr>
            <w:r>
              <w:rPr>
                <w:rFonts w:ascii="Arial" w:cs="Arial" w:eastAsia="Arial" w:hAnsi="Arial"/>
                <w:sz w:val="16"/>
                <w:szCs w:val="16"/>
                <w:color w:val="auto"/>
              </w:rPr>
              <w:t>Balance July</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52,940</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261,699</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(2,109)</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(82,804)</w:t>
            </w:r>
          </w:p>
        </w:tc>
        <w:tc>
          <w:tcPr>
            <w:tcW w:w="58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3,496</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(89,882)</w:t>
            </w:r>
          </w:p>
        </w:tc>
        <w:tc>
          <w:tcPr>
            <w:tcW w:w="68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143,340</w:t>
            </w:r>
          </w:p>
        </w:tc>
        <w:tc>
          <w:tcPr>
            <w:tcW w:w="0" w:type="dxa"/>
            <w:vAlign w:val="bottom"/>
          </w:tcPr>
          <w:p>
            <w:pPr>
              <w:spacing w:after="0"/>
              <w:rPr>
                <w:sz w:val="1"/>
                <w:szCs w:val="1"/>
                <w:color w:val="auto"/>
              </w:rPr>
            </w:pPr>
          </w:p>
        </w:tc>
      </w:tr>
      <w:tr>
        <w:trPr>
          <w:trHeight w:val="205"/>
        </w:trPr>
        <w:tc>
          <w:tcPr>
            <w:tcW w:w="1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1, 2021</w:t>
            </w: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42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380"/>
              <w:spacing w:after="0" w:line="149" w:lineRule="exact"/>
              <w:rPr>
                <w:sz w:val="20"/>
                <w:szCs w:val="20"/>
                <w:color w:val="auto"/>
              </w:rPr>
            </w:pPr>
            <w:r>
              <w:rPr>
                <w:rFonts w:ascii="Arial" w:cs="Arial" w:eastAsia="Arial" w:hAnsi="Arial"/>
                <w:sz w:val="16"/>
                <w:szCs w:val="16"/>
                <w:color w:val="auto"/>
              </w:rPr>
              <w:t>Net income</w:t>
            </w:r>
          </w:p>
        </w:tc>
        <w:tc>
          <w:tcPr>
            <w:tcW w:w="300" w:type="dxa"/>
            <w:vAlign w:val="bottom"/>
          </w:tcPr>
          <w:p>
            <w:pPr>
              <w:spacing w:after="0"/>
              <w:rPr>
                <w:sz w:val="12"/>
                <w:szCs w:val="12"/>
                <w:color w:val="auto"/>
              </w:rPr>
            </w:pPr>
          </w:p>
        </w:tc>
        <w:tc>
          <w:tcPr>
            <w:tcW w:w="1040" w:type="dxa"/>
            <w:vAlign w:val="bottom"/>
            <w:vMerge w:val="restart"/>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2"/>
                <w:szCs w:val="12"/>
                <w:color w:val="auto"/>
              </w:rPr>
            </w:pPr>
          </w:p>
        </w:tc>
        <w:tc>
          <w:tcPr>
            <w:tcW w:w="960" w:type="dxa"/>
            <w:vAlign w:val="bottom"/>
            <w:vMerge w:val="restart"/>
          </w:tcPr>
          <w:p>
            <w:pPr>
              <w:jc w:val="right"/>
              <w:ind w:right="80"/>
              <w:spacing w:after="0"/>
              <w:rPr>
                <w:sz w:val="20"/>
                <w:szCs w:val="20"/>
                <w:color w:val="auto"/>
              </w:rPr>
            </w:pPr>
            <w:r>
              <w:rPr>
                <w:rFonts w:ascii="Arial" w:cs="Arial" w:eastAsia="Arial" w:hAnsi="Arial"/>
                <w:sz w:val="16"/>
                <w:szCs w:val="16"/>
                <w:color w:val="auto"/>
              </w:rPr>
              <w:t>6,203</w:t>
            </w:r>
          </w:p>
        </w:tc>
        <w:tc>
          <w:tcPr>
            <w:tcW w:w="500" w:type="dxa"/>
            <w:vAlign w:val="bottom"/>
          </w:tcPr>
          <w:p>
            <w:pPr>
              <w:spacing w:after="0"/>
              <w:rPr>
                <w:sz w:val="12"/>
                <w:szCs w:val="12"/>
                <w:color w:val="auto"/>
              </w:rPr>
            </w:pPr>
          </w:p>
        </w:tc>
        <w:tc>
          <w:tcPr>
            <w:tcW w:w="88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2"/>
                <w:szCs w:val="12"/>
                <w:color w:val="auto"/>
              </w:rPr>
            </w:pPr>
          </w:p>
        </w:tc>
        <w:tc>
          <w:tcPr>
            <w:tcW w:w="980" w:type="dxa"/>
            <w:vAlign w:val="bottom"/>
            <w:vMerge w:val="restart"/>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2"/>
                <w:szCs w:val="12"/>
                <w:color w:val="auto"/>
              </w:rPr>
            </w:pPr>
          </w:p>
        </w:tc>
        <w:tc>
          <w:tcPr>
            <w:tcW w:w="70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6,203</w:t>
            </w:r>
          </w:p>
        </w:tc>
        <w:tc>
          <w:tcPr>
            <w:tcW w:w="0" w:type="dxa"/>
            <w:vAlign w:val="bottom"/>
          </w:tcPr>
          <w:p>
            <w:pPr>
              <w:spacing w:after="0"/>
              <w:rPr>
                <w:sz w:val="1"/>
                <w:szCs w:val="1"/>
                <w:color w:val="auto"/>
              </w:rPr>
            </w:pPr>
          </w:p>
        </w:tc>
      </w:tr>
      <w:tr>
        <w:trPr>
          <w:trHeight w:val="205"/>
        </w:trPr>
        <w:tc>
          <w:tcPr>
            <w:tcW w:w="1440" w:type="dxa"/>
            <w:vAlign w:val="bottom"/>
          </w:tcPr>
          <w:p>
            <w:pPr>
              <w:ind w:left="20"/>
              <w:spacing w:after="0"/>
              <w:rPr>
                <w:sz w:val="20"/>
                <w:szCs w:val="20"/>
                <w:color w:val="auto"/>
              </w:rPr>
            </w:pPr>
            <w:r>
              <w:rPr>
                <w:rFonts w:ascii="Arial" w:cs="Arial" w:eastAsia="Arial" w:hAnsi="Arial"/>
                <w:sz w:val="16"/>
                <w:szCs w:val="16"/>
                <w:color w:val="auto"/>
              </w:rPr>
              <w:t>(loss)</w:t>
            </w:r>
          </w:p>
        </w:tc>
        <w:tc>
          <w:tcPr>
            <w:tcW w:w="3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380"/>
              <w:spacing w:after="0" w:line="157" w:lineRule="exact"/>
              <w:rPr>
                <w:sz w:val="20"/>
                <w:szCs w:val="20"/>
                <w:color w:val="auto"/>
              </w:rPr>
            </w:pPr>
            <w:r>
              <w:rPr>
                <w:rFonts w:ascii="Arial" w:cs="Arial" w:eastAsia="Arial" w:hAnsi="Arial"/>
                <w:sz w:val="16"/>
                <w:szCs w:val="16"/>
                <w:color w:val="auto"/>
              </w:rPr>
              <w:t>Foreign</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currency</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translation</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adjustment (net of</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tax benefit of</w:t>
            </w:r>
          </w:p>
        </w:tc>
        <w:tc>
          <w:tcPr>
            <w:tcW w:w="3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(2,788)</w:t>
            </w:r>
          </w:p>
        </w:tc>
        <w:tc>
          <w:tcPr>
            <w:tcW w:w="5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(2,788)</w:t>
            </w:r>
          </w:p>
        </w:tc>
        <w:tc>
          <w:tcPr>
            <w:tcW w:w="0" w:type="dxa"/>
            <w:vAlign w:val="bottom"/>
          </w:tcPr>
          <w:p>
            <w:pPr>
              <w:spacing w:after="0"/>
              <w:rPr>
                <w:sz w:val="1"/>
                <w:szCs w:val="1"/>
                <w:color w:val="auto"/>
              </w:rPr>
            </w:pPr>
          </w:p>
        </w:tc>
      </w:tr>
      <w:tr>
        <w:trPr>
          <w:trHeight w:val="205"/>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$294)</w:t>
            </w:r>
          </w:p>
        </w:tc>
        <w:tc>
          <w:tcPr>
            <w:tcW w:w="3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380"/>
              <w:spacing w:after="0" w:line="157" w:lineRule="exact"/>
              <w:rPr>
                <w:sz w:val="20"/>
                <w:szCs w:val="20"/>
                <w:color w:val="auto"/>
              </w:rPr>
            </w:pPr>
            <w:r>
              <w:rPr>
                <w:rFonts w:ascii="Arial" w:cs="Arial" w:eastAsia="Arial" w:hAnsi="Arial"/>
                <w:sz w:val="16"/>
                <w:szCs w:val="16"/>
                <w:color w:val="auto"/>
              </w:rPr>
              <w:t>Derivative</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financial</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instruments</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adjustment (net of</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tax benefit of</w:t>
            </w:r>
          </w:p>
        </w:tc>
        <w:tc>
          <w:tcPr>
            <w:tcW w:w="300" w:type="dxa"/>
            <w:vAlign w:val="bottom"/>
          </w:tcPr>
          <w:p>
            <w:pPr>
              <w:spacing w:after="0"/>
              <w:rPr>
                <w:sz w:val="13"/>
                <w:szCs w:val="13"/>
                <w:color w:val="auto"/>
              </w:rPr>
            </w:pPr>
          </w:p>
        </w:tc>
        <w:tc>
          <w:tcPr>
            <w:tcW w:w="1040" w:type="dxa"/>
            <w:vAlign w:val="bottom"/>
            <w:vMerge w:val="restart"/>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3"/>
                <w:szCs w:val="13"/>
                <w:color w:val="auto"/>
              </w:rPr>
            </w:pPr>
          </w:p>
        </w:tc>
        <w:tc>
          <w:tcPr>
            <w:tcW w:w="96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3"/>
                <w:szCs w:val="13"/>
                <w:color w:val="auto"/>
              </w:rPr>
            </w:pPr>
          </w:p>
        </w:tc>
        <w:tc>
          <w:tcPr>
            <w:tcW w:w="88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3"/>
                <w:szCs w:val="13"/>
                <w:color w:val="auto"/>
              </w:rPr>
            </w:pPr>
          </w:p>
        </w:tc>
        <w:tc>
          <w:tcPr>
            <w:tcW w:w="980" w:type="dxa"/>
            <w:vAlign w:val="bottom"/>
            <w:vMerge w:val="restart"/>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3"/>
                <w:szCs w:val="13"/>
                <w:color w:val="auto"/>
              </w:rPr>
            </w:pPr>
          </w:p>
        </w:tc>
        <w:tc>
          <w:tcPr>
            <w:tcW w:w="700" w:type="dxa"/>
            <w:vAlign w:val="bottom"/>
            <w:vMerge w:val="restart"/>
          </w:tcPr>
          <w:p>
            <w:pPr>
              <w:jc w:val="right"/>
              <w:ind w:right="20"/>
              <w:spacing w:after="0"/>
              <w:rPr>
                <w:sz w:val="20"/>
                <w:szCs w:val="20"/>
                <w:color w:val="auto"/>
              </w:rPr>
            </w:pPr>
            <w:r>
              <w:rPr>
                <w:rFonts w:ascii="Arial" w:cs="Arial" w:eastAsia="Arial" w:hAnsi="Arial"/>
                <w:sz w:val="16"/>
                <w:szCs w:val="16"/>
                <w:color w:val="auto"/>
              </w:rPr>
              <w:t>(717)</w:t>
            </w:r>
          </w:p>
        </w:tc>
        <w:tc>
          <w:tcPr>
            <w:tcW w:w="5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205"/>
        </w:trPr>
        <w:tc>
          <w:tcPr>
            <w:tcW w:w="1440" w:type="dxa"/>
            <w:vAlign w:val="bottom"/>
          </w:tcPr>
          <w:p>
            <w:pPr>
              <w:ind w:left="20"/>
              <w:spacing w:after="0"/>
              <w:rPr>
                <w:sz w:val="20"/>
                <w:szCs w:val="20"/>
                <w:color w:val="auto"/>
              </w:rPr>
            </w:pPr>
            <w:r>
              <w:rPr>
                <w:rFonts w:ascii="Arial" w:cs="Arial" w:eastAsia="Arial" w:hAnsi="Arial"/>
                <w:sz w:val="16"/>
                <w:szCs w:val="16"/>
                <w:color w:val="auto"/>
              </w:rPr>
              <w:t>$174)</w:t>
            </w:r>
          </w:p>
        </w:tc>
        <w:tc>
          <w:tcPr>
            <w:tcW w:w="3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380"/>
              <w:spacing w:after="0" w:line="157" w:lineRule="exact"/>
              <w:rPr>
                <w:sz w:val="20"/>
                <w:szCs w:val="20"/>
                <w:color w:val="auto"/>
              </w:rPr>
            </w:pPr>
            <w:r>
              <w:rPr>
                <w:rFonts w:ascii="Arial" w:cs="Arial" w:eastAsia="Arial" w:hAnsi="Arial"/>
                <w:sz w:val="16"/>
                <w:szCs w:val="16"/>
                <w:color w:val="auto"/>
              </w:rPr>
              <w:t>Amortization</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of prior service</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costs and net gains</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or losses (net of</w:t>
            </w:r>
          </w:p>
        </w:tc>
        <w:tc>
          <w:tcPr>
            <w:tcW w:w="3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3,317</w:t>
            </w:r>
          </w:p>
        </w:tc>
        <w:tc>
          <w:tcPr>
            <w:tcW w:w="6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3,317</w:t>
            </w:r>
          </w:p>
        </w:tc>
        <w:tc>
          <w:tcPr>
            <w:tcW w:w="0" w:type="dxa"/>
            <w:vAlign w:val="bottom"/>
          </w:tcPr>
          <w:p>
            <w:pPr>
              <w:spacing w:after="0"/>
              <w:rPr>
                <w:sz w:val="1"/>
                <w:szCs w:val="1"/>
                <w:color w:val="auto"/>
              </w:rPr>
            </w:pPr>
          </w:p>
        </w:tc>
      </w:tr>
      <w:tr>
        <w:trPr>
          <w:trHeight w:val="205"/>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of $927)</w:t>
            </w:r>
          </w:p>
        </w:tc>
        <w:tc>
          <w:tcPr>
            <w:tcW w:w="3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380"/>
              <w:spacing w:after="0" w:line="157" w:lineRule="exact"/>
              <w:rPr>
                <w:sz w:val="20"/>
                <w:szCs w:val="20"/>
                <w:color w:val="auto"/>
              </w:rPr>
            </w:pPr>
            <w:r>
              <w:rPr>
                <w:rFonts w:ascii="Arial" w:cs="Arial" w:eastAsia="Arial" w:hAnsi="Arial"/>
                <w:sz w:val="16"/>
                <w:szCs w:val="16"/>
                <w:color w:val="auto"/>
              </w:rPr>
              <w:t>Cash</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dividends declared</w:t>
            </w:r>
          </w:p>
        </w:tc>
        <w:tc>
          <w:tcPr>
            <w:tcW w:w="300" w:type="dxa"/>
            <w:vAlign w:val="bottom"/>
          </w:tcPr>
          <w:p>
            <w:pPr>
              <w:spacing w:after="0"/>
              <w:rPr>
                <w:sz w:val="13"/>
                <w:szCs w:val="13"/>
                <w:color w:val="auto"/>
              </w:rPr>
            </w:pPr>
          </w:p>
        </w:tc>
        <w:tc>
          <w:tcPr>
            <w:tcW w:w="1040" w:type="dxa"/>
            <w:vAlign w:val="bottom"/>
            <w:vMerge w:val="restart"/>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3"/>
                <w:szCs w:val="13"/>
                <w:color w:val="auto"/>
              </w:rPr>
            </w:pP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color w:val="auto"/>
              </w:rPr>
              <w:t>(4,042)</w:t>
            </w:r>
          </w:p>
        </w:tc>
        <w:tc>
          <w:tcPr>
            <w:tcW w:w="500" w:type="dxa"/>
            <w:vAlign w:val="bottom"/>
          </w:tcPr>
          <w:p>
            <w:pPr>
              <w:spacing w:after="0"/>
              <w:rPr>
                <w:sz w:val="13"/>
                <w:szCs w:val="13"/>
                <w:color w:val="auto"/>
              </w:rPr>
            </w:pPr>
          </w:p>
        </w:tc>
        <w:tc>
          <w:tcPr>
            <w:tcW w:w="88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3"/>
                <w:szCs w:val="13"/>
                <w:color w:val="auto"/>
              </w:rPr>
            </w:pPr>
          </w:p>
        </w:tc>
        <w:tc>
          <w:tcPr>
            <w:tcW w:w="980" w:type="dxa"/>
            <w:vAlign w:val="bottom"/>
            <w:vMerge w:val="restart"/>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3"/>
                <w:szCs w:val="13"/>
                <w:color w:val="auto"/>
              </w:rPr>
            </w:pPr>
          </w:p>
        </w:tc>
        <w:tc>
          <w:tcPr>
            <w:tcW w:w="70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(4,042)</w:t>
            </w:r>
          </w:p>
        </w:tc>
        <w:tc>
          <w:tcPr>
            <w:tcW w:w="0" w:type="dxa"/>
            <w:vAlign w:val="bottom"/>
          </w:tcPr>
          <w:p>
            <w:pPr>
              <w:spacing w:after="0"/>
              <w:rPr>
                <w:sz w:val="1"/>
                <w:szCs w:val="1"/>
                <w:color w:val="auto"/>
              </w:rPr>
            </w:pPr>
          </w:p>
        </w:tc>
      </w:tr>
      <w:tr>
        <w:trPr>
          <w:trHeight w:val="205"/>
        </w:trPr>
        <w:tc>
          <w:tcPr>
            <w:tcW w:w="1440" w:type="dxa"/>
            <w:vAlign w:val="bottom"/>
          </w:tcPr>
          <w:p>
            <w:pPr>
              <w:ind w:left="20"/>
              <w:spacing w:after="0"/>
              <w:rPr>
                <w:sz w:val="20"/>
                <w:szCs w:val="20"/>
                <w:color w:val="auto"/>
              </w:rPr>
            </w:pPr>
            <w:r>
              <w:rPr>
                <w:rFonts w:ascii="Arial" w:cs="Arial" w:eastAsia="Arial" w:hAnsi="Arial"/>
                <w:sz w:val="16"/>
                <w:szCs w:val="16"/>
                <w:color w:val="auto"/>
              </w:rPr>
              <w:t>($0.12 per share)</w:t>
            </w:r>
          </w:p>
        </w:tc>
        <w:tc>
          <w:tcPr>
            <w:tcW w:w="3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380"/>
              <w:spacing w:after="0" w:line="157" w:lineRule="exact"/>
              <w:rPr>
                <w:sz w:val="20"/>
                <w:szCs w:val="20"/>
                <w:color w:val="auto"/>
              </w:rPr>
            </w:pPr>
            <w:r>
              <w:rPr>
                <w:rFonts w:ascii="Arial" w:cs="Arial" w:eastAsia="Arial" w:hAnsi="Arial"/>
                <w:sz w:val="16"/>
                <w:szCs w:val="16"/>
                <w:color w:val="auto"/>
              </w:rPr>
              <w:t>Stock-based</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compensation</w:t>
            </w:r>
          </w:p>
        </w:tc>
        <w:tc>
          <w:tcPr>
            <w:tcW w:w="3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966</w:t>
            </w:r>
          </w:p>
        </w:tc>
        <w:tc>
          <w:tcPr>
            <w:tcW w:w="4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0" w:type="dxa"/>
            <w:vAlign w:val="bottom"/>
          </w:tcPr>
          <w:p>
            <w:pPr>
              <w:spacing w:after="0"/>
              <w:rPr>
                <w:sz w:val="1"/>
                <w:szCs w:val="1"/>
                <w:color w:val="auto"/>
              </w:rPr>
            </w:pPr>
          </w:p>
        </w:tc>
      </w:tr>
      <w:tr>
        <w:trPr>
          <w:trHeight w:val="205"/>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w:t>
            </w:r>
          </w:p>
        </w:tc>
        <w:tc>
          <w:tcPr>
            <w:tcW w:w="3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380"/>
              <w:spacing w:after="0" w:line="157" w:lineRule="exact"/>
              <w:rPr>
                <w:sz w:val="20"/>
                <w:szCs w:val="20"/>
                <w:color w:val="auto"/>
              </w:rPr>
            </w:pPr>
            <w:r>
              <w:rPr>
                <w:rFonts w:ascii="Arial" w:cs="Arial" w:eastAsia="Arial" w:hAnsi="Arial"/>
                <w:sz w:val="16"/>
                <w:szCs w:val="16"/>
                <w:color w:val="auto"/>
              </w:rPr>
              <w:t>Tredegar</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common stock</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purchased by trust</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for savings</w:t>
            </w:r>
          </w:p>
        </w:tc>
        <w:tc>
          <w:tcPr>
            <w:tcW w:w="300" w:type="dxa"/>
            <w:vAlign w:val="bottom"/>
          </w:tcPr>
          <w:p>
            <w:pPr>
              <w:spacing w:after="0"/>
              <w:rPr>
                <w:sz w:val="13"/>
                <w:szCs w:val="13"/>
                <w:color w:val="auto"/>
              </w:rPr>
            </w:pPr>
          </w:p>
        </w:tc>
        <w:tc>
          <w:tcPr>
            <w:tcW w:w="1040" w:type="dxa"/>
            <w:vAlign w:val="bottom"/>
            <w:vMerge w:val="restart"/>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3"/>
                <w:szCs w:val="13"/>
                <w:color w:val="auto"/>
              </w:rPr>
            </w:pPr>
          </w:p>
        </w:tc>
        <w:tc>
          <w:tcPr>
            <w:tcW w:w="960" w:type="dxa"/>
            <w:vAlign w:val="bottom"/>
            <w:vMerge w:val="restart"/>
          </w:tcPr>
          <w:p>
            <w:pPr>
              <w:jc w:val="right"/>
              <w:ind w:right="80"/>
              <w:spacing w:after="0"/>
              <w:rPr>
                <w:sz w:val="20"/>
                <w:szCs w:val="20"/>
                <w:color w:val="auto"/>
              </w:rPr>
            </w:pPr>
            <w:r>
              <w:rPr>
                <w:rFonts w:ascii="Arial" w:cs="Arial" w:eastAsia="Arial" w:hAnsi="Arial"/>
                <w:sz w:val="16"/>
                <w:szCs w:val="16"/>
                <w:color w:val="auto"/>
              </w:rPr>
              <w:t>13</w:t>
            </w:r>
          </w:p>
        </w:tc>
        <w:tc>
          <w:tcPr>
            <w:tcW w:w="500" w:type="dxa"/>
            <w:vAlign w:val="bottom"/>
          </w:tcPr>
          <w:p>
            <w:pPr>
              <w:spacing w:after="0"/>
              <w:rPr>
                <w:sz w:val="13"/>
                <w:szCs w:val="13"/>
                <w:color w:val="auto"/>
              </w:rPr>
            </w:pPr>
          </w:p>
        </w:tc>
        <w:tc>
          <w:tcPr>
            <w:tcW w:w="880" w:type="dxa"/>
            <w:vAlign w:val="bottom"/>
            <w:vMerge w:val="restart"/>
          </w:tcPr>
          <w:p>
            <w:pPr>
              <w:jc w:val="right"/>
              <w:ind w:right="20"/>
              <w:spacing w:after="0"/>
              <w:rPr>
                <w:sz w:val="20"/>
                <w:szCs w:val="20"/>
                <w:color w:val="auto"/>
              </w:rPr>
            </w:pPr>
            <w:r>
              <w:rPr>
                <w:rFonts w:ascii="Arial" w:cs="Arial" w:eastAsia="Arial" w:hAnsi="Arial"/>
                <w:sz w:val="16"/>
                <w:szCs w:val="16"/>
                <w:color w:val="auto"/>
              </w:rPr>
              <w:t>(13)</w:t>
            </w:r>
          </w:p>
        </w:tc>
        <w:tc>
          <w:tcPr>
            <w:tcW w:w="540" w:type="dxa"/>
            <w:vAlign w:val="bottom"/>
          </w:tcPr>
          <w:p>
            <w:pPr>
              <w:spacing w:after="0"/>
              <w:rPr>
                <w:sz w:val="13"/>
                <w:szCs w:val="13"/>
                <w:color w:val="auto"/>
              </w:rPr>
            </w:pPr>
          </w:p>
        </w:tc>
        <w:tc>
          <w:tcPr>
            <w:tcW w:w="980" w:type="dxa"/>
            <w:vAlign w:val="bottom"/>
            <w:vMerge w:val="restart"/>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3"/>
                <w:szCs w:val="13"/>
                <w:color w:val="auto"/>
              </w:rPr>
            </w:pPr>
          </w:p>
        </w:tc>
        <w:tc>
          <w:tcPr>
            <w:tcW w:w="70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restoration plan</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ind w:left="20"/>
              <w:spacing w:after="0" w:line="149" w:lineRule="exact"/>
              <w:rPr>
                <w:sz w:val="20"/>
                <w:szCs w:val="20"/>
                <w:color w:val="auto"/>
              </w:rPr>
            </w:pPr>
            <w:r>
              <w:rPr>
                <w:rFonts w:ascii="Arial" w:cs="Arial" w:eastAsia="Arial" w:hAnsi="Arial"/>
                <w:sz w:val="16"/>
                <w:szCs w:val="16"/>
                <w:color w:val="auto"/>
              </w:rPr>
              <w:t>Balance</w:t>
            </w: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160"/>
              <w:spacing w:after="0" w:line="157" w:lineRule="exact"/>
              <w:rPr>
                <w:sz w:val="20"/>
                <w:szCs w:val="20"/>
                <w:color w:val="auto"/>
              </w:rPr>
            </w:pPr>
            <w:r>
              <w:rPr>
                <w:rFonts w:ascii="Arial" w:cs="Arial" w:eastAsia="Arial" w:hAnsi="Arial"/>
                <w:sz w:val="16"/>
                <w:szCs w:val="16"/>
                <w:color w:val="auto"/>
              </w:rPr>
              <w:t>September 30,</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53,906</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263,873</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(2,122)</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(85,592)</w:t>
            </w:r>
          </w:p>
        </w:tc>
        <w:tc>
          <w:tcPr>
            <w:tcW w:w="58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2,779</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(86,565)</w:t>
            </w:r>
          </w:p>
        </w:tc>
        <w:tc>
          <w:tcPr>
            <w:tcW w:w="68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146,279</w:t>
            </w:r>
          </w:p>
        </w:tc>
        <w:tc>
          <w:tcPr>
            <w:tcW w:w="0" w:type="dxa"/>
            <w:vAlign w:val="bottom"/>
          </w:tcPr>
          <w:p>
            <w:pPr>
              <w:spacing w:after="0"/>
              <w:rPr>
                <w:sz w:val="1"/>
                <w:szCs w:val="1"/>
                <w:color w:val="auto"/>
              </w:rPr>
            </w:pPr>
          </w:p>
        </w:tc>
      </w:tr>
      <w:tr>
        <w:trPr>
          <w:trHeight w:val="209"/>
        </w:trPr>
        <w:tc>
          <w:tcPr>
            <w:tcW w:w="14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2021</w:t>
            </w: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11" w:right="319" w:bottom="1440" w:gutter="0" w:footer="0" w:header="0"/>
        </w:sectPr>
      </w:pPr>
    </w:p>
    <w:bookmarkStart w:id="6" w:name="page7"/>
    <w:bookmarkEnd w:id="6"/>
    <w:p>
      <w:pPr>
        <w:ind w:left="360"/>
        <w:spacing w:after="0"/>
        <w:rPr>
          <w:sz w:val="20"/>
          <w:szCs w:val="20"/>
          <w:color w:val="auto"/>
        </w:rPr>
      </w:pPr>
      <w:r>
        <w:rPr>
          <w:rFonts w:ascii="Arial" w:cs="Arial" w:eastAsia="Arial" w:hAnsi="Arial"/>
          <w:sz w:val="16"/>
          <w:szCs w:val="16"/>
          <w:color w:val="auto"/>
        </w:rPr>
        <w:t>The following summarizes the changes in shareholders’ equity for the nine month period ended September 30,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460" w:type="dxa"/>
            <w:vAlign w:val="bottom"/>
            <w:tcBorders>
              <w:top w:val="single" w:sz="8" w:color="auto"/>
              <w:bottom w:val="single" w:sz="8" w:color="auto"/>
            </w:tcBorders>
            <w:gridSpan w:val="5"/>
          </w:tcPr>
          <w:p>
            <w:pPr>
              <w:jc w:val="center"/>
              <w:ind w:right="20"/>
              <w:spacing w:after="0"/>
              <w:rPr>
                <w:sz w:val="20"/>
                <w:szCs w:val="20"/>
                <w:color w:val="auto"/>
              </w:rPr>
            </w:pPr>
            <w:r>
              <w:rPr>
                <w:rFonts w:ascii="Arial" w:cs="Arial" w:eastAsia="Arial" w:hAnsi="Arial"/>
                <w:sz w:val="16"/>
                <w:szCs w:val="16"/>
                <w:color w:val="auto"/>
                <w:w w:val="91"/>
              </w:rPr>
              <w:t>Accumulated Other Comprehensive Income (Loss)</w:t>
            </w:r>
          </w:p>
        </w:tc>
        <w:tc>
          <w:tcPr>
            <w:tcW w:w="4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right"/>
              <w:ind w:right="300"/>
              <w:spacing w:after="0"/>
              <w:rPr>
                <w:sz w:val="20"/>
                <w:szCs w:val="20"/>
                <w:color w:val="auto"/>
              </w:rPr>
            </w:pPr>
            <w:r>
              <w:rPr>
                <w:rFonts w:ascii="Arial" w:cs="Arial" w:eastAsia="Arial" w:hAnsi="Arial"/>
                <w:sz w:val="16"/>
                <w:szCs w:val="16"/>
                <w:color w:val="auto"/>
              </w:rPr>
              <w:t>Trust for</w:t>
            </w:r>
          </w:p>
        </w:tc>
        <w:tc>
          <w:tcPr>
            <w:tcW w:w="120" w:type="dxa"/>
            <w:vAlign w:val="bottom"/>
          </w:tcPr>
          <w:p>
            <w:pPr>
              <w:spacing w:after="0"/>
              <w:rPr>
                <w:sz w:val="12"/>
                <w:szCs w:val="12"/>
                <w:color w:val="auto"/>
              </w:rPr>
            </w:pPr>
          </w:p>
        </w:tc>
        <w:tc>
          <w:tcPr>
            <w:tcW w:w="1060" w:type="dxa"/>
            <w:vAlign w:val="bottom"/>
            <w:vMerge w:val="restart"/>
          </w:tcPr>
          <w:p>
            <w:pPr>
              <w:jc w:val="center"/>
              <w:ind w:right="80"/>
              <w:spacing w:after="0"/>
              <w:rPr>
                <w:sz w:val="20"/>
                <w:szCs w:val="20"/>
                <w:color w:val="auto"/>
              </w:rPr>
            </w:pPr>
            <w:r>
              <w:rPr>
                <w:rFonts w:ascii="Arial" w:cs="Arial" w:eastAsia="Arial" w:hAnsi="Arial"/>
                <w:sz w:val="16"/>
                <w:szCs w:val="16"/>
                <w:color w:val="auto"/>
                <w:w w:val="92"/>
              </w:rPr>
              <w:t>Foreign</w:t>
            </w:r>
          </w:p>
        </w:tc>
        <w:tc>
          <w:tcPr>
            <w:tcW w:w="1180" w:type="dxa"/>
            <w:vAlign w:val="bottom"/>
            <w:gridSpan w:val="2"/>
          </w:tcPr>
          <w:p>
            <w:pPr>
              <w:jc w:val="center"/>
              <w:spacing w:after="0" w:line="149" w:lineRule="exact"/>
              <w:rPr>
                <w:sz w:val="20"/>
                <w:szCs w:val="20"/>
                <w:color w:val="auto"/>
              </w:rPr>
            </w:pPr>
            <w:r>
              <w:rPr>
                <w:rFonts w:ascii="Arial" w:cs="Arial" w:eastAsia="Arial" w:hAnsi="Arial"/>
                <w:sz w:val="16"/>
                <w:szCs w:val="16"/>
                <w:color w:val="auto"/>
                <w:w w:val="91"/>
              </w:rPr>
              <w:t>Gain (Loss) on</w:t>
            </w:r>
          </w:p>
        </w:tc>
        <w:tc>
          <w:tcPr>
            <w:tcW w:w="1220" w:type="dxa"/>
            <w:vAlign w:val="bottom"/>
            <w:gridSpan w:val="2"/>
          </w:tcPr>
          <w:p>
            <w:pPr>
              <w:jc w:val="center"/>
              <w:ind w:left="20"/>
              <w:spacing w:after="0" w:line="149" w:lineRule="exact"/>
              <w:rPr>
                <w:sz w:val="20"/>
                <w:szCs w:val="20"/>
                <w:color w:val="auto"/>
              </w:rPr>
            </w:pPr>
            <w:r>
              <w:rPr>
                <w:rFonts w:ascii="Arial" w:cs="Arial" w:eastAsia="Arial" w:hAnsi="Arial"/>
                <w:sz w:val="16"/>
                <w:szCs w:val="16"/>
                <w:color w:val="auto"/>
                <w:w w:val="91"/>
              </w:rPr>
              <w:t>Pension &amp; Other</w:t>
            </w: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140"/>
              <w:spacing w:after="0"/>
              <w:rPr>
                <w:sz w:val="20"/>
                <w:szCs w:val="20"/>
                <w:color w:val="auto"/>
              </w:rPr>
            </w:pPr>
            <w:r>
              <w:rPr>
                <w:rFonts w:ascii="Arial" w:cs="Arial" w:eastAsia="Arial" w:hAnsi="Arial"/>
                <w:sz w:val="16"/>
                <w:szCs w:val="16"/>
                <w:color w:val="auto"/>
                <w:w w:val="98"/>
              </w:rPr>
              <w:t>Common</w:t>
            </w:r>
          </w:p>
        </w:tc>
        <w:tc>
          <w:tcPr>
            <w:tcW w:w="240" w:type="dxa"/>
            <w:vAlign w:val="bottom"/>
          </w:tcPr>
          <w:p>
            <w:pPr>
              <w:spacing w:after="0"/>
              <w:rPr>
                <w:sz w:val="13"/>
                <w:szCs w:val="13"/>
                <w:color w:val="auto"/>
              </w:rPr>
            </w:pPr>
          </w:p>
        </w:tc>
        <w:tc>
          <w:tcPr>
            <w:tcW w:w="900" w:type="dxa"/>
            <w:vAlign w:val="bottom"/>
            <w:vMerge w:val="restart"/>
          </w:tcPr>
          <w:p>
            <w:pPr>
              <w:jc w:val="right"/>
              <w:ind w:right="200"/>
              <w:spacing w:after="0"/>
              <w:rPr>
                <w:sz w:val="20"/>
                <w:szCs w:val="20"/>
                <w:color w:val="auto"/>
              </w:rPr>
            </w:pPr>
            <w:r>
              <w:rPr>
                <w:rFonts w:ascii="Arial" w:cs="Arial" w:eastAsia="Arial" w:hAnsi="Arial"/>
                <w:sz w:val="16"/>
                <w:szCs w:val="16"/>
                <w:color w:val="auto"/>
                <w:w w:val="93"/>
              </w:rPr>
              <w:t>Retained</w:t>
            </w:r>
          </w:p>
        </w:tc>
        <w:tc>
          <w:tcPr>
            <w:tcW w:w="2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80"/>
              <w:spacing w:after="0" w:line="157" w:lineRule="exact"/>
              <w:rPr>
                <w:sz w:val="20"/>
                <w:szCs w:val="20"/>
                <w:color w:val="auto"/>
              </w:rPr>
            </w:pPr>
            <w:r>
              <w:rPr>
                <w:rFonts w:ascii="Arial" w:cs="Arial" w:eastAsia="Arial" w:hAnsi="Arial"/>
                <w:sz w:val="16"/>
                <w:szCs w:val="16"/>
                <w:color w:val="auto"/>
                <w:w w:val="95"/>
              </w:rPr>
              <w:t>Derivative</w:t>
            </w:r>
          </w:p>
        </w:tc>
        <w:tc>
          <w:tcPr>
            <w:tcW w:w="1220" w:type="dxa"/>
            <w:vAlign w:val="bottom"/>
            <w:gridSpan w:val="2"/>
          </w:tcPr>
          <w:p>
            <w:pPr>
              <w:jc w:val="center"/>
              <w:ind w:left="20"/>
              <w:spacing w:after="0" w:line="157" w:lineRule="exact"/>
              <w:rPr>
                <w:sz w:val="20"/>
                <w:szCs w:val="20"/>
                <w:color w:val="auto"/>
              </w:rPr>
            </w:pPr>
            <w:r>
              <w:rPr>
                <w:rFonts w:ascii="Arial" w:cs="Arial" w:eastAsia="Arial" w:hAnsi="Arial"/>
                <w:sz w:val="16"/>
                <w:szCs w:val="16"/>
                <w:color w:val="auto"/>
                <w:w w:val="91"/>
              </w:rPr>
              <w:t>Post-retirement</w:t>
            </w:r>
          </w:p>
        </w:tc>
        <w:tc>
          <w:tcPr>
            <w:tcW w:w="1500" w:type="dxa"/>
            <w:vAlign w:val="bottom"/>
            <w:gridSpan w:val="2"/>
            <w:vMerge w:val="restart"/>
          </w:tcPr>
          <w:p>
            <w:pPr>
              <w:jc w:val="right"/>
              <w:spacing w:after="0"/>
              <w:rPr>
                <w:sz w:val="20"/>
                <w:szCs w:val="20"/>
                <w:color w:val="auto"/>
              </w:rPr>
            </w:pPr>
            <w:r>
              <w:rPr>
                <w:rFonts w:ascii="Arial" w:cs="Arial" w:eastAsia="Arial" w:hAnsi="Arial"/>
                <w:sz w:val="16"/>
                <w:szCs w:val="16"/>
                <w:color w:val="auto"/>
              </w:rPr>
              <w:t>Total Shareholders’</w:t>
            </w:r>
          </w:p>
        </w:tc>
        <w:tc>
          <w:tcPr>
            <w:tcW w:w="0" w:type="dxa"/>
            <w:vAlign w:val="bottom"/>
          </w:tcPr>
          <w:p>
            <w:pPr>
              <w:spacing w:after="0"/>
              <w:rPr>
                <w:sz w:val="1"/>
                <w:szCs w:val="1"/>
                <w:color w:val="auto"/>
              </w:rPr>
            </w:pPr>
          </w:p>
        </w:tc>
      </w:tr>
      <w:tr>
        <w:trPr>
          <w:trHeight w:val="157"/>
        </w:trPr>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320"/>
              <w:spacing w:after="0" w:line="157" w:lineRule="exact"/>
              <w:rPr>
                <w:sz w:val="20"/>
                <w:szCs w:val="20"/>
                <w:color w:val="auto"/>
              </w:rPr>
            </w:pPr>
            <w:r>
              <w:rPr>
                <w:rFonts w:ascii="Arial" w:cs="Arial" w:eastAsia="Arial" w:hAnsi="Arial"/>
                <w:sz w:val="16"/>
                <w:szCs w:val="16"/>
                <w:color w:val="auto"/>
              </w:rPr>
              <w:t>Savings</w:t>
            </w:r>
          </w:p>
        </w:tc>
        <w:tc>
          <w:tcPr>
            <w:tcW w:w="120" w:type="dxa"/>
            <w:vAlign w:val="bottom"/>
          </w:tcPr>
          <w:p>
            <w:pPr>
              <w:spacing w:after="0"/>
              <w:rPr>
                <w:sz w:val="13"/>
                <w:szCs w:val="13"/>
                <w:color w:val="auto"/>
              </w:rPr>
            </w:pPr>
          </w:p>
        </w:tc>
        <w:tc>
          <w:tcPr>
            <w:tcW w:w="1060" w:type="dxa"/>
            <w:vAlign w:val="bottom"/>
          </w:tcPr>
          <w:p>
            <w:pPr>
              <w:jc w:val="center"/>
              <w:ind w:right="100"/>
              <w:spacing w:after="0" w:line="157" w:lineRule="exact"/>
              <w:rPr>
                <w:sz w:val="20"/>
                <w:szCs w:val="20"/>
                <w:color w:val="auto"/>
              </w:rPr>
            </w:pPr>
            <w:r>
              <w:rPr>
                <w:rFonts w:ascii="Arial" w:cs="Arial" w:eastAsia="Arial" w:hAnsi="Arial"/>
                <w:sz w:val="16"/>
                <w:szCs w:val="16"/>
                <w:color w:val="auto"/>
                <w:w w:val="92"/>
              </w:rPr>
              <w:t>Currency</w:t>
            </w:r>
          </w:p>
        </w:tc>
        <w:tc>
          <w:tcPr>
            <w:tcW w:w="180" w:type="dxa"/>
            <w:vAlign w:val="bottom"/>
          </w:tcPr>
          <w:p>
            <w:pPr>
              <w:spacing w:after="0"/>
              <w:rPr>
                <w:sz w:val="13"/>
                <w:szCs w:val="13"/>
                <w:color w:val="auto"/>
              </w:rPr>
            </w:pPr>
          </w:p>
        </w:tc>
        <w:tc>
          <w:tcPr>
            <w:tcW w:w="1000" w:type="dxa"/>
            <w:vAlign w:val="bottom"/>
          </w:tcPr>
          <w:p>
            <w:pPr>
              <w:jc w:val="center"/>
              <w:ind w:right="80"/>
              <w:spacing w:after="0" w:line="157" w:lineRule="exact"/>
              <w:rPr>
                <w:sz w:val="20"/>
                <w:szCs w:val="20"/>
                <w:color w:val="auto"/>
              </w:rPr>
            </w:pPr>
            <w:r>
              <w:rPr>
                <w:rFonts w:ascii="Arial" w:cs="Arial" w:eastAsia="Arial" w:hAnsi="Arial"/>
                <w:sz w:val="16"/>
                <w:szCs w:val="16"/>
                <w:color w:val="auto"/>
                <w:w w:val="93"/>
              </w:rPr>
              <w:t>Financial</w:t>
            </w:r>
          </w:p>
        </w:tc>
        <w:tc>
          <w:tcPr>
            <w:tcW w:w="220" w:type="dxa"/>
            <w:vAlign w:val="bottom"/>
          </w:tcPr>
          <w:p>
            <w:pPr>
              <w:spacing w:after="0"/>
              <w:rPr>
                <w:sz w:val="13"/>
                <w:szCs w:val="13"/>
                <w:color w:val="auto"/>
              </w:rPr>
            </w:pPr>
          </w:p>
        </w:tc>
        <w:tc>
          <w:tcPr>
            <w:tcW w:w="1000" w:type="dxa"/>
            <w:vAlign w:val="bottom"/>
          </w:tcPr>
          <w:p>
            <w:pPr>
              <w:jc w:val="center"/>
              <w:ind w:right="40"/>
              <w:spacing w:after="0" w:line="157" w:lineRule="exact"/>
              <w:rPr>
                <w:sz w:val="20"/>
                <w:szCs w:val="20"/>
                <w:color w:val="auto"/>
              </w:rPr>
            </w:pPr>
            <w:r>
              <w:rPr>
                <w:rFonts w:ascii="Arial" w:cs="Arial" w:eastAsia="Arial" w:hAnsi="Arial"/>
                <w:sz w:val="16"/>
                <w:szCs w:val="16"/>
                <w:color w:val="auto"/>
                <w:w w:val="96"/>
              </w:rPr>
              <w:t>Benefit</w:t>
            </w: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7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Stock</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94"/>
              </w:rPr>
              <w:t>Earnings</w:t>
            </w: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w w:val="98"/>
              </w:rPr>
              <w:t>Restoration Plan</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color w:val="auto"/>
                <w:w w:val="90"/>
              </w:rPr>
              <w:t>Translation</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0"/>
              <w:spacing w:after="0"/>
              <w:rPr>
                <w:sz w:val="20"/>
                <w:szCs w:val="20"/>
                <w:color w:val="auto"/>
              </w:rPr>
            </w:pPr>
            <w:r>
              <w:rPr>
                <w:rFonts w:ascii="Arial" w:cs="Arial" w:eastAsia="Arial" w:hAnsi="Arial"/>
                <w:sz w:val="16"/>
                <w:szCs w:val="16"/>
                <w:color w:val="auto"/>
                <w:w w:val="90"/>
              </w:rPr>
              <w:t>Instruments</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color w:val="auto"/>
                <w:w w:val="94"/>
              </w:rPr>
              <w:t>Adjustment</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197"/>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January 1,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50,066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239,480</w:t>
            </w:r>
          </w:p>
        </w:tc>
        <w:tc>
          <w:tcPr>
            <w:tcW w:w="2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(2,087)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(84,149)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(96,519)</w:t>
            </w:r>
          </w:p>
        </w:tc>
        <w:tc>
          <w:tcPr>
            <w:tcW w:w="4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109,055</w:t>
            </w:r>
          </w:p>
        </w:tc>
        <w:tc>
          <w:tcPr>
            <w:tcW w:w="0" w:type="dxa"/>
            <w:vAlign w:val="bottom"/>
          </w:tcPr>
          <w:p>
            <w:pPr>
              <w:spacing w:after="0"/>
              <w:rPr>
                <w:sz w:val="1"/>
                <w:szCs w:val="1"/>
                <w:color w:val="auto"/>
              </w:rPr>
            </w:pPr>
          </w:p>
        </w:tc>
      </w:tr>
      <w:tr>
        <w:trPr>
          <w:trHeight w:val="197"/>
        </w:trPr>
        <w:tc>
          <w:tcPr>
            <w:tcW w:w="27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36,472</w:t>
            </w:r>
          </w:p>
        </w:tc>
        <w:tc>
          <w:tcPr>
            <w:tcW w:w="240" w:type="dxa"/>
            <w:vAlign w:val="bottom"/>
          </w:tcPr>
          <w:p>
            <w:pPr>
              <w:spacing w:after="0"/>
              <w:rPr>
                <w:sz w:val="17"/>
                <w:szCs w:val="17"/>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36,472</w:t>
            </w:r>
          </w:p>
        </w:tc>
        <w:tc>
          <w:tcPr>
            <w:tcW w:w="0" w:type="dxa"/>
            <w:vAlign w:val="bottom"/>
          </w:tcPr>
          <w:p>
            <w:pPr>
              <w:spacing w:after="0"/>
              <w:rPr>
                <w:sz w:val="1"/>
                <w:szCs w:val="1"/>
                <w:color w:val="auto"/>
              </w:rPr>
            </w:pPr>
          </w:p>
        </w:tc>
      </w:tr>
      <w:tr>
        <w:trPr>
          <w:trHeight w:val="157"/>
        </w:trPr>
        <w:tc>
          <w:tcPr>
            <w:tcW w:w="27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w w:val="96"/>
              </w:rPr>
              <w:t>Foreign currency translation adjustment</w:t>
            </w:r>
          </w:p>
        </w:tc>
        <w:tc>
          <w:tcPr>
            <w:tcW w:w="1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(1,443)</w:t>
            </w:r>
          </w:p>
        </w:tc>
        <w:tc>
          <w:tcPr>
            <w:tcW w:w="1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(1,443)</w:t>
            </w:r>
          </w:p>
        </w:tc>
        <w:tc>
          <w:tcPr>
            <w:tcW w:w="0" w:type="dxa"/>
            <w:vAlign w:val="bottom"/>
          </w:tcPr>
          <w:p>
            <w:pPr>
              <w:spacing w:after="0"/>
              <w:rPr>
                <w:sz w:val="1"/>
                <w:szCs w:val="1"/>
                <w:color w:val="auto"/>
              </w:rPr>
            </w:pPr>
          </w:p>
        </w:tc>
      </w:tr>
      <w:tr>
        <w:trPr>
          <w:trHeight w:val="205"/>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of tax benefit of $103)</w:t>
            </w:r>
          </w:p>
        </w:tc>
        <w:tc>
          <w:tcPr>
            <w:tcW w:w="1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740" w:type="dxa"/>
            <w:vAlign w:val="bottom"/>
          </w:tcPr>
          <w:p>
            <w:pPr>
              <w:ind w:left="20"/>
              <w:spacing w:after="0" w:line="157" w:lineRule="exact"/>
              <w:rPr>
                <w:sz w:val="20"/>
                <w:szCs w:val="20"/>
                <w:color w:val="auto"/>
              </w:rPr>
            </w:pPr>
            <w:r>
              <w:rPr>
                <w:rFonts w:ascii="Arial" w:cs="Arial" w:eastAsia="Arial" w:hAnsi="Arial"/>
                <w:sz w:val="16"/>
                <w:szCs w:val="16"/>
                <w:color w:val="auto"/>
              </w:rPr>
              <w:t>Derivative financial instruments</w:t>
            </w:r>
          </w:p>
        </w:tc>
        <w:tc>
          <w:tcPr>
            <w:tcW w:w="1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900" w:type="dxa"/>
            <w:vAlign w:val="bottom"/>
            <w:vMerge w:val="restart"/>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02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1060" w:type="dxa"/>
            <w:vAlign w:val="bottom"/>
            <w:vMerge w:val="restart"/>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515</w:t>
            </w:r>
          </w:p>
        </w:tc>
        <w:tc>
          <w:tcPr>
            <w:tcW w:w="2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205"/>
        </w:trPr>
        <w:tc>
          <w:tcPr>
            <w:tcW w:w="2740" w:type="dxa"/>
            <w:vAlign w:val="bottom"/>
          </w:tcPr>
          <w:p>
            <w:pPr>
              <w:ind w:left="20"/>
              <w:spacing w:after="0"/>
              <w:rPr>
                <w:sz w:val="20"/>
                <w:szCs w:val="20"/>
                <w:color w:val="auto"/>
              </w:rPr>
            </w:pPr>
            <w:r>
              <w:rPr>
                <w:rFonts w:ascii="Arial" w:cs="Arial" w:eastAsia="Arial" w:hAnsi="Arial"/>
                <w:sz w:val="16"/>
                <w:szCs w:val="16"/>
                <w:color w:val="auto"/>
              </w:rPr>
              <w:t>adjustment (net of tax of $185)</w:t>
            </w: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7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w w:val="99"/>
              </w:rPr>
              <w:t>Amortization of prior service costs and</w:t>
            </w:r>
          </w:p>
        </w:tc>
        <w:tc>
          <w:tcPr>
            <w:tcW w:w="1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9,954</w:t>
            </w:r>
          </w:p>
        </w:tc>
        <w:tc>
          <w:tcPr>
            <w:tcW w:w="4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9,954</w:t>
            </w:r>
          </w:p>
        </w:tc>
        <w:tc>
          <w:tcPr>
            <w:tcW w:w="0" w:type="dxa"/>
            <w:vAlign w:val="bottom"/>
          </w:tcPr>
          <w:p>
            <w:pPr>
              <w:spacing w:after="0"/>
              <w:rPr>
                <w:sz w:val="1"/>
                <w:szCs w:val="1"/>
                <w:color w:val="auto"/>
              </w:rPr>
            </w:pPr>
          </w:p>
        </w:tc>
      </w:tr>
      <w:tr>
        <w:trPr>
          <w:trHeight w:val="205"/>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net gains or losses (net of tax of $2,773)</w:t>
            </w:r>
          </w:p>
        </w:tc>
        <w:tc>
          <w:tcPr>
            <w:tcW w:w="1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740" w:type="dxa"/>
            <w:vAlign w:val="bottom"/>
          </w:tcPr>
          <w:p>
            <w:pPr>
              <w:ind w:left="20"/>
              <w:spacing w:after="0"/>
              <w:rPr>
                <w:sz w:val="20"/>
                <w:szCs w:val="20"/>
                <w:color w:val="auto"/>
              </w:rPr>
            </w:pPr>
            <w:r>
              <w:rPr>
                <w:rFonts w:ascii="Arial" w:cs="Arial" w:eastAsia="Arial" w:hAnsi="Arial"/>
                <w:sz w:val="16"/>
                <w:szCs w:val="16"/>
                <w:color w:val="auto"/>
                <w:w w:val="89"/>
              </w:rPr>
              <w:t>Cash dividends declared ($0.36 per share)</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(12,114)</w:t>
            </w:r>
          </w:p>
        </w:tc>
        <w:tc>
          <w:tcPr>
            <w:tcW w:w="240" w:type="dxa"/>
            <w:vAlign w:val="bottom"/>
          </w:tcPr>
          <w:p>
            <w:pPr>
              <w:spacing w:after="0"/>
              <w:rPr>
                <w:sz w:val="17"/>
                <w:szCs w:val="17"/>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(12,114)</w:t>
            </w:r>
          </w:p>
        </w:tc>
        <w:tc>
          <w:tcPr>
            <w:tcW w:w="0" w:type="dxa"/>
            <w:vAlign w:val="bottom"/>
          </w:tcPr>
          <w:p>
            <w:pPr>
              <w:spacing w:after="0"/>
              <w:rPr>
                <w:sz w:val="1"/>
                <w:szCs w:val="1"/>
                <w:color w:val="auto"/>
              </w:rPr>
            </w:pPr>
          </w:p>
        </w:tc>
      </w:tr>
      <w:tr>
        <w:trPr>
          <w:trHeight w:val="205"/>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w:t>
            </w:r>
          </w:p>
        </w:tc>
        <w:tc>
          <w:tcPr>
            <w:tcW w:w="0" w:type="dxa"/>
            <w:vAlign w:val="bottom"/>
          </w:tcPr>
          <w:p>
            <w:pPr>
              <w:spacing w:after="0"/>
              <w:rPr>
                <w:sz w:val="1"/>
                <w:szCs w:val="1"/>
                <w:color w:val="auto"/>
              </w:rPr>
            </w:pPr>
          </w:p>
        </w:tc>
      </w:tr>
      <w:tr>
        <w:trPr>
          <w:trHeight w:val="205"/>
        </w:trPr>
        <w:tc>
          <w:tcPr>
            <w:tcW w:w="2740" w:type="dxa"/>
            <w:vAlign w:val="bottom"/>
          </w:tcPr>
          <w:p>
            <w:pPr>
              <w:ind w:left="20"/>
              <w:spacing w:after="0"/>
              <w:rPr>
                <w:sz w:val="20"/>
                <w:szCs w:val="20"/>
                <w:color w:val="auto"/>
              </w:rPr>
            </w:pPr>
            <w:r>
              <w:rPr>
                <w:rFonts w:ascii="Arial" w:cs="Arial" w:eastAsia="Arial" w:hAnsi="Arial"/>
                <w:sz w:val="16"/>
                <w:szCs w:val="16"/>
                <w:color w:val="auto"/>
              </w:rPr>
              <w:t>Issued upon exercise of stock options</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915</w:t>
            </w:r>
          </w:p>
        </w:tc>
        <w:tc>
          <w:tcPr>
            <w:tcW w:w="24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915</w:t>
            </w:r>
          </w:p>
        </w:tc>
        <w:tc>
          <w:tcPr>
            <w:tcW w:w="0" w:type="dxa"/>
            <w:vAlign w:val="bottom"/>
          </w:tcPr>
          <w:p>
            <w:pPr>
              <w:spacing w:after="0"/>
              <w:rPr>
                <w:sz w:val="1"/>
                <w:szCs w:val="1"/>
                <w:color w:val="auto"/>
              </w:rPr>
            </w:pPr>
          </w:p>
        </w:tc>
      </w:tr>
      <w:tr>
        <w:trPr>
          <w:trHeight w:val="157"/>
        </w:trPr>
        <w:tc>
          <w:tcPr>
            <w:tcW w:w="27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w w:val="98"/>
              </w:rPr>
              <w:t>Tredegar common stock purchased by</w:t>
            </w:r>
          </w:p>
        </w:tc>
        <w:tc>
          <w:tcPr>
            <w:tcW w:w="1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35</w:t>
            </w:r>
          </w:p>
        </w:tc>
        <w:tc>
          <w:tcPr>
            <w:tcW w:w="2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trust for savings restoration plan</w:t>
            </w: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September 30,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53,906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263,873</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(86,565)</w:t>
            </w:r>
          </w:p>
        </w:tc>
        <w:tc>
          <w:tcPr>
            <w:tcW w:w="4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146,279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7" w:name="page8"/>
    <w:bookmarkEnd w:id="7"/>
    <w:p>
      <w:pPr>
        <w:ind w:left="360"/>
        <w:spacing w:after="0"/>
        <w:rPr>
          <w:sz w:val="20"/>
          <w:szCs w:val="20"/>
          <w:color w:val="auto"/>
        </w:rPr>
      </w:pPr>
      <w:r>
        <w:rPr>
          <w:rFonts w:ascii="Arial" w:cs="Arial" w:eastAsia="Arial" w:hAnsi="Arial"/>
          <w:sz w:val="16"/>
          <w:szCs w:val="16"/>
          <w:color w:val="auto"/>
        </w:rPr>
        <w:t>The following summarizes the changes in shareholders’ equity for the three month period ended September 30,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3760" w:type="dxa"/>
            <w:vAlign w:val="bottom"/>
            <w:tcBorders>
              <w:top w:val="single" w:sz="8" w:color="auto"/>
              <w:bottom w:val="single" w:sz="8" w:color="auto"/>
            </w:tcBorders>
            <w:gridSpan w:val="5"/>
          </w:tcPr>
          <w:p>
            <w:pPr>
              <w:jc w:val="right"/>
              <w:ind w:right="260"/>
              <w:spacing w:after="0"/>
              <w:rPr>
                <w:sz w:val="20"/>
                <w:szCs w:val="20"/>
                <w:color w:val="auto"/>
              </w:rPr>
            </w:pPr>
            <w:r>
              <w:rPr>
                <w:rFonts w:ascii="Arial" w:cs="Arial" w:eastAsia="Arial" w:hAnsi="Arial"/>
                <w:sz w:val="16"/>
                <w:szCs w:val="16"/>
                <w:color w:val="auto"/>
                <w:w w:val="94"/>
              </w:rPr>
              <w:t>Accumulated Other Comprehensive Income (Loss)</w:t>
            </w:r>
          </w:p>
        </w:tc>
        <w:tc>
          <w:tcPr>
            <w:tcW w:w="6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vMerge w:val="restart"/>
          </w:tcPr>
          <w:p>
            <w:pPr>
              <w:jc w:val="right"/>
              <w:ind w:right="200"/>
              <w:spacing w:after="0"/>
              <w:rPr>
                <w:sz w:val="20"/>
                <w:szCs w:val="20"/>
                <w:color w:val="auto"/>
              </w:rPr>
            </w:pPr>
            <w:r>
              <w:rPr>
                <w:rFonts w:ascii="Arial" w:cs="Arial" w:eastAsia="Arial" w:hAnsi="Arial"/>
                <w:sz w:val="16"/>
                <w:szCs w:val="16"/>
                <w:color w:val="auto"/>
                <w:w w:val="97"/>
              </w:rPr>
              <w:t>Trust for</w:t>
            </w: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right"/>
              <w:ind w:right="100"/>
              <w:spacing w:after="0" w:line="149" w:lineRule="exact"/>
              <w:rPr>
                <w:sz w:val="20"/>
                <w:szCs w:val="20"/>
                <w:color w:val="auto"/>
              </w:rPr>
            </w:pPr>
            <w:r>
              <w:rPr>
                <w:rFonts w:ascii="Arial" w:cs="Arial" w:eastAsia="Arial" w:hAnsi="Arial"/>
                <w:sz w:val="16"/>
                <w:szCs w:val="16"/>
                <w:color w:val="auto"/>
                <w:w w:val="89"/>
              </w:rPr>
              <w:t>Gain (Loss)</w:t>
            </w:r>
          </w:p>
        </w:tc>
        <w:tc>
          <w:tcPr>
            <w:tcW w:w="480" w:type="dxa"/>
            <w:vAlign w:val="bottom"/>
          </w:tcPr>
          <w:p>
            <w:pPr>
              <w:spacing w:after="0"/>
              <w:rPr>
                <w:sz w:val="12"/>
                <w:szCs w:val="12"/>
                <w:color w:val="auto"/>
              </w:rPr>
            </w:pPr>
          </w:p>
        </w:tc>
        <w:tc>
          <w:tcPr>
            <w:tcW w:w="900" w:type="dxa"/>
            <w:vAlign w:val="bottom"/>
          </w:tcPr>
          <w:p>
            <w:pPr>
              <w:jc w:val="right"/>
              <w:ind w:right="100"/>
              <w:spacing w:after="0" w:line="149" w:lineRule="exact"/>
              <w:rPr>
                <w:sz w:val="20"/>
                <w:szCs w:val="20"/>
                <w:color w:val="auto"/>
              </w:rPr>
            </w:pPr>
            <w:r>
              <w:rPr>
                <w:rFonts w:ascii="Arial" w:cs="Arial" w:eastAsia="Arial" w:hAnsi="Arial"/>
                <w:sz w:val="16"/>
                <w:szCs w:val="16"/>
                <w:color w:val="auto"/>
                <w:w w:val="95"/>
              </w:rPr>
              <w:t>Pension &amp;</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ind w:right="300"/>
              <w:spacing w:after="0"/>
              <w:rPr>
                <w:sz w:val="20"/>
                <w:szCs w:val="20"/>
                <w:color w:val="auto"/>
              </w:rPr>
            </w:pPr>
            <w:r>
              <w:rPr>
                <w:rFonts w:ascii="Arial" w:cs="Arial" w:eastAsia="Arial" w:hAnsi="Arial"/>
                <w:sz w:val="16"/>
                <w:szCs w:val="16"/>
                <w:color w:val="auto"/>
                <w:w w:val="98"/>
              </w:rPr>
              <w:t>Common</w:t>
            </w:r>
          </w:p>
        </w:tc>
        <w:tc>
          <w:tcPr>
            <w:tcW w:w="420" w:type="dxa"/>
            <w:vAlign w:val="bottom"/>
          </w:tcPr>
          <w:p>
            <w:pPr>
              <w:spacing w:after="0"/>
              <w:rPr>
                <w:sz w:val="13"/>
                <w:szCs w:val="13"/>
                <w:color w:val="auto"/>
              </w:rPr>
            </w:pPr>
          </w:p>
        </w:tc>
        <w:tc>
          <w:tcPr>
            <w:tcW w:w="960" w:type="dxa"/>
            <w:vAlign w:val="bottom"/>
            <w:vMerge w:val="restart"/>
          </w:tcPr>
          <w:p>
            <w:pPr>
              <w:jc w:val="right"/>
              <w:ind w:right="240"/>
              <w:spacing w:after="0"/>
              <w:rPr>
                <w:sz w:val="20"/>
                <w:szCs w:val="20"/>
                <w:color w:val="auto"/>
              </w:rPr>
            </w:pPr>
            <w:r>
              <w:rPr>
                <w:rFonts w:ascii="Arial" w:cs="Arial" w:eastAsia="Arial" w:hAnsi="Arial"/>
                <w:sz w:val="16"/>
                <w:szCs w:val="16"/>
                <w:color w:val="auto"/>
                <w:w w:val="96"/>
              </w:rPr>
              <w:t>Retained</w:t>
            </w:r>
          </w:p>
        </w:tc>
        <w:tc>
          <w:tcPr>
            <w:tcW w:w="5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vMerge w:val="restart"/>
          </w:tcPr>
          <w:p>
            <w:pPr>
              <w:jc w:val="right"/>
              <w:ind w:right="360"/>
              <w:spacing w:after="0"/>
              <w:rPr>
                <w:sz w:val="20"/>
                <w:szCs w:val="20"/>
                <w:color w:val="auto"/>
              </w:rPr>
            </w:pPr>
            <w:r>
              <w:rPr>
                <w:rFonts w:ascii="Arial" w:cs="Arial" w:eastAsia="Arial" w:hAnsi="Arial"/>
                <w:sz w:val="16"/>
                <w:szCs w:val="16"/>
                <w:color w:val="auto"/>
              </w:rPr>
              <w:t>Foreign</w:t>
            </w:r>
          </w:p>
        </w:tc>
        <w:tc>
          <w:tcPr>
            <w:tcW w:w="1340" w:type="dxa"/>
            <w:vAlign w:val="bottom"/>
            <w:gridSpan w:val="2"/>
          </w:tcPr>
          <w:p>
            <w:pPr>
              <w:jc w:val="right"/>
              <w:ind w:right="220"/>
              <w:spacing w:after="0" w:line="157" w:lineRule="exact"/>
              <w:rPr>
                <w:sz w:val="20"/>
                <w:szCs w:val="20"/>
                <w:color w:val="auto"/>
              </w:rPr>
            </w:pPr>
            <w:r>
              <w:rPr>
                <w:rFonts w:ascii="Arial" w:cs="Arial" w:eastAsia="Arial" w:hAnsi="Arial"/>
                <w:sz w:val="16"/>
                <w:szCs w:val="16"/>
                <w:color w:val="auto"/>
              </w:rPr>
              <w:t>on Derivative</w:t>
            </w:r>
          </w:p>
        </w:tc>
        <w:tc>
          <w:tcPr>
            <w:tcW w:w="1380" w:type="dxa"/>
            <w:vAlign w:val="bottom"/>
            <w:gridSpan w:val="2"/>
          </w:tcPr>
          <w:p>
            <w:pPr>
              <w:jc w:val="center"/>
              <w:spacing w:after="0" w:line="157" w:lineRule="exact"/>
              <w:rPr>
                <w:sz w:val="20"/>
                <w:szCs w:val="20"/>
                <w:color w:val="auto"/>
              </w:rPr>
            </w:pPr>
            <w:r>
              <w:rPr>
                <w:rFonts w:ascii="Arial" w:cs="Arial" w:eastAsia="Arial" w:hAnsi="Arial"/>
                <w:sz w:val="16"/>
                <w:szCs w:val="16"/>
                <w:color w:val="auto"/>
                <w:w w:val="90"/>
              </w:rPr>
              <w:t>Other Post-</w:t>
            </w:r>
          </w:p>
        </w:tc>
        <w:tc>
          <w:tcPr>
            <w:tcW w:w="660" w:type="dxa"/>
            <w:vAlign w:val="bottom"/>
          </w:tcPr>
          <w:p>
            <w:pPr>
              <w:spacing w:after="0"/>
              <w:rPr>
                <w:sz w:val="13"/>
                <w:szCs w:val="13"/>
                <w:color w:val="auto"/>
              </w:rPr>
            </w:pPr>
          </w:p>
        </w:tc>
        <w:tc>
          <w:tcPr>
            <w:tcW w:w="820" w:type="dxa"/>
            <w:vAlign w:val="bottom"/>
            <w:vMerge w:val="restart"/>
          </w:tcPr>
          <w:p>
            <w:pPr>
              <w:jc w:val="right"/>
              <w:ind w:right="28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380" w:type="dxa"/>
            <w:vAlign w:val="bottom"/>
            <w:gridSpan w:val="2"/>
          </w:tcPr>
          <w:p>
            <w:pPr>
              <w:jc w:val="right"/>
              <w:ind w:right="400"/>
              <w:spacing w:after="0" w:line="157" w:lineRule="exact"/>
              <w:rPr>
                <w:sz w:val="20"/>
                <w:szCs w:val="20"/>
                <w:color w:val="auto"/>
              </w:rPr>
            </w:pPr>
            <w:r>
              <w:rPr>
                <w:rFonts w:ascii="Arial" w:cs="Arial" w:eastAsia="Arial" w:hAnsi="Arial"/>
                <w:sz w:val="16"/>
                <w:szCs w:val="16"/>
                <w:color w:val="auto"/>
              </w:rPr>
              <w:t>Savings</w:t>
            </w:r>
          </w:p>
        </w:tc>
        <w:tc>
          <w:tcPr>
            <w:tcW w:w="5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340" w:type="dxa"/>
            <w:vAlign w:val="bottom"/>
            <w:gridSpan w:val="2"/>
          </w:tcPr>
          <w:p>
            <w:pPr>
              <w:ind w:left="300"/>
              <w:spacing w:after="0" w:line="157" w:lineRule="exact"/>
              <w:rPr>
                <w:sz w:val="20"/>
                <w:szCs w:val="20"/>
                <w:color w:val="auto"/>
              </w:rPr>
            </w:pPr>
            <w:r>
              <w:rPr>
                <w:rFonts w:ascii="Arial" w:cs="Arial" w:eastAsia="Arial" w:hAnsi="Arial"/>
                <w:sz w:val="16"/>
                <w:szCs w:val="16"/>
                <w:color w:val="auto"/>
              </w:rPr>
              <w:t>Financial</w:t>
            </w:r>
          </w:p>
        </w:tc>
        <w:tc>
          <w:tcPr>
            <w:tcW w:w="1380" w:type="dxa"/>
            <w:vAlign w:val="bottom"/>
            <w:gridSpan w:val="2"/>
          </w:tcPr>
          <w:p>
            <w:pPr>
              <w:jc w:val="center"/>
              <w:spacing w:after="0" w:line="157" w:lineRule="exact"/>
              <w:rPr>
                <w:sz w:val="20"/>
                <w:szCs w:val="20"/>
                <w:color w:val="auto"/>
              </w:rPr>
            </w:pPr>
            <w:r>
              <w:rPr>
                <w:rFonts w:ascii="Arial" w:cs="Arial" w:eastAsia="Arial" w:hAnsi="Arial"/>
                <w:sz w:val="16"/>
                <w:szCs w:val="16"/>
                <w:color w:val="auto"/>
                <w:w w:val="93"/>
              </w:rPr>
              <w:t>retirement Benefit</w:t>
            </w:r>
          </w:p>
        </w:tc>
        <w:tc>
          <w:tcPr>
            <w:tcW w:w="6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4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0"/>
              <w:spacing w:after="0"/>
              <w:rPr>
                <w:sz w:val="20"/>
                <w:szCs w:val="20"/>
                <w:color w:val="auto"/>
              </w:rPr>
            </w:pPr>
            <w:r>
              <w:rPr>
                <w:rFonts w:ascii="Arial" w:cs="Arial" w:eastAsia="Arial" w:hAnsi="Arial"/>
                <w:sz w:val="16"/>
                <w:szCs w:val="16"/>
                <w:color w:val="auto"/>
                <w:w w:val="84"/>
              </w:rPr>
              <w:t>Stock</w:t>
            </w:r>
          </w:p>
        </w:tc>
        <w:tc>
          <w:tcPr>
            <w:tcW w:w="13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Earnings</w:t>
            </w:r>
          </w:p>
        </w:tc>
        <w:tc>
          <w:tcPr>
            <w:tcW w:w="13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98"/>
              </w:rPr>
              <w:t>Restoration Plan</w:t>
            </w:r>
          </w:p>
        </w:tc>
        <w:tc>
          <w:tcPr>
            <w:tcW w:w="1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94"/>
              </w:rPr>
              <w:t>Currency Translation</w:t>
            </w:r>
          </w:p>
        </w:tc>
        <w:tc>
          <w:tcPr>
            <w:tcW w:w="13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Instruments</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4"/>
              </w:rPr>
              <w:t>Adjustment</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7"/>
              </w:rPr>
              <w:t>Shareholders’ Equity</w:t>
            </w: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ind w:left="380"/>
              <w:spacing w:after="0" w:line="149" w:lineRule="exact"/>
              <w:rPr>
                <w:sz w:val="20"/>
                <w:szCs w:val="20"/>
                <w:color w:val="auto"/>
              </w:rPr>
            </w:pPr>
            <w:r>
              <w:rPr>
                <w:rFonts w:ascii="Arial" w:cs="Arial" w:eastAsia="Arial" w:hAnsi="Arial"/>
                <w:sz w:val="16"/>
                <w:szCs w:val="16"/>
                <w:color w:val="auto"/>
              </w:rPr>
              <w:t>Balance July</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47,448</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511,345</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(1,610)</w:t>
            </w:r>
          </w:p>
        </w:tc>
        <w:tc>
          <w:tcPr>
            <w:tcW w:w="56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(112,666)</w:t>
            </w:r>
          </w:p>
        </w:tc>
        <w:tc>
          <w:tcPr>
            <w:tcW w:w="400" w:type="dxa"/>
            <w:vAlign w:val="bottom"/>
            <w:vMerge w:val="restart"/>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9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(3,824)</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(89,819)</w:t>
            </w:r>
          </w:p>
        </w:tc>
        <w:tc>
          <w:tcPr>
            <w:tcW w:w="66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350,874</w:t>
            </w:r>
          </w:p>
        </w:tc>
        <w:tc>
          <w:tcPr>
            <w:tcW w:w="0" w:type="dxa"/>
            <w:vAlign w:val="bottom"/>
          </w:tcPr>
          <w:p>
            <w:pPr>
              <w:spacing w:after="0"/>
              <w:rPr>
                <w:sz w:val="1"/>
                <w:szCs w:val="1"/>
                <w:color w:val="auto"/>
              </w:rPr>
            </w:pPr>
          </w:p>
        </w:tc>
      </w:tr>
      <w:tr>
        <w:trPr>
          <w:trHeight w:val="205"/>
        </w:trPr>
        <w:tc>
          <w:tcPr>
            <w:tcW w:w="1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1, 2020</w:t>
            </w: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42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380"/>
              <w:spacing w:after="0" w:line="149" w:lineRule="exact"/>
              <w:rPr>
                <w:sz w:val="20"/>
                <w:szCs w:val="20"/>
                <w:color w:val="auto"/>
              </w:rPr>
            </w:pPr>
            <w:r>
              <w:rPr>
                <w:rFonts w:ascii="Arial" w:cs="Arial" w:eastAsia="Arial" w:hAnsi="Arial"/>
                <w:sz w:val="16"/>
                <w:szCs w:val="16"/>
                <w:color w:val="auto"/>
              </w:rPr>
              <w:t>Net income</w:t>
            </w:r>
          </w:p>
        </w:tc>
        <w:tc>
          <w:tcPr>
            <w:tcW w:w="300" w:type="dxa"/>
            <w:vAlign w:val="bottom"/>
          </w:tcPr>
          <w:p>
            <w:pPr>
              <w:spacing w:after="0"/>
              <w:rPr>
                <w:sz w:val="12"/>
                <w:szCs w:val="12"/>
                <w:color w:val="auto"/>
              </w:rPr>
            </w:pPr>
          </w:p>
        </w:tc>
        <w:tc>
          <w:tcPr>
            <w:tcW w:w="1040" w:type="dxa"/>
            <w:vAlign w:val="bottom"/>
            <w:vMerge w:val="restart"/>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2"/>
                <w:szCs w:val="12"/>
                <w:color w:val="auto"/>
              </w:rPr>
            </w:pPr>
          </w:p>
        </w:tc>
        <w:tc>
          <w:tcPr>
            <w:tcW w:w="960" w:type="dxa"/>
            <w:vAlign w:val="bottom"/>
            <w:vMerge w:val="restart"/>
          </w:tcPr>
          <w:p>
            <w:pPr>
              <w:jc w:val="right"/>
              <w:ind w:right="20"/>
              <w:spacing w:after="0"/>
              <w:rPr>
                <w:sz w:val="20"/>
                <w:szCs w:val="20"/>
                <w:color w:val="auto"/>
              </w:rPr>
            </w:pPr>
            <w:r>
              <w:rPr>
                <w:rFonts w:ascii="Arial" w:cs="Arial" w:eastAsia="Arial" w:hAnsi="Arial"/>
                <w:sz w:val="16"/>
                <w:szCs w:val="16"/>
                <w:color w:val="auto"/>
              </w:rPr>
              <w:t>(65,213)</w:t>
            </w:r>
          </w:p>
        </w:tc>
        <w:tc>
          <w:tcPr>
            <w:tcW w:w="500" w:type="dxa"/>
            <w:vAlign w:val="bottom"/>
          </w:tcPr>
          <w:p>
            <w:pPr>
              <w:spacing w:after="0"/>
              <w:rPr>
                <w:sz w:val="12"/>
                <w:szCs w:val="12"/>
                <w:color w:val="auto"/>
              </w:rPr>
            </w:pPr>
          </w:p>
        </w:tc>
        <w:tc>
          <w:tcPr>
            <w:tcW w:w="88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2"/>
                <w:szCs w:val="12"/>
                <w:color w:val="auto"/>
              </w:rPr>
            </w:pPr>
          </w:p>
        </w:tc>
        <w:tc>
          <w:tcPr>
            <w:tcW w:w="1040" w:type="dxa"/>
            <w:vAlign w:val="bottom"/>
            <w:vMerge w:val="restart"/>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2"/>
                <w:szCs w:val="12"/>
                <w:color w:val="auto"/>
              </w:rPr>
            </w:pPr>
          </w:p>
        </w:tc>
        <w:tc>
          <w:tcPr>
            <w:tcW w:w="94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(65,213)</w:t>
            </w:r>
          </w:p>
        </w:tc>
        <w:tc>
          <w:tcPr>
            <w:tcW w:w="0" w:type="dxa"/>
            <w:vAlign w:val="bottom"/>
          </w:tcPr>
          <w:p>
            <w:pPr>
              <w:spacing w:after="0"/>
              <w:rPr>
                <w:sz w:val="1"/>
                <w:szCs w:val="1"/>
                <w:color w:val="auto"/>
              </w:rPr>
            </w:pPr>
          </w:p>
        </w:tc>
      </w:tr>
      <w:tr>
        <w:trPr>
          <w:trHeight w:val="205"/>
        </w:trPr>
        <w:tc>
          <w:tcPr>
            <w:tcW w:w="1440" w:type="dxa"/>
            <w:vAlign w:val="bottom"/>
          </w:tcPr>
          <w:p>
            <w:pPr>
              <w:ind w:left="20"/>
              <w:spacing w:after="0"/>
              <w:rPr>
                <w:sz w:val="20"/>
                <w:szCs w:val="20"/>
                <w:color w:val="auto"/>
              </w:rPr>
            </w:pPr>
            <w:r>
              <w:rPr>
                <w:rFonts w:ascii="Arial" w:cs="Arial" w:eastAsia="Arial" w:hAnsi="Arial"/>
                <w:sz w:val="16"/>
                <w:szCs w:val="16"/>
                <w:color w:val="auto"/>
              </w:rPr>
              <w:t>(loss)</w:t>
            </w:r>
          </w:p>
        </w:tc>
        <w:tc>
          <w:tcPr>
            <w:tcW w:w="3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380"/>
              <w:spacing w:after="0" w:line="157" w:lineRule="exact"/>
              <w:rPr>
                <w:sz w:val="20"/>
                <w:szCs w:val="20"/>
                <w:color w:val="auto"/>
              </w:rPr>
            </w:pPr>
            <w:r>
              <w:rPr>
                <w:rFonts w:ascii="Arial" w:cs="Arial" w:eastAsia="Arial" w:hAnsi="Arial"/>
                <w:sz w:val="16"/>
                <w:szCs w:val="16"/>
                <w:color w:val="auto"/>
              </w:rPr>
              <w:t>Foreign</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currency</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translation</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adjustment (net of</w:t>
            </w:r>
          </w:p>
        </w:tc>
        <w:tc>
          <w:tcPr>
            <w:tcW w:w="3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927</w:t>
            </w:r>
          </w:p>
        </w:tc>
        <w:tc>
          <w:tcPr>
            <w:tcW w:w="4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205"/>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benefit of $19)</w:t>
            </w:r>
          </w:p>
        </w:tc>
        <w:tc>
          <w:tcPr>
            <w:tcW w:w="3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380"/>
              <w:spacing w:after="0" w:line="157" w:lineRule="exact"/>
              <w:rPr>
                <w:sz w:val="20"/>
                <w:szCs w:val="20"/>
                <w:color w:val="auto"/>
              </w:rPr>
            </w:pPr>
            <w:r>
              <w:rPr>
                <w:rFonts w:ascii="Arial" w:cs="Arial" w:eastAsia="Arial" w:hAnsi="Arial"/>
                <w:sz w:val="16"/>
                <w:szCs w:val="16"/>
                <w:color w:val="auto"/>
              </w:rPr>
              <w:t>Derivative</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financial</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instruments</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adjustment (net of</w:t>
            </w:r>
          </w:p>
        </w:tc>
        <w:tc>
          <w:tcPr>
            <w:tcW w:w="300" w:type="dxa"/>
            <w:vAlign w:val="bottom"/>
          </w:tcPr>
          <w:p>
            <w:pPr>
              <w:spacing w:after="0"/>
              <w:rPr>
                <w:sz w:val="13"/>
                <w:szCs w:val="13"/>
                <w:color w:val="auto"/>
              </w:rPr>
            </w:pPr>
          </w:p>
        </w:tc>
        <w:tc>
          <w:tcPr>
            <w:tcW w:w="1040" w:type="dxa"/>
            <w:vAlign w:val="bottom"/>
            <w:vMerge w:val="restart"/>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3"/>
                <w:szCs w:val="13"/>
                <w:color w:val="auto"/>
              </w:rPr>
            </w:pPr>
          </w:p>
        </w:tc>
        <w:tc>
          <w:tcPr>
            <w:tcW w:w="96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3"/>
                <w:szCs w:val="13"/>
                <w:color w:val="auto"/>
              </w:rPr>
            </w:pPr>
          </w:p>
        </w:tc>
        <w:tc>
          <w:tcPr>
            <w:tcW w:w="88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3"/>
                <w:szCs w:val="13"/>
                <w:color w:val="auto"/>
              </w:rPr>
            </w:pPr>
          </w:p>
        </w:tc>
        <w:tc>
          <w:tcPr>
            <w:tcW w:w="1040" w:type="dxa"/>
            <w:vAlign w:val="bottom"/>
            <w:vMerge w:val="restart"/>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3"/>
                <w:szCs w:val="13"/>
                <w:color w:val="auto"/>
              </w:rPr>
            </w:pPr>
          </w:p>
        </w:tc>
        <w:tc>
          <w:tcPr>
            <w:tcW w:w="940" w:type="dxa"/>
            <w:vAlign w:val="bottom"/>
            <w:vMerge w:val="restart"/>
          </w:tcPr>
          <w:p>
            <w:pPr>
              <w:jc w:val="right"/>
              <w:ind w:right="80"/>
              <w:spacing w:after="0"/>
              <w:rPr>
                <w:sz w:val="20"/>
                <w:szCs w:val="20"/>
                <w:color w:val="auto"/>
              </w:rPr>
            </w:pPr>
            <w:r>
              <w:rPr>
                <w:rFonts w:ascii="Arial" w:cs="Arial" w:eastAsia="Arial" w:hAnsi="Arial"/>
                <w:sz w:val="16"/>
                <w:szCs w:val="16"/>
                <w:color w:val="auto"/>
              </w:rPr>
              <w:t>2,213</w:t>
            </w:r>
          </w:p>
        </w:tc>
        <w:tc>
          <w:tcPr>
            <w:tcW w:w="4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2,213</w:t>
            </w:r>
          </w:p>
        </w:tc>
        <w:tc>
          <w:tcPr>
            <w:tcW w:w="0" w:type="dxa"/>
            <w:vAlign w:val="bottom"/>
          </w:tcPr>
          <w:p>
            <w:pPr>
              <w:spacing w:after="0"/>
              <w:rPr>
                <w:sz w:val="1"/>
                <w:szCs w:val="1"/>
                <w:color w:val="auto"/>
              </w:rPr>
            </w:pPr>
          </w:p>
        </w:tc>
      </w:tr>
      <w:tr>
        <w:trPr>
          <w:trHeight w:val="205"/>
        </w:trPr>
        <w:tc>
          <w:tcPr>
            <w:tcW w:w="1440" w:type="dxa"/>
            <w:vAlign w:val="bottom"/>
          </w:tcPr>
          <w:p>
            <w:pPr>
              <w:ind w:left="20"/>
              <w:spacing w:after="0"/>
              <w:rPr>
                <w:sz w:val="20"/>
                <w:szCs w:val="20"/>
                <w:color w:val="auto"/>
              </w:rPr>
            </w:pPr>
            <w:r>
              <w:rPr>
                <w:rFonts w:ascii="Arial" w:cs="Arial" w:eastAsia="Arial" w:hAnsi="Arial"/>
                <w:sz w:val="16"/>
                <w:szCs w:val="16"/>
                <w:color w:val="auto"/>
              </w:rPr>
              <w:t>tax of $618)</w:t>
            </w:r>
          </w:p>
        </w:tc>
        <w:tc>
          <w:tcPr>
            <w:tcW w:w="3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380"/>
              <w:spacing w:after="0" w:line="157" w:lineRule="exact"/>
              <w:rPr>
                <w:sz w:val="20"/>
                <w:szCs w:val="20"/>
                <w:color w:val="auto"/>
              </w:rPr>
            </w:pPr>
            <w:r>
              <w:rPr>
                <w:rFonts w:ascii="Arial" w:cs="Arial" w:eastAsia="Arial" w:hAnsi="Arial"/>
                <w:sz w:val="16"/>
                <w:szCs w:val="16"/>
                <w:color w:val="auto"/>
              </w:rPr>
              <w:t>Amortization</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of prior service</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costs and net gains</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or losses (net of</w:t>
            </w:r>
          </w:p>
        </w:tc>
        <w:tc>
          <w:tcPr>
            <w:tcW w:w="3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2,931</w:t>
            </w:r>
          </w:p>
        </w:tc>
        <w:tc>
          <w:tcPr>
            <w:tcW w:w="6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2,931</w:t>
            </w:r>
          </w:p>
        </w:tc>
        <w:tc>
          <w:tcPr>
            <w:tcW w:w="0" w:type="dxa"/>
            <w:vAlign w:val="bottom"/>
          </w:tcPr>
          <w:p>
            <w:pPr>
              <w:spacing w:after="0"/>
              <w:rPr>
                <w:sz w:val="1"/>
                <w:szCs w:val="1"/>
                <w:color w:val="auto"/>
              </w:rPr>
            </w:pPr>
          </w:p>
        </w:tc>
      </w:tr>
      <w:tr>
        <w:trPr>
          <w:trHeight w:val="205"/>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of $836)</w:t>
            </w:r>
          </w:p>
        </w:tc>
        <w:tc>
          <w:tcPr>
            <w:tcW w:w="3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380"/>
              <w:spacing w:after="0" w:line="157" w:lineRule="exact"/>
              <w:rPr>
                <w:sz w:val="20"/>
                <w:szCs w:val="20"/>
                <w:color w:val="auto"/>
              </w:rPr>
            </w:pPr>
            <w:r>
              <w:rPr>
                <w:rFonts w:ascii="Arial" w:cs="Arial" w:eastAsia="Arial" w:hAnsi="Arial"/>
                <w:sz w:val="16"/>
                <w:szCs w:val="16"/>
                <w:color w:val="auto"/>
              </w:rPr>
              <w:t>Cash</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dividends declared</w:t>
            </w:r>
          </w:p>
        </w:tc>
        <w:tc>
          <w:tcPr>
            <w:tcW w:w="300" w:type="dxa"/>
            <w:vAlign w:val="bottom"/>
          </w:tcPr>
          <w:p>
            <w:pPr>
              <w:spacing w:after="0"/>
              <w:rPr>
                <w:sz w:val="13"/>
                <w:szCs w:val="13"/>
                <w:color w:val="auto"/>
              </w:rPr>
            </w:pPr>
          </w:p>
        </w:tc>
        <w:tc>
          <w:tcPr>
            <w:tcW w:w="1040" w:type="dxa"/>
            <w:vAlign w:val="bottom"/>
            <w:vMerge w:val="restart"/>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3"/>
                <w:szCs w:val="13"/>
                <w:color w:val="auto"/>
              </w:rPr>
            </w:pP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color w:val="auto"/>
              </w:rPr>
              <w:t>(4,023)</w:t>
            </w:r>
          </w:p>
        </w:tc>
        <w:tc>
          <w:tcPr>
            <w:tcW w:w="500" w:type="dxa"/>
            <w:vAlign w:val="bottom"/>
          </w:tcPr>
          <w:p>
            <w:pPr>
              <w:spacing w:after="0"/>
              <w:rPr>
                <w:sz w:val="13"/>
                <w:szCs w:val="13"/>
                <w:color w:val="auto"/>
              </w:rPr>
            </w:pPr>
          </w:p>
        </w:tc>
        <w:tc>
          <w:tcPr>
            <w:tcW w:w="88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3"/>
                <w:szCs w:val="13"/>
                <w:color w:val="auto"/>
              </w:rPr>
            </w:pPr>
          </w:p>
        </w:tc>
        <w:tc>
          <w:tcPr>
            <w:tcW w:w="1040" w:type="dxa"/>
            <w:vAlign w:val="bottom"/>
            <w:vMerge w:val="restart"/>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3"/>
                <w:szCs w:val="13"/>
                <w:color w:val="auto"/>
              </w:rPr>
            </w:pPr>
          </w:p>
        </w:tc>
        <w:tc>
          <w:tcPr>
            <w:tcW w:w="94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(4,023)</w:t>
            </w:r>
          </w:p>
        </w:tc>
        <w:tc>
          <w:tcPr>
            <w:tcW w:w="0" w:type="dxa"/>
            <w:vAlign w:val="bottom"/>
          </w:tcPr>
          <w:p>
            <w:pPr>
              <w:spacing w:after="0"/>
              <w:rPr>
                <w:sz w:val="1"/>
                <w:szCs w:val="1"/>
                <w:color w:val="auto"/>
              </w:rPr>
            </w:pPr>
          </w:p>
        </w:tc>
      </w:tr>
      <w:tr>
        <w:trPr>
          <w:trHeight w:val="205"/>
        </w:trPr>
        <w:tc>
          <w:tcPr>
            <w:tcW w:w="1440" w:type="dxa"/>
            <w:vAlign w:val="bottom"/>
          </w:tcPr>
          <w:p>
            <w:pPr>
              <w:ind w:left="20"/>
              <w:spacing w:after="0"/>
              <w:rPr>
                <w:sz w:val="20"/>
                <w:szCs w:val="20"/>
                <w:color w:val="auto"/>
              </w:rPr>
            </w:pPr>
            <w:r>
              <w:rPr>
                <w:rFonts w:ascii="Arial" w:cs="Arial" w:eastAsia="Arial" w:hAnsi="Arial"/>
                <w:sz w:val="16"/>
                <w:szCs w:val="16"/>
                <w:color w:val="auto"/>
              </w:rPr>
              <w:t>($0.12 per share)</w:t>
            </w:r>
          </w:p>
        </w:tc>
        <w:tc>
          <w:tcPr>
            <w:tcW w:w="3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380"/>
              <w:spacing w:after="0" w:line="157" w:lineRule="exact"/>
              <w:rPr>
                <w:sz w:val="20"/>
                <w:szCs w:val="20"/>
                <w:color w:val="auto"/>
              </w:rPr>
            </w:pPr>
            <w:r>
              <w:rPr>
                <w:rFonts w:ascii="Arial" w:cs="Arial" w:eastAsia="Arial" w:hAnsi="Arial"/>
                <w:sz w:val="16"/>
                <w:szCs w:val="16"/>
                <w:color w:val="auto"/>
              </w:rPr>
              <w:t>Stock-based</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compensation</w:t>
            </w:r>
          </w:p>
        </w:tc>
        <w:tc>
          <w:tcPr>
            <w:tcW w:w="3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1,600</w:t>
            </w:r>
          </w:p>
        </w:tc>
        <w:tc>
          <w:tcPr>
            <w:tcW w:w="4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205"/>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w:t>
            </w:r>
          </w:p>
        </w:tc>
        <w:tc>
          <w:tcPr>
            <w:tcW w:w="3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380"/>
              <w:spacing w:after="0" w:line="157" w:lineRule="exact"/>
              <w:rPr>
                <w:sz w:val="20"/>
                <w:szCs w:val="20"/>
                <w:color w:val="auto"/>
              </w:rPr>
            </w:pPr>
            <w:r>
              <w:rPr>
                <w:rFonts w:ascii="Arial" w:cs="Arial" w:eastAsia="Arial" w:hAnsi="Arial"/>
                <w:sz w:val="16"/>
                <w:szCs w:val="16"/>
                <w:color w:val="auto"/>
              </w:rPr>
              <w:t>Tredegar</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common stock</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purchased by trust</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for savings</w:t>
            </w:r>
          </w:p>
        </w:tc>
        <w:tc>
          <w:tcPr>
            <w:tcW w:w="300" w:type="dxa"/>
            <w:vAlign w:val="bottom"/>
          </w:tcPr>
          <w:p>
            <w:pPr>
              <w:spacing w:after="0"/>
              <w:rPr>
                <w:sz w:val="13"/>
                <w:szCs w:val="13"/>
                <w:color w:val="auto"/>
              </w:rPr>
            </w:pPr>
          </w:p>
        </w:tc>
        <w:tc>
          <w:tcPr>
            <w:tcW w:w="1040" w:type="dxa"/>
            <w:vAlign w:val="bottom"/>
            <w:vMerge w:val="restart"/>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3"/>
                <w:szCs w:val="13"/>
                <w:color w:val="auto"/>
              </w:rPr>
            </w:pPr>
          </w:p>
        </w:tc>
        <w:tc>
          <w:tcPr>
            <w:tcW w:w="960" w:type="dxa"/>
            <w:vAlign w:val="bottom"/>
            <w:vMerge w:val="restart"/>
          </w:tcPr>
          <w:p>
            <w:pPr>
              <w:jc w:val="right"/>
              <w:ind w:right="80"/>
              <w:spacing w:after="0"/>
              <w:rPr>
                <w:sz w:val="20"/>
                <w:szCs w:val="20"/>
                <w:color w:val="auto"/>
              </w:rPr>
            </w:pPr>
            <w:r>
              <w:rPr>
                <w:rFonts w:ascii="Arial" w:cs="Arial" w:eastAsia="Arial" w:hAnsi="Arial"/>
                <w:sz w:val="16"/>
                <w:szCs w:val="16"/>
                <w:color w:val="auto"/>
              </w:rPr>
              <w:t>9</w:t>
            </w:r>
          </w:p>
        </w:tc>
        <w:tc>
          <w:tcPr>
            <w:tcW w:w="500" w:type="dxa"/>
            <w:vAlign w:val="bottom"/>
          </w:tcPr>
          <w:p>
            <w:pPr>
              <w:spacing w:after="0"/>
              <w:rPr>
                <w:sz w:val="13"/>
                <w:szCs w:val="13"/>
                <w:color w:val="auto"/>
              </w:rPr>
            </w:pPr>
          </w:p>
        </w:tc>
        <w:tc>
          <w:tcPr>
            <w:tcW w:w="880" w:type="dxa"/>
            <w:vAlign w:val="bottom"/>
            <w:vMerge w:val="restart"/>
          </w:tcPr>
          <w:p>
            <w:pPr>
              <w:jc w:val="right"/>
              <w:ind w:right="20"/>
              <w:spacing w:after="0"/>
              <w:rPr>
                <w:sz w:val="20"/>
                <w:szCs w:val="20"/>
                <w:color w:val="auto"/>
              </w:rPr>
            </w:pPr>
            <w:r>
              <w:rPr>
                <w:rFonts w:ascii="Arial" w:cs="Arial" w:eastAsia="Arial" w:hAnsi="Arial"/>
                <w:sz w:val="16"/>
                <w:szCs w:val="16"/>
                <w:color w:val="auto"/>
              </w:rPr>
              <w:t>(9)</w:t>
            </w:r>
          </w:p>
        </w:tc>
        <w:tc>
          <w:tcPr>
            <w:tcW w:w="560" w:type="dxa"/>
            <w:vAlign w:val="bottom"/>
          </w:tcPr>
          <w:p>
            <w:pPr>
              <w:spacing w:after="0"/>
              <w:rPr>
                <w:sz w:val="13"/>
                <w:szCs w:val="13"/>
                <w:color w:val="auto"/>
              </w:rPr>
            </w:pPr>
          </w:p>
        </w:tc>
        <w:tc>
          <w:tcPr>
            <w:tcW w:w="1040" w:type="dxa"/>
            <w:vAlign w:val="bottom"/>
            <w:vMerge w:val="restart"/>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3"/>
                <w:szCs w:val="13"/>
                <w:color w:val="auto"/>
              </w:rPr>
            </w:pPr>
          </w:p>
        </w:tc>
        <w:tc>
          <w:tcPr>
            <w:tcW w:w="94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restoration plan</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ind w:left="20"/>
              <w:spacing w:after="0" w:line="149" w:lineRule="exact"/>
              <w:rPr>
                <w:sz w:val="20"/>
                <w:szCs w:val="20"/>
                <w:color w:val="auto"/>
              </w:rPr>
            </w:pPr>
            <w:r>
              <w:rPr>
                <w:rFonts w:ascii="Arial" w:cs="Arial" w:eastAsia="Arial" w:hAnsi="Arial"/>
                <w:sz w:val="16"/>
                <w:szCs w:val="16"/>
                <w:color w:val="auto"/>
              </w:rPr>
              <w:t>Balance</w:t>
            </w: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160"/>
              <w:spacing w:after="0" w:line="157" w:lineRule="exact"/>
              <w:rPr>
                <w:sz w:val="20"/>
                <w:szCs w:val="20"/>
                <w:color w:val="auto"/>
              </w:rPr>
            </w:pPr>
            <w:r>
              <w:rPr>
                <w:rFonts w:ascii="Arial" w:cs="Arial" w:eastAsia="Arial" w:hAnsi="Arial"/>
                <w:sz w:val="16"/>
                <w:szCs w:val="16"/>
                <w:color w:val="auto"/>
              </w:rPr>
              <w:t>September 30,</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49,048</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442,118</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(1,619)</w:t>
            </w:r>
          </w:p>
        </w:tc>
        <w:tc>
          <w:tcPr>
            <w:tcW w:w="56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(111,739)</w:t>
            </w:r>
          </w:p>
        </w:tc>
        <w:tc>
          <w:tcPr>
            <w:tcW w:w="400" w:type="dxa"/>
            <w:vAlign w:val="bottom"/>
            <w:vMerge w:val="restart"/>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9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(1,611)</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(86,888)</w:t>
            </w:r>
          </w:p>
        </w:tc>
        <w:tc>
          <w:tcPr>
            <w:tcW w:w="66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289,309</w:t>
            </w:r>
          </w:p>
        </w:tc>
        <w:tc>
          <w:tcPr>
            <w:tcW w:w="0" w:type="dxa"/>
            <w:vAlign w:val="bottom"/>
          </w:tcPr>
          <w:p>
            <w:pPr>
              <w:spacing w:after="0"/>
              <w:rPr>
                <w:sz w:val="1"/>
                <w:szCs w:val="1"/>
                <w:color w:val="auto"/>
              </w:rPr>
            </w:pPr>
          </w:p>
        </w:tc>
      </w:tr>
      <w:tr>
        <w:trPr>
          <w:trHeight w:val="209"/>
        </w:trPr>
        <w:tc>
          <w:tcPr>
            <w:tcW w:w="14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2020</w:t>
            </w: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340"/>
          </w:cols>
          <w:pgMar w:left="320" w:top="815" w:right="239" w:bottom="1440" w:gutter="0" w:footer="0" w:header="0"/>
        </w:sectPr>
      </w:pPr>
    </w:p>
    <w:bookmarkStart w:id="8" w:name="page9"/>
    <w:bookmarkEnd w:id="8"/>
    <w:p>
      <w:pPr>
        <w:ind w:left="360"/>
        <w:spacing w:after="0"/>
        <w:rPr>
          <w:sz w:val="20"/>
          <w:szCs w:val="20"/>
          <w:color w:val="auto"/>
        </w:rPr>
      </w:pPr>
      <w:r>
        <w:rPr>
          <w:rFonts w:ascii="Arial" w:cs="Arial" w:eastAsia="Arial" w:hAnsi="Arial"/>
          <w:sz w:val="16"/>
          <w:szCs w:val="16"/>
          <w:color w:val="auto"/>
        </w:rPr>
        <w:t>The following summarizes the changes in shareholders’ equity for the nine month period ended September 30,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jc w:val="right"/>
              <w:spacing w:after="0" w:line="181" w:lineRule="exact"/>
              <w:rPr>
                <w:sz w:val="20"/>
                <w:szCs w:val="20"/>
                <w:color w:val="auto"/>
              </w:rPr>
            </w:pPr>
            <w:r>
              <w:rPr>
                <w:rFonts w:ascii="Arial" w:cs="Arial" w:eastAsia="Arial" w:hAnsi="Arial"/>
                <w:sz w:val="16"/>
                <w:szCs w:val="16"/>
                <w:color w:val="auto"/>
                <w:w w:val="99"/>
              </w:rPr>
              <w:t>Accumulated Other</w:t>
            </w:r>
          </w:p>
        </w:tc>
        <w:tc>
          <w:tcPr>
            <w:tcW w:w="4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6"/>
                <w:szCs w:val="16"/>
                <w:color w:val="auto"/>
              </w:rPr>
              <w:t>Comprehensive Income (Loss)</w:t>
            </w:r>
          </w:p>
        </w:tc>
        <w:tc>
          <w:tcPr>
            <w:tcW w:w="90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vMerge w:val="restart"/>
          </w:tcPr>
          <w:p>
            <w:pPr>
              <w:jc w:val="right"/>
              <w:ind w:right="180"/>
              <w:spacing w:after="0"/>
              <w:rPr>
                <w:sz w:val="20"/>
                <w:szCs w:val="20"/>
                <w:color w:val="auto"/>
              </w:rPr>
            </w:pPr>
            <w:r>
              <w:rPr>
                <w:rFonts w:ascii="Arial" w:cs="Arial" w:eastAsia="Arial" w:hAnsi="Arial"/>
                <w:sz w:val="16"/>
                <w:szCs w:val="16"/>
                <w:color w:val="auto"/>
              </w:rPr>
              <w:t>Trust for</w:t>
            </w: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right"/>
              <w:ind w:right="380"/>
              <w:spacing w:after="0" w:line="149" w:lineRule="exact"/>
              <w:rPr>
                <w:sz w:val="20"/>
                <w:szCs w:val="20"/>
                <w:color w:val="auto"/>
              </w:rPr>
            </w:pPr>
            <w:r>
              <w:rPr>
                <w:rFonts w:ascii="Arial" w:cs="Arial" w:eastAsia="Arial" w:hAnsi="Arial"/>
                <w:sz w:val="16"/>
                <w:szCs w:val="16"/>
                <w:color w:val="auto"/>
              </w:rPr>
              <w:t>Gain</w:t>
            </w:r>
          </w:p>
        </w:tc>
        <w:tc>
          <w:tcPr>
            <w:tcW w:w="420" w:type="dxa"/>
            <w:vAlign w:val="bottom"/>
          </w:tcPr>
          <w:p>
            <w:pPr>
              <w:spacing w:after="0"/>
              <w:rPr>
                <w:sz w:val="12"/>
                <w:szCs w:val="12"/>
                <w:color w:val="auto"/>
              </w:rPr>
            </w:pPr>
          </w:p>
        </w:tc>
        <w:tc>
          <w:tcPr>
            <w:tcW w:w="900" w:type="dxa"/>
            <w:vAlign w:val="bottom"/>
            <w:vMerge w:val="restart"/>
          </w:tcPr>
          <w:p>
            <w:pPr>
              <w:jc w:val="right"/>
              <w:ind w:right="100"/>
              <w:spacing w:after="0"/>
              <w:rPr>
                <w:sz w:val="20"/>
                <w:szCs w:val="20"/>
                <w:color w:val="auto"/>
              </w:rPr>
            </w:pPr>
            <w:r>
              <w:rPr>
                <w:rFonts w:ascii="Arial" w:cs="Arial" w:eastAsia="Arial" w:hAnsi="Arial"/>
                <w:sz w:val="16"/>
                <w:szCs w:val="16"/>
                <w:color w:val="auto"/>
                <w:w w:val="95"/>
              </w:rPr>
              <w:t>Pension &amp;</w:t>
            </w: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vMerge w:val="restart"/>
          </w:tcPr>
          <w:p>
            <w:pPr>
              <w:jc w:val="right"/>
              <w:ind w:right="340"/>
              <w:spacing w:after="0"/>
              <w:rPr>
                <w:sz w:val="20"/>
                <w:szCs w:val="20"/>
                <w:color w:val="auto"/>
              </w:rPr>
            </w:pPr>
            <w:r>
              <w:rPr>
                <w:rFonts w:ascii="Arial" w:cs="Arial" w:eastAsia="Arial" w:hAnsi="Arial"/>
                <w:sz w:val="16"/>
                <w:szCs w:val="16"/>
                <w:color w:val="auto"/>
              </w:rPr>
              <w:t>Foreign</w:t>
            </w:r>
          </w:p>
        </w:tc>
        <w:tc>
          <w:tcPr>
            <w:tcW w:w="1420" w:type="dxa"/>
            <w:vAlign w:val="bottom"/>
            <w:gridSpan w:val="2"/>
          </w:tcPr>
          <w:p>
            <w:pPr>
              <w:jc w:val="center"/>
              <w:ind w:right="120"/>
              <w:spacing w:after="0" w:line="157" w:lineRule="exact"/>
              <w:rPr>
                <w:sz w:val="20"/>
                <w:szCs w:val="20"/>
                <w:color w:val="auto"/>
              </w:rPr>
            </w:pPr>
            <w:r>
              <w:rPr>
                <w:rFonts w:ascii="Arial" w:cs="Arial" w:eastAsia="Arial" w:hAnsi="Arial"/>
                <w:sz w:val="16"/>
                <w:szCs w:val="16"/>
                <w:color w:val="auto"/>
                <w:w w:val="92"/>
              </w:rPr>
              <w:t>(Loss) on</w:t>
            </w:r>
          </w:p>
        </w:tc>
        <w:tc>
          <w:tcPr>
            <w:tcW w:w="4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vMerge w:val="restart"/>
          </w:tcPr>
          <w:p>
            <w:pPr>
              <w:jc w:val="right"/>
              <w:ind w:right="28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vMerge w:val="restart"/>
          </w:tcPr>
          <w:p>
            <w:pPr>
              <w:jc w:val="right"/>
              <w:ind w:right="320"/>
              <w:spacing w:after="0"/>
              <w:rPr>
                <w:sz w:val="20"/>
                <w:szCs w:val="20"/>
                <w:color w:val="auto"/>
              </w:rPr>
            </w:pPr>
            <w:r>
              <w:rPr>
                <w:rFonts w:ascii="Arial" w:cs="Arial" w:eastAsia="Arial" w:hAnsi="Arial"/>
                <w:sz w:val="16"/>
                <w:szCs w:val="16"/>
                <w:color w:val="auto"/>
              </w:rPr>
              <w:t>Common</w:t>
            </w:r>
          </w:p>
        </w:tc>
        <w:tc>
          <w:tcPr>
            <w:tcW w:w="380" w:type="dxa"/>
            <w:vAlign w:val="bottom"/>
          </w:tcPr>
          <w:p>
            <w:pPr>
              <w:spacing w:after="0"/>
              <w:rPr>
                <w:sz w:val="13"/>
                <w:szCs w:val="13"/>
                <w:color w:val="auto"/>
              </w:rPr>
            </w:pPr>
          </w:p>
        </w:tc>
        <w:tc>
          <w:tcPr>
            <w:tcW w:w="1040" w:type="dxa"/>
            <w:vAlign w:val="bottom"/>
            <w:vMerge w:val="restart"/>
          </w:tcPr>
          <w:p>
            <w:pPr>
              <w:jc w:val="right"/>
              <w:ind w:right="320"/>
              <w:spacing w:after="0"/>
              <w:rPr>
                <w:sz w:val="20"/>
                <w:szCs w:val="20"/>
                <w:color w:val="auto"/>
              </w:rPr>
            </w:pPr>
            <w:r>
              <w:rPr>
                <w:rFonts w:ascii="Arial" w:cs="Arial" w:eastAsia="Arial" w:hAnsi="Arial"/>
                <w:sz w:val="16"/>
                <w:szCs w:val="16"/>
                <w:color w:val="auto"/>
                <w:w w:val="96"/>
              </w:rPr>
              <w:t>Retained</w:t>
            </w:r>
          </w:p>
        </w:tc>
        <w:tc>
          <w:tcPr>
            <w:tcW w:w="1300" w:type="dxa"/>
            <w:vAlign w:val="bottom"/>
            <w:gridSpan w:val="2"/>
          </w:tcPr>
          <w:p>
            <w:pPr>
              <w:jc w:val="center"/>
              <w:ind w:right="80"/>
              <w:spacing w:after="0" w:line="157" w:lineRule="exact"/>
              <w:rPr>
                <w:sz w:val="20"/>
                <w:szCs w:val="20"/>
                <w:color w:val="auto"/>
              </w:rPr>
            </w:pPr>
            <w:r>
              <w:rPr>
                <w:rFonts w:ascii="Arial" w:cs="Arial" w:eastAsia="Arial" w:hAnsi="Arial"/>
                <w:sz w:val="16"/>
                <w:szCs w:val="16"/>
                <w:color w:val="auto"/>
                <w:w w:val="87"/>
              </w:rPr>
              <w:t>Savings</w:t>
            </w:r>
          </w:p>
        </w:tc>
        <w:tc>
          <w:tcPr>
            <w:tcW w:w="5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420" w:type="dxa"/>
            <w:vAlign w:val="bottom"/>
            <w:gridSpan w:val="2"/>
          </w:tcPr>
          <w:p>
            <w:pPr>
              <w:jc w:val="center"/>
              <w:ind w:right="100"/>
              <w:spacing w:after="0" w:line="157" w:lineRule="exact"/>
              <w:rPr>
                <w:sz w:val="20"/>
                <w:szCs w:val="20"/>
                <w:color w:val="auto"/>
              </w:rPr>
            </w:pPr>
            <w:r>
              <w:rPr>
                <w:rFonts w:ascii="Arial" w:cs="Arial" w:eastAsia="Arial" w:hAnsi="Arial"/>
                <w:sz w:val="16"/>
                <w:szCs w:val="16"/>
                <w:color w:val="auto"/>
                <w:w w:val="95"/>
              </w:rPr>
              <w:t>Derivative</w:t>
            </w:r>
          </w:p>
        </w:tc>
        <w:tc>
          <w:tcPr>
            <w:tcW w:w="1320" w:type="dxa"/>
            <w:vAlign w:val="bottom"/>
            <w:gridSpan w:val="2"/>
          </w:tcPr>
          <w:p>
            <w:pPr>
              <w:jc w:val="center"/>
              <w:spacing w:after="0" w:line="157" w:lineRule="exact"/>
              <w:rPr>
                <w:sz w:val="20"/>
                <w:szCs w:val="20"/>
                <w:color w:val="auto"/>
              </w:rPr>
            </w:pPr>
            <w:r>
              <w:rPr>
                <w:rFonts w:ascii="Arial" w:cs="Arial" w:eastAsia="Arial" w:hAnsi="Arial"/>
                <w:sz w:val="16"/>
                <w:szCs w:val="16"/>
                <w:color w:val="auto"/>
                <w:w w:val="90"/>
              </w:rPr>
              <w:t>Other Post-</w:t>
            </w:r>
          </w:p>
        </w:tc>
        <w:tc>
          <w:tcPr>
            <w:tcW w:w="5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300" w:type="dxa"/>
            <w:vAlign w:val="bottom"/>
            <w:gridSpan w:val="2"/>
          </w:tcPr>
          <w:p>
            <w:pPr>
              <w:jc w:val="center"/>
              <w:ind w:right="80"/>
              <w:spacing w:after="0" w:line="157" w:lineRule="exact"/>
              <w:rPr>
                <w:sz w:val="20"/>
                <w:szCs w:val="20"/>
                <w:color w:val="auto"/>
              </w:rPr>
            </w:pPr>
            <w:r>
              <w:rPr>
                <w:rFonts w:ascii="Arial" w:cs="Arial" w:eastAsia="Arial" w:hAnsi="Arial"/>
                <w:sz w:val="16"/>
                <w:szCs w:val="16"/>
                <w:color w:val="auto"/>
                <w:w w:val="90"/>
              </w:rPr>
              <w:t>Restoration</w:t>
            </w:r>
          </w:p>
        </w:tc>
        <w:tc>
          <w:tcPr>
            <w:tcW w:w="1600" w:type="dxa"/>
            <w:vAlign w:val="bottom"/>
            <w:gridSpan w:val="2"/>
          </w:tcPr>
          <w:p>
            <w:pPr>
              <w:jc w:val="right"/>
              <w:ind w:right="480"/>
              <w:spacing w:after="0" w:line="157" w:lineRule="exact"/>
              <w:rPr>
                <w:sz w:val="20"/>
                <w:szCs w:val="20"/>
                <w:color w:val="auto"/>
              </w:rPr>
            </w:pPr>
            <w:r>
              <w:rPr>
                <w:rFonts w:ascii="Arial" w:cs="Arial" w:eastAsia="Arial" w:hAnsi="Arial"/>
                <w:sz w:val="16"/>
                <w:szCs w:val="16"/>
                <w:color w:val="auto"/>
              </w:rPr>
              <w:t>Currency</w:t>
            </w:r>
          </w:p>
        </w:tc>
        <w:tc>
          <w:tcPr>
            <w:tcW w:w="1420" w:type="dxa"/>
            <w:vAlign w:val="bottom"/>
            <w:gridSpan w:val="2"/>
          </w:tcPr>
          <w:p>
            <w:pPr>
              <w:jc w:val="center"/>
              <w:ind w:right="100"/>
              <w:spacing w:after="0" w:line="157" w:lineRule="exact"/>
              <w:rPr>
                <w:sz w:val="20"/>
                <w:szCs w:val="20"/>
                <w:color w:val="auto"/>
              </w:rPr>
            </w:pPr>
            <w:r>
              <w:rPr>
                <w:rFonts w:ascii="Arial" w:cs="Arial" w:eastAsia="Arial" w:hAnsi="Arial"/>
                <w:sz w:val="16"/>
                <w:szCs w:val="16"/>
                <w:color w:val="auto"/>
                <w:w w:val="93"/>
              </w:rPr>
              <w:t>Financial</w:t>
            </w:r>
          </w:p>
        </w:tc>
        <w:tc>
          <w:tcPr>
            <w:tcW w:w="1320" w:type="dxa"/>
            <w:vAlign w:val="bottom"/>
            <w:gridSpan w:val="2"/>
          </w:tcPr>
          <w:p>
            <w:pPr>
              <w:jc w:val="center"/>
              <w:spacing w:after="0" w:line="157" w:lineRule="exact"/>
              <w:rPr>
                <w:sz w:val="20"/>
                <w:szCs w:val="20"/>
                <w:color w:val="auto"/>
              </w:rPr>
            </w:pPr>
            <w:r>
              <w:rPr>
                <w:rFonts w:ascii="Arial" w:cs="Arial" w:eastAsia="Arial" w:hAnsi="Arial"/>
                <w:sz w:val="16"/>
                <w:szCs w:val="16"/>
                <w:color w:val="auto"/>
                <w:w w:val="93"/>
              </w:rPr>
              <w:t>retirement Benefit</w:t>
            </w:r>
          </w:p>
        </w:tc>
        <w:tc>
          <w:tcPr>
            <w:tcW w:w="1480" w:type="dxa"/>
            <w:vAlign w:val="bottom"/>
            <w:gridSpan w:val="2"/>
          </w:tcPr>
          <w:p>
            <w:pPr>
              <w:jc w:val="right"/>
              <w:ind w:right="180"/>
              <w:spacing w:after="0" w:line="157" w:lineRule="exact"/>
              <w:rPr>
                <w:sz w:val="20"/>
                <w:szCs w:val="20"/>
                <w:color w:val="auto"/>
              </w:rPr>
            </w:pPr>
            <w:r>
              <w:rPr>
                <w:rFonts w:ascii="Arial" w:cs="Arial" w:eastAsia="Arial" w:hAnsi="Arial"/>
                <w:sz w:val="16"/>
                <w:szCs w:val="16"/>
                <w:color w:val="auto"/>
              </w:rPr>
              <w:t>Shareholders’</w:t>
            </w:r>
          </w:p>
        </w:tc>
        <w:tc>
          <w:tcPr>
            <w:tcW w:w="0" w:type="dxa"/>
            <w:vAlign w:val="bottom"/>
          </w:tcPr>
          <w:p>
            <w:pPr>
              <w:spacing w:after="0"/>
              <w:rPr>
                <w:sz w:val="1"/>
                <w:szCs w:val="1"/>
                <w:color w:val="auto"/>
              </w:rPr>
            </w:pPr>
          </w:p>
        </w:tc>
      </w:tr>
      <w:tr>
        <w:trPr>
          <w:trHeight w:val="205"/>
        </w:trPr>
        <w:tc>
          <w:tcPr>
            <w:tcW w:w="14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20"/>
              <w:spacing w:after="0"/>
              <w:rPr>
                <w:sz w:val="20"/>
                <w:szCs w:val="20"/>
                <w:color w:val="auto"/>
              </w:rPr>
            </w:pPr>
            <w:r>
              <w:rPr>
                <w:rFonts w:ascii="Arial" w:cs="Arial" w:eastAsia="Arial" w:hAnsi="Arial"/>
                <w:sz w:val="16"/>
                <w:szCs w:val="16"/>
                <w:color w:val="auto"/>
                <w:w w:val="89"/>
              </w:rPr>
              <w:t>Stock</w:t>
            </w:r>
          </w:p>
        </w:tc>
        <w:tc>
          <w:tcPr>
            <w:tcW w:w="14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color w:val="auto"/>
              </w:rPr>
              <w:t>Earnings</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480"/>
              <w:spacing w:after="0"/>
              <w:rPr>
                <w:sz w:val="20"/>
                <w:szCs w:val="20"/>
                <w:color w:val="auto"/>
              </w:rPr>
            </w:pPr>
            <w:r>
              <w:rPr>
                <w:rFonts w:ascii="Arial" w:cs="Arial" w:eastAsia="Arial" w:hAnsi="Arial"/>
                <w:sz w:val="16"/>
                <w:szCs w:val="16"/>
                <w:color w:val="auto"/>
                <w:w w:val="93"/>
              </w:rPr>
              <w:t>Plan</w:t>
            </w:r>
          </w:p>
        </w:tc>
        <w:tc>
          <w:tcPr>
            <w:tcW w:w="160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color w:val="auto"/>
              </w:rPr>
              <w:t>Translation</w:t>
            </w: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color w:val="auto"/>
                <w:w w:val="90"/>
              </w:rPr>
              <w:t>Instruments</w:t>
            </w: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4"/>
              </w:rPr>
              <w:t>Adjustment</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w w:val="94"/>
              </w:rPr>
              <w:t>Equity</w:t>
            </w: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ind w:left="380"/>
              <w:spacing w:after="0" w:line="149" w:lineRule="exact"/>
              <w:rPr>
                <w:sz w:val="20"/>
                <w:szCs w:val="20"/>
                <w:color w:val="auto"/>
              </w:rPr>
            </w:pPr>
            <w:r>
              <w:rPr>
                <w:rFonts w:ascii="Arial" w:cs="Arial" w:eastAsia="Arial" w:hAnsi="Arial"/>
                <w:sz w:val="16"/>
                <w:szCs w:val="16"/>
                <w:color w:val="auto"/>
              </w:rPr>
              <w:t>Balance at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45,514</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530,478</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(1,592)</w:t>
            </w:r>
          </w:p>
        </w:tc>
        <w:tc>
          <w:tcPr>
            <w:tcW w:w="560" w:type="dxa"/>
            <w:vAlign w:val="bottom"/>
            <w:vMerge w:val="restart"/>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(100,663)</w:t>
            </w:r>
          </w:p>
        </w:tc>
        <w:tc>
          <w:tcPr>
            <w:tcW w:w="5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(1,307)</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(95,681)</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376,749</w:t>
            </w:r>
          </w:p>
        </w:tc>
        <w:tc>
          <w:tcPr>
            <w:tcW w:w="0" w:type="dxa"/>
            <w:vAlign w:val="bottom"/>
          </w:tcPr>
          <w:p>
            <w:pPr>
              <w:spacing w:after="0"/>
              <w:rPr>
                <w:sz w:val="1"/>
                <w:szCs w:val="1"/>
                <w:color w:val="auto"/>
              </w:rPr>
            </w:pPr>
          </w:p>
        </w:tc>
      </w:tr>
      <w:tr>
        <w:trPr>
          <w:trHeight w:val="205"/>
        </w:trPr>
        <w:tc>
          <w:tcPr>
            <w:tcW w:w="1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January 1, 2020</w:t>
            </w: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42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380"/>
              <w:spacing w:after="0" w:line="149" w:lineRule="exact"/>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12"/>
                <w:szCs w:val="12"/>
                <w:color w:val="auto"/>
              </w:rPr>
            </w:pPr>
          </w:p>
        </w:tc>
        <w:tc>
          <w:tcPr>
            <w:tcW w:w="1080" w:type="dxa"/>
            <w:vAlign w:val="bottom"/>
            <w:vMerge w:val="restart"/>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2"/>
                <w:szCs w:val="12"/>
                <w:color w:val="auto"/>
              </w:rPr>
            </w:pPr>
          </w:p>
        </w:tc>
        <w:tc>
          <w:tcPr>
            <w:tcW w:w="1040" w:type="dxa"/>
            <w:vAlign w:val="bottom"/>
            <w:vMerge w:val="restart"/>
          </w:tcPr>
          <w:p>
            <w:pPr>
              <w:jc w:val="right"/>
              <w:ind w:right="100"/>
              <w:spacing w:after="0"/>
              <w:rPr>
                <w:sz w:val="20"/>
                <w:szCs w:val="20"/>
                <w:color w:val="auto"/>
              </w:rPr>
            </w:pPr>
            <w:r>
              <w:rPr>
                <w:rFonts w:ascii="Arial" w:cs="Arial" w:eastAsia="Arial" w:hAnsi="Arial"/>
                <w:sz w:val="16"/>
                <w:szCs w:val="16"/>
                <w:color w:val="auto"/>
              </w:rPr>
              <w:t>(76,339)</w:t>
            </w:r>
          </w:p>
        </w:tc>
        <w:tc>
          <w:tcPr>
            <w:tcW w:w="400" w:type="dxa"/>
            <w:vAlign w:val="bottom"/>
          </w:tcPr>
          <w:p>
            <w:pPr>
              <w:spacing w:after="0"/>
              <w:rPr>
                <w:sz w:val="12"/>
                <w:szCs w:val="12"/>
                <w:color w:val="auto"/>
              </w:rPr>
            </w:pPr>
          </w:p>
        </w:tc>
        <w:tc>
          <w:tcPr>
            <w:tcW w:w="90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2"/>
                <w:szCs w:val="12"/>
                <w:color w:val="auto"/>
              </w:rPr>
            </w:pPr>
          </w:p>
        </w:tc>
        <w:tc>
          <w:tcPr>
            <w:tcW w:w="1040" w:type="dxa"/>
            <w:vAlign w:val="bottom"/>
            <w:vMerge w:val="restart"/>
          </w:tcPr>
          <w:p>
            <w:pPr>
              <w:jc w:val="right"/>
              <w:ind w:right="1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2"/>
                <w:szCs w:val="12"/>
                <w:color w:val="auto"/>
              </w:rPr>
            </w:pPr>
          </w:p>
        </w:tc>
        <w:tc>
          <w:tcPr>
            <w:tcW w:w="900" w:type="dxa"/>
            <w:vAlign w:val="bottom"/>
            <w:vMerge w:val="restart"/>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(76,339)</w:t>
            </w:r>
          </w:p>
        </w:tc>
        <w:tc>
          <w:tcPr>
            <w:tcW w:w="0" w:type="dxa"/>
            <w:vAlign w:val="bottom"/>
          </w:tcPr>
          <w:p>
            <w:pPr>
              <w:spacing w:after="0"/>
              <w:rPr>
                <w:sz w:val="1"/>
                <w:szCs w:val="1"/>
                <w:color w:val="auto"/>
              </w:rPr>
            </w:pPr>
          </w:p>
        </w:tc>
      </w:tr>
      <w:tr>
        <w:trPr>
          <w:trHeight w:val="205"/>
        </w:trPr>
        <w:tc>
          <w:tcPr>
            <w:tcW w:w="1440" w:type="dxa"/>
            <w:vAlign w:val="bottom"/>
          </w:tcPr>
          <w:p>
            <w:pPr>
              <w:ind w:left="20"/>
              <w:spacing w:after="0"/>
              <w:rPr>
                <w:sz w:val="20"/>
                <w:szCs w:val="20"/>
                <w:color w:val="auto"/>
              </w:rPr>
            </w:pPr>
            <w:r>
              <w:rPr>
                <w:rFonts w:ascii="Arial" w:cs="Arial" w:eastAsia="Arial" w:hAnsi="Arial"/>
                <w:sz w:val="16"/>
                <w:szCs w:val="16"/>
                <w:color w:val="auto"/>
              </w:rPr>
              <w:t>(loss)</w:t>
            </w:r>
          </w:p>
        </w:tc>
        <w:tc>
          <w:tcPr>
            <w:tcW w:w="2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380"/>
              <w:spacing w:after="0" w:line="157" w:lineRule="exact"/>
              <w:rPr>
                <w:sz w:val="20"/>
                <w:szCs w:val="20"/>
                <w:color w:val="auto"/>
              </w:rPr>
            </w:pPr>
            <w:r>
              <w:rPr>
                <w:rFonts w:ascii="Arial" w:cs="Arial" w:eastAsia="Arial" w:hAnsi="Arial"/>
                <w:sz w:val="16"/>
                <w:szCs w:val="16"/>
                <w:color w:val="auto"/>
              </w:rPr>
              <w:t>Foreign</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currency</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translation</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adjustment (net of</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tax benefit of</w:t>
            </w:r>
          </w:p>
        </w:tc>
        <w:tc>
          <w:tcPr>
            <w:tcW w:w="2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(11,076)</w:t>
            </w:r>
          </w:p>
        </w:tc>
        <w:tc>
          <w:tcPr>
            <w:tcW w:w="5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(11,076)</w:t>
            </w:r>
          </w:p>
        </w:tc>
        <w:tc>
          <w:tcPr>
            <w:tcW w:w="0" w:type="dxa"/>
            <w:vAlign w:val="bottom"/>
          </w:tcPr>
          <w:p>
            <w:pPr>
              <w:spacing w:after="0"/>
              <w:rPr>
                <w:sz w:val="1"/>
                <w:szCs w:val="1"/>
                <w:color w:val="auto"/>
              </w:rPr>
            </w:pPr>
          </w:p>
        </w:tc>
      </w:tr>
      <w:tr>
        <w:trPr>
          <w:trHeight w:val="205"/>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$1,125)</w:t>
            </w:r>
          </w:p>
        </w:tc>
        <w:tc>
          <w:tcPr>
            <w:tcW w:w="2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380"/>
              <w:spacing w:after="0" w:line="157" w:lineRule="exact"/>
              <w:rPr>
                <w:sz w:val="20"/>
                <w:szCs w:val="20"/>
                <w:color w:val="auto"/>
              </w:rPr>
            </w:pPr>
            <w:r>
              <w:rPr>
                <w:rFonts w:ascii="Arial" w:cs="Arial" w:eastAsia="Arial" w:hAnsi="Arial"/>
                <w:sz w:val="16"/>
                <w:szCs w:val="16"/>
                <w:color w:val="auto"/>
              </w:rPr>
              <w:t>Derivative</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financial</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instruments</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adjustment (net of</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tax benefit of</w:t>
            </w:r>
          </w:p>
        </w:tc>
        <w:tc>
          <w:tcPr>
            <w:tcW w:w="280" w:type="dxa"/>
            <w:vAlign w:val="bottom"/>
          </w:tcPr>
          <w:p>
            <w:pPr>
              <w:spacing w:after="0"/>
              <w:rPr>
                <w:sz w:val="13"/>
                <w:szCs w:val="13"/>
                <w:color w:val="auto"/>
              </w:rPr>
            </w:pPr>
          </w:p>
        </w:tc>
        <w:tc>
          <w:tcPr>
            <w:tcW w:w="1080" w:type="dxa"/>
            <w:vAlign w:val="bottom"/>
            <w:vMerge w:val="restart"/>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3"/>
                <w:szCs w:val="13"/>
                <w:color w:val="auto"/>
              </w:rPr>
            </w:pPr>
          </w:p>
        </w:tc>
        <w:tc>
          <w:tcPr>
            <w:tcW w:w="1040" w:type="dxa"/>
            <w:vAlign w:val="bottom"/>
            <w:vMerge w:val="restart"/>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3"/>
                <w:szCs w:val="13"/>
                <w:color w:val="auto"/>
              </w:rPr>
            </w:pPr>
          </w:p>
        </w:tc>
        <w:tc>
          <w:tcPr>
            <w:tcW w:w="90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3"/>
                <w:szCs w:val="13"/>
                <w:color w:val="auto"/>
              </w:rPr>
            </w:pPr>
          </w:p>
        </w:tc>
        <w:tc>
          <w:tcPr>
            <w:tcW w:w="1040" w:type="dxa"/>
            <w:vAlign w:val="bottom"/>
            <w:vMerge w:val="restart"/>
          </w:tcPr>
          <w:p>
            <w:pPr>
              <w:jc w:val="right"/>
              <w:ind w:right="1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3"/>
                <w:szCs w:val="13"/>
                <w:color w:val="auto"/>
              </w:rPr>
            </w:pPr>
          </w:p>
        </w:tc>
        <w:tc>
          <w:tcPr>
            <w:tcW w:w="900" w:type="dxa"/>
            <w:vAlign w:val="bottom"/>
            <w:vMerge w:val="restart"/>
          </w:tcPr>
          <w:p>
            <w:pPr>
              <w:jc w:val="right"/>
              <w:ind w:right="100"/>
              <w:spacing w:after="0"/>
              <w:rPr>
                <w:sz w:val="20"/>
                <w:szCs w:val="20"/>
                <w:color w:val="auto"/>
              </w:rPr>
            </w:pPr>
            <w:r>
              <w:rPr>
                <w:rFonts w:ascii="Arial" w:cs="Arial" w:eastAsia="Arial" w:hAnsi="Arial"/>
                <w:sz w:val="16"/>
                <w:szCs w:val="16"/>
                <w:color w:val="auto"/>
              </w:rPr>
              <w:t>(304)</w:t>
            </w:r>
          </w:p>
        </w:tc>
        <w:tc>
          <w:tcPr>
            <w:tcW w:w="4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05"/>
        </w:trPr>
        <w:tc>
          <w:tcPr>
            <w:tcW w:w="1440" w:type="dxa"/>
            <w:vAlign w:val="bottom"/>
          </w:tcPr>
          <w:p>
            <w:pPr>
              <w:ind w:left="20"/>
              <w:spacing w:after="0"/>
              <w:rPr>
                <w:sz w:val="20"/>
                <w:szCs w:val="20"/>
                <w:color w:val="auto"/>
              </w:rPr>
            </w:pPr>
            <w:r>
              <w:rPr>
                <w:rFonts w:ascii="Arial" w:cs="Arial" w:eastAsia="Arial" w:hAnsi="Arial"/>
                <w:sz w:val="16"/>
                <w:szCs w:val="16"/>
                <w:color w:val="auto"/>
              </w:rPr>
              <w:t>$269)</w:t>
            </w:r>
          </w:p>
        </w:tc>
        <w:tc>
          <w:tcPr>
            <w:tcW w:w="2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380"/>
              <w:spacing w:after="0" w:line="157" w:lineRule="exact"/>
              <w:rPr>
                <w:sz w:val="20"/>
                <w:szCs w:val="20"/>
                <w:color w:val="auto"/>
              </w:rPr>
            </w:pPr>
            <w:r>
              <w:rPr>
                <w:rFonts w:ascii="Arial" w:cs="Arial" w:eastAsia="Arial" w:hAnsi="Arial"/>
                <w:sz w:val="16"/>
                <w:szCs w:val="16"/>
                <w:color w:val="auto"/>
              </w:rPr>
              <w:t>Amortization</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of prior service</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costs and net gains</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or losses (net of</w:t>
            </w:r>
          </w:p>
        </w:tc>
        <w:tc>
          <w:tcPr>
            <w:tcW w:w="2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8,793</w:t>
            </w:r>
          </w:p>
        </w:tc>
        <w:tc>
          <w:tcPr>
            <w:tcW w:w="5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8,793</w:t>
            </w:r>
          </w:p>
        </w:tc>
        <w:tc>
          <w:tcPr>
            <w:tcW w:w="0" w:type="dxa"/>
            <w:vAlign w:val="bottom"/>
          </w:tcPr>
          <w:p>
            <w:pPr>
              <w:spacing w:after="0"/>
              <w:rPr>
                <w:sz w:val="1"/>
                <w:szCs w:val="1"/>
                <w:color w:val="auto"/>
              </w:rPr>
            </w:pPr>
          </w:p>
        </w:tc>
      </w:tr>
      <w:tr>
        <w:trPr>
          <w:trHeight w:val="205"/>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of $2,507)</w:t>
            </w:r>
          </w:p>
        </w:tc>
        <w:tc>
          <w:tcPr>
            <w:tcW w:w="2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380"/>
              <w:spacing w:after="0" w:line="157" w:lineRule="exact"/>
              <w:rPr>
                <w:sz w:val="20"/>
                <w:szCs w:val="20"/>
                <w:color w:val="auto"/>
              </w:rPr>
            </w:pPr>
            <w:r>
              <w:rPr>
                <w:rFonts w:ascii="Arial" w:cs="Arial" w:eastAsia="Arial" w:hAnsi="Arial"/>
                <w:sz w:val="16"/>
                <w:szCs w:val="16"/>
                <w:color w:val="auto"/>
              </w:rPr>
              <w:t>Cash</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dividends declared</w:t>
            </w:r>
          </w:p>
        </w:tc>
        <w:tc>
          <w:tcPr>
            <w:tcW w:w="280" w:type="dxa"/>
            <w:vAlign w:val="bottom"/>
          </w:tcPr>
          <w:p>
            <w:pPr>
              <w:spacing w:after="0"/>
              <w:rPr>
                <w:sz w:val="13"/>
                <w:szCs w:val="13"/>
                <w:color w:val="auto"/>
              </w:rPr>
            </w:pPr>
          </w:p>
        </w:tc>
        <w:tc>
          <w:tcPr>
            <w:tcW w:w="1080" w:type="dxa"/>
            <w:vAlign w:val="bottom"/>
            <w:vMerge w:val="restart"/>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3"/>
                <w:szCs w:val="13"/>
                <w:color w:val="auto"/>
              </w:rPr>
            </w:pPr>
          </w:p>
        </w:tc>
        <w:tc>
          <w:tcPr>
            <w:tcW w:w="1040" w:type="dxa"/>
            <w:vAlign w:val="bottom"/>
            <w:vMerge w:val="restart"/>
          </w:tcPr>
          <w:p>
            <w:pPr>
              <w:jc w:val="right"/>
              <w:ind w:right="100"/>
              <w:spacing w:after="0"/>
              <w:rPr>
                <w:sz w:val="20"/>
                <w:szCs w:val="20"/>
                <w:color w:val="auto"/>
              </w:rPr>
            </w:pPr>
            <w:r>
              <w:rPr>
                <w:rFonts w:ascii="Arial" w:cs="Arial" w:eastAsia="Arial" w:hAnsi="Arial"/>
                <w:sz w:val="16"/>
                <w:szCs w:val="16"/>
                <w:color w:val="auto"/>
              </w:rPr>
              <w:t>(12,048)</w:t>
            </w:r>
          </w:p>
        </w:tc>
        <w:tc>
          <w:tcPr>
            <w:tcW w:w="400" w:type="dxa"/>
            <w:vAlign w:val="bottom"/>
          </w:tcPr>
          <w:p>
            <w:pPr>
              <w:spacing w:after="0"/>
              <w:rPr>
                <w:sz w:val="13"/>
                <w:szCs w:val="13"/>
                <w:color w:val="auto"/>
              </w:rPr>
            </w:pPr>
          </w:p>
        </w:tc>
        <w:tc>
          <w:tcPr>
            <w:tcW w:w="90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3"/>
                <w:szCs w:val="13"/>
                <w:color w:val="auto"/>
              </w:rPr>
            </w:pPr>
          </w:p>
        </w:tc>
        <w:tc>
          <w:tcPr>
            <w:tcW w:w="1040" w:type="dxa"/>
            <w:vAlign w:val="bottom"/>
            <w:vMerge w:val="restart"/>
          </w:tcPr>
          <w:p>
            <w:pPr>
              <w:jc w:val="right"/>
              <w:ind w:right="1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3"/>
                <w:szCs w:val="13"/>
                <w:color w:val="auto"/>
              </w:rPr>
            </w:pPr>
          </w:p>
        </w:tc>
        <w:tc>
          <w:tcPr>
            <w:tcW w:w="900" w:type="dxa"/>
            <w:vAlign w:val="bottom"/>
            <w:vMerge w:val="restart"/>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(12,048)</w:t>
            </w:r>
          </w:p>
        </w:tc>
        <w:tc>
          <w:tcPr>
            <w:tcW w:w="0" w:type="dxa"/>
            <w:vAlign w:val="bottom"/>
          </w:tcPr>
          <w:p>
            <w:pPr>
              <w:spacing w:after="0"/>
              <w:rPr>
                <w:sz w:val="1"/>
                <w:szCs w:val="1"/>
                <w:color w:val="auto"/>
              </w:rPr>
            </w:pPr>
          </w:p>
        </w:tc>
      </w:tr>
      <w:tr>
        <w:trPr>
          <w:trHeight w:val="205"/>
        </w:trPr>
        <w:tc>
          <w:tcPr>
            <w:tcW w:w="1440" w:type="dxa"/>
            <w:vAlign w:val="bottom"/>
          </w:tcPr>
          <w:p>
            <w:pPr>
              <w:ind w:left="20"/>
              <w:spacing w:after="0"/>
              <w:rPr>
                <w:sz w:val="20"/>
                <w:szCs w:val="20"/>
                <w:color w:val="auto"/>
              </w:rPr>
            </w:pPr>
            <w:r>
              <w:rPr>
                <w:rFonts w:ascii="Arial" w:cs="Arial" w:eastAsia="Arial" w:hAnsi="Arial"/>
                <w:sz w:val="16"/>
                <w:szCs w:val="16"/>
                <w:color w:val="auto"/>
              </w:rPr>
              <w:t>($0.36 per share)</w:t>
            </w:r>
          </w:p>
        </w:tc>
        <w:tc>
          <w:tcPr>
            <w:tcW w:w="2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380"/>
              <w:spacing w:after="0" w:line="157" w:lineRule="exact"/>
              <w:rPr>
                <w:sz w:val="20"/>
                <w:szCs w:val="20"/>
                <w:color w:val="auto"/>
              </w:rPr>
            </w:pPr>
            <w:r>
              <w:rPr>
                <w:rFonts w:ascii="Arial" w:cs="Arial" w:eastAsia="Arial" w:hAnsi="Arial"/>
                <w:sz w:val="16"/>
                <w:szCs w:val="16"/>
                <w:color w:val="auto"/>
              </w:rPr>
              <w:t>Stock-based</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compensation</w:t>
            </w:r>
          </w:p>
        </w:tc>
        <w:tc>
          <w:tcPr>
            <w:tcW w:w="2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4,120</w:t>
            </w:r>
          </w:p>
        </w:tc>
        <w:tc>
          <w:tcPr>
            <w:tcW w:w="3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4,120</w:t>
            </w:r>
          </w:p>
        </w:tc>
        <w:tc>
          <w:tcPr>
            <w:tcW w:w="0" w:type="dxa"/>
            <w:vAlign w:val="bottom"/>
          </w:tcPr>
          <w:p>
            <w:pPr>
              <w:spacing w:after="0"/>
              <w:rPr>
                <w:sz w:val="1"/>
                <w:szCs w:val="1"/>
                <w:color w:val="auto"/>
              </w:rPr>
            </w:pPr>
          </w:p>
        </w:tc>
      </w:tr>
      <w:tr>
        <w:trPr>
          <w:trHeight w:val="205"/>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w:t>
            </w:r>
          </w:p>
        </w:tc>
        <w:tc>
          <w:tcPr>
            <w:tcW w:w="2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380"/>
              <w:spacing w:after="0" w:line="157" w:lineRule="exact"/>
              <w:rPr>
                <w:sz w:val="20"/>
                <w:szCs w:val="20"/>
                <w:color w:val="auto"/>
              </w:rPr>
            </w:pPr>
            <w:r>
              <w:rPr>
                <w:rFonts w:ascii="Arial" w:cs="Arial" w:eastAsia="Arial" w:hAnsi="Arial"/>
                <w:sz w:val="16"/>
                <w:szCs w:val="16"/>
                <w:color w:val="auto"/>
              </w:rPr>
              <w:t>Repurchase</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of employee</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common stock for</w:t>
            </w:r>
          </w:p>
        </w:tc>
        <w:tc>
          <w:tcPr>
            <w:tcW w:w="280" w:type="dxa"/>
            <w:vAlign w:val="bottom"/>
          </w:tcPr>
          <w:p>
            <w:pPr>
              <w:spacing w:after="0"/>
              <w:rPr>
                <w:sz w:val="13"/>
                <w:szCs w:val="13"/>
                <w:color w:val="auto"/>
              </w:rPr>
            </w:pPr>
          </w:p>
        </w:tc>
        <w:tc>
          <w:tcPr>
            <w:tcW w:w="1080" w:type="dxa"/>
            <w:vAlign w:val="bottom"/>
            <w:vMerge w:val="restart"/>
          </w:tcPr>
          <w:p>
            <w:pPr>
              <w:jc w:val="right"/>
              <w:ind w:right="160"/>
              <w:spacing w:after="0"/>
              <w:rPr>
                <w:sz w:val="20"/>
                <w:szCs w:val="20"/>
                <w:color w:val="auto"/>
              </w:rPr>
            </w:pPr>
            <w:r>
              <w:rPr>
                <w:rFonts w:ascii="Arial" w:cs="Arial" w:eastAsia="Arial" w:hAnsi="Arial"/>
                <w:sz w:val="16"/>
                <w:szCs w:val="16"/>
                <w:color w:val="auto"/>
              </w:rPr>
              <w:t>(586)</w:t>
            </w:r>
          </w:p>
        </w:tc>
        <w:tc>
          <w:tcPr>
            <w:tcW w:w="380" w:type="dxa"/>
            <w:vAlign w:val="bottom"/>
          </w:tcPr>
          <w:p>
            <w:pPr>
              <w:spacing w:after="0"/>
              <w:rPr>
                <w:sz w:val="13"/>
                <w:szCs w:val="13"/>
                <w:color w:val="auto"/>
              </w:rPr>
            </w:pPr>
          </w:p>
        </w:tc>
        <w:tc>
          <w:tcPr>
            <w:tcW w:w="1040" w:type="dxa"/>
            <w:vAlign w:val="bottom"/>
            <w:vMerge w:val="restart"/>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3"/>
                <w:szCs w:val="13"/>
                <w:color w:val="auto"/>
              </w:rPr>
            </w:pPr>
          </w:p>
        </w:tc>
        <w:tc>
          <w:tcPr>
            <w:tcW w:w="90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3"/>
                <w:szCs w:val="13"/>
                <w:color w:val="auto"/>
              </w:rPr>
            </w:pPr>
          </w:p>
        </w:tc>
        <w:tc>
          <w:tcPr>
            <w:tcW w:w="1040" w:type="dxa"/>
            <w:vAlign w:val="bottom"/>
            <w:vMerge w:val="restart"/>
          </w:tcPr>
          <w:p>
            <w:pPr>
              <w:jc w:val="right"/>
              <w:ind w:right="1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3"/>
                <w:szCs w:val="13"/>
                <w:color w:val="auto"/>
              </w:rPr>
            </w:pPr>
          </w:p>
        </w:tc>
        <w:tc>
          <w:tcPr>
            <w:tcW w:w="900" w:type="dxa"/>
            <w:vAlign w:val="bottom"/>
            <w:vMerge w:val="restart"/>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05"/>
        </w:trPr>
        <w:tc>
          <w:tcPr>
            <w:tcW w:w="1440" w:type="dxa"/>
            <w:vAlign w:val="bottom"/>
          </w:tcPr>
          <w:p>
            <w:pPr>
              <w:ind w:left="20"/>
              <w:spacing w:after="0"/>
              <w:rPr>
                <w:sz w:val="20"/>
                <w:szCs w:val="20"/>
                <w:color w:val="auto"/>
              </w:rPr>
            </w:pPr>
            <w:r>
              <w:rPr>
                <w:rFonts w:ascii="Arial" w:cs="Arial" w:eastAsia="Arial" w:hAnsi="Arial"/>
                <w:sz w:val="16"/>
                <w:szCs w:val="16"/>
                <w:color w:val="auto"/>
              </w:rPr>
              <w:t>tax withholdings</w:t>
            </w:r>
          </w:p>
        </w:tc>
        <w:tc>
          <w:tcPr>
            <w:tcW w:w="2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380"/>
              <w:spacing w:after="0" w:line="157" w:lineRule="exact"/>
              <w:rPr>
                <w:sz w:val="20"/>
                <w:szCs w:val="20"/>
                <w:color w:val="auto"/>
              </w:rPr>
            </w:pPr>
            <w:r>
              <w:rPr>
                <w:rFonts w:ascii="Arial" w:cs="Arial" w:eastAsia="Arial" w:hAnsi="Arial"/>
                <w:sz w:val="16"/>
                <w:szCs w:val="16"/>
                <w:color w:val="auto"/>
              </w:rPr>
              <w:t>Tredegar</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common stock</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purchased by trust</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for savings</w:t>
            </w:r>
          </w:p>
        </w:tc>
        <w:tc>
          <w:tcPr>
            <w:tcW w:w="2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27</w:t>
            </w:r>
          </w:p>
        </w:tc>
        <w:tc>
          <w:tcPr>
            <w:tcW w:w="4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5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1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restoration plan</w:t>
            </w: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380"/>
              <w:spacing w:after="0" w:line="149" w:lineRule="exact"/>
              <w:rPr>
                <w:sz w:val="20"/>
                <w:szCs w:val="20"/>
                <w:color w:val="auto"/>
              </w:rPr>
            </w:pPr>
            <w:r>
              <w:rPr>
                <w:rFonts w:ascii="Arial" w:cs="Arial" w:eastAsia="Arial" w:hAnsi="Arial"/>
                <w:sz w:val="16"/>
                <w:szCs w:val="16"/>
                <w:color w:val="auto"/>
              </w:rPr>
              <w:t>Balance at</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20"/>
              <w:spacing w:after="0" w:line="157" w:lineRule="exact"/>
              <w:rPr>
                <w:sz w:val="20"/>
                <w:szCs w:val="20"/>
                <w:color w:val="auto"/>
              </w:rPr>
            </w:pPr>
            <w:r>
              <w:rPr>
                <w:rFonts w:ascii="Arial" w:cs="Arial" w:eastAsia="Arial" w:hAnsi="Arial"/>
                <w:sz w:val="16"/>
                <w:szCs w:val="16"/>
                <w:color w:val="auto"/>
              </w:rPr>
              <w:t>September 30,</w:t>
            </w: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ind w:right="200"/>
              <w:spacing w:after="0"/>
              <w:rPr>
                <w:sz w:val="20"/>
                <w:szCs w:val="20"/>
                <w:color w:val="auto"/>
              </w:rPr>
            </w:pPr>
            <w:r>
              <w:rPr>
                <w:rFonts w:ascii="Arial" w:cs="Arial" w:eastAsia="Arial" w:hAnsi="Arial"/>
                <w:sz w:val="16"/>
                <w:szCs w:val="16"/>
                <w:color w:val="auto"/>
              </w:rPr>
              <w:t>49,048</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140"/>
              <w:spacing w:after="0"/>
              <w:rPr>
                <w:sz w:val="20"/>
                <w:szCs w:val="20"/>
                <w:color w:val="auto"/>
              </w:rPr>
            </w:pPr>
            <w:r>
              <w:rPr>
                <w:rFonts w:ascii="Arial" w:cs="Arial" w:eastAsia="Arial" w:hAnsi="Arial"/>
                <w:sz w:val="16"/>
                <w:szCs w:val="16"/>
                <w:color w:val="auto"/>
              </w:rPr>
              <w:t>442,118</w:t>
            </w: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20"/>
              <w:spacing w:after="0"/>
              <w:rPr>
                <w:sz w:val="20"/>
                <w:szCs w:val="20"/>
                <w:color w:val="auto"/>
              </w:rPr>
            </w:pPr>
            <w:r>
              <w:rPr>
                <w:rFonts w:ascii="Arial" w:cs="Arial" w:eastAsia="Arial" w:hAnsi="Arial"/>
                <w:sz w:val="16"/>
                <w:szCs w:val="16"/>
                <w:color w:val="auto"/>
              </w:rPr>
              <w:t>(1,619)</w:t>
            </w:r>
          </w:p>
        </w:tc>
        <w:tc>
          <w:tcPr>
            <w:tcW w:w="560" w:type="dxa"/>
            <w:vAlign w:val="bottom"/>
            <w:vMerge w:val="restart"/>
          </w:tcPr>
          <w:p>
            <w:pPr>
              <w:ind w:left="380"/>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60"/>
              <w:spacing w:after="0"/>
              <w:rPr>
                <w:sz w:val="20"/>
                <w:szCs w:val="20"/>
                <w:color w:val="auto"/>
              </w:rPr>
            </w:pPr>
            <w:r>
              <w:rPr>
                <w:rFonts w:ascii="Arial" w:cs="Arial" w:eastAsia="Arial" w:hAnsi="Arial"/>
                <w:sz w:val="16"/>
                <w:szCs w:val="16"/>
                <w:color w:val="auto"/>
              </w:rPr>
              <w:t>(111,739)</w:t>
            </w:r>
          </w:p>
        </w:tc>
        <w:tc>
          <w:tcPr>
            <w:tcW w:w="52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00"/>
              <w:spacing w:after="0"/>
              <w:rPr>
                <w:sz w:val="20"/>
                <w:szCs w:val="20"/>
                <w:color w:val="auto"/>
              </w:rPr>
            </w:pPr>
            <w:r>
              <w:rPr>
                <w:rFonts w:ascii="Arial" w:cs="Arial" w:eastAsia="Arial" w:hAnsi="Arial"/>
                <w:sz w:val="16"/>
                <w:szCs w:val="16"/>
                <w:color w:val="auto"/>
              </w:rPr>
              <w:t>(1,611)</w:t>
            </w: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(86,888)</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289,309</w:t>
            </w:r>
          </w:p>
        </w:tc>
        <w:tc>
          <w:tcPr>
            <w:tcW w:w="0" w:type="dxa"/>
            <w:vAlign w:val="bottom"/>
          </w:tcPr>
          <w:p>
            <w:pPr>
              <w:spacing w:after="0"/>
              <w:rPr>
                <w:sz w:val="1"/>
                <w:szCs w:val="1"/>
                <w:color w:val="auto"/>
              </w:rPr>
            </w:pPr>
          </w:p>
        </w:tc>
      </w:tr>
      <w:tr>
        <w:trPr>
          <w:trHeight w:val="209"/>
        </w:trPr>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2020</w:t>
            </w:r>
          </w:p>
        </w:tc>
        <w:tc>
          <w:tcPr>
            <w:tcW w:w="28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340"/>
          </w:cols>
          <w:pgMar w:left="320" w:top="911" w:right="239" w:bottom="1440" w:gutter="0" w:footer="0" w:header="0"/>
        </w:sectPr>
      </w:pPr>
    </w:p>
    <w:bookmarkStart w:id="9" w:name="page10"/>
    <w:bookmarkEnd w:id="9"/>
    <w:p>
      <w:pPr>
        <w:jc w:val="center"/>
        <w:ind w:right="-2"/>
        <w:spacing w:after="0"/>
        <w:rPr>
          <w:sz w:val="20"/>
          <w:szCs w:val="20"/>
          <w:color w:val="auto"/>
        </w:rPr>
      </w:pPr>
      <w:r>
        <w:rPr>
          <w:rFonts w:ascii="Arial" w:cs="Arial" w:eastAsia="Arial" w:hAnsi="Arial"/>
          <w:sz w:val="16"/>
          <w:szCs w:val="16"/>
          <w:b w:val="1"/>
          <w:bCs w:val="1"/>
          <w:color w:val="auto"/>
        </w:rPr>
        <w:t>TREDEGAR CORPORATION</w:t>
      </w:r>
    </w:p>
    <w:p>
      <w:pPr>
        <w:spacing w:after="0" w:line="25"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THE CONDENSED CONSOLIDATED FINANCIAL STATEMENTS</w:t>
      </w:r>
    </w:p>
    <w:p>
      <w:pPr>
        <w:spacing w:after="0" w:line="9"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(Unaudited)</w:t>
      </w:r>
    </w:p>
    <w:p>
      <w:pPr>
        <w:spacing w:after="0" w:line="306" w:lineRule="exact"/>
        <w:rPr>
          <w:sz w:val="20"/>
          <w:szCs w:val="20"/>
          <w:color w:val="auto"/>
        </w:rPr>
      </w:pPr>
    </w:p>
    <w:p>
      <w:pPr>
        <w:ind w:left="3"/>
        <w:spacing w:after="0"/>
        <w:tabs>
          <w:tab w:leader="none" w:pos="223" w:val="left"/>
        </w:tabs>
        <w:rPr>
          <w:sz w:val="20"/>
          <w:szCs w:val="20"/>
          <w:color w:val="auto"/>
        </w:rPr>
      </w:pPr>
      <w:r>
        <w:rPr>
          <w:rFonts w:ascii="Arial" w:cs="Arial" w:eastAsia="Arial" w:hAnsi="Arial"/>
          <w:sz w:val="16"/>
          <w:szCs w:val="16"/>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85" w:lineRule="exact"/>
        <w:rPr>
          <w:sz w:val="20"/>
          <w:szCs w:val="20"/>
          <w:color w:val="auto"/>
        </w:rPr>
      </w:pPr>
    </w:p>
    <w:p>
      <w:pPr>
        <w:ind w:left="3" w:firstLine="362"/>
        <w:spacing w:after="0" w:line="257" w:lineRule="auto"/>
        <w:rPr>
          <w:sz w:val="20"/>
          <w:szCs w:val="20"/>
          <w:color w:val="auto"/>
        </w:rPr>
      </w:pPr>
      <w:r>
        <w:rPr>
          <w:rFonts w:ascii="Arial" w:cs="Arial" w:eastAsia="Arial" w:hAnsi="Arial"/>
          <w:sz w:val="16"/>
          <w:szCs w:val="16"/>
          <w:color w:val="auto"/>
        </w:rPr>
        <w:t>In the opinion of management, the accompanying condensed consolidated financial statements of Tredegar Corporation and its subsidiaries (“Tredegar,” “the Company,” “we,” “us” or “our”) contain all adjustments necessary to state fairly, in all material respects, Tredegar’s consolidated financial position as of September 30, 2021, the consolidated results of operations for the three and nine months ended September 30, 2021 and 2020, the consolidated cash flows for the nine months ended September 30, 2021 and 2020, and the consolidated changes in shareholders’ equity for the three and nine months ended September 30, 2021 and 2020, in accordance with U.S. generally accepted accounting principles (“GAAP”). All such adjustments, unless otherwise detailed in the notes to the condensed consolidated financial statements, are deemed to be of a normal, recurring nature.</w:t>
      </w:r>
    </w:p>
    <w:p>
      <w:pPr>
        <w:spacing w:after="0" w:line="60" w:lineRule="exact"/>
        <w:rPr>
          <w:sz w:val="20"/>
          <w:szCs w:val="20"/>
          <w:color w:val="auto"/>
        </w:rPr>
      </w:pPr>
    </w:p>
    <w:p>
      <w:pPr>
        <w:ind w:left="3" w:firstLine="362"/>
        <w:spacing w:after="0" w:line="276" w:lineRule="auto"/>
        <w:rPr>
          <w:sz w:val="20"/>
          <w:szCs w:val="20"/>
          <w:color w:val="auto"/>
        </w:rPr>
      </w:pPr>
      <w:r>
        <w:rPr>
          <w:rFonts w:ascii="Arial" w:cs="Arial" w:eastAsia="Arial" w:hAnsi="Arial"/>
          <w:sz w:val="15"/>
          <w:szCs w:val="15"/>
          <w:color w:val="auto"/>
        </w:rPr>
        <w:t>The Company operates on a calendar fiscal year except for the Aluminum Extrusions segment, which operates on a 52/53-week fiscal year basis. As such, the fiscal third quarter for 2021 and 2020 for this segment references 13-week periods ended September 25, 2021 and September 27, 2020. The Company does not believe the impact of reporting the results of this segment as stated above is material to the consolidated financial results. The Company may fund or receive cash from the Aluminum Extrusions segment based on Aluminum Extrusion’s cash flows from operations during the intervening period from Aluminum Extrusion’s fiscal quarter end and the Company’s fiscal quarter end. There was no intercompany funding with Aluminum Extrusions between September 25, 2021 and September 30, 2021. As of September 30, 2021 and December 31, 2020, the Company’s cash and cash equivalents declined by $0.5 million and $3.8 million, respectively, since the Company made payments to the Aluminum Extrusions segment to fund its working capital during the intervening period.</w:t>
      </w:r>
    </w:p>
    <w:p>
      <w:pPr>
        <w:spacing w:after="0" w:line="47" w:lineRule="exact"/>
        <w:rPr>
          <w:sz w:val="20"/>
          <w:szCs w:val="20"/>
          <w:color w:val="auto"/>
        </w:rPr>
      </w:pPr>
    </w:p>
    <w:p>
      <w:pPr>
        <w:jc w:val="both"/>
        <w:ind w:left="3" w:right="140" w:firstLine="362"/>
        <w:spacing w:after="0" w:line="291" w:lineRule="auto"/>
        <w:rPr>
          <w:sz w:val="20"/>
          <w:szCs w:val="20"/>
          <w:color w:val="auto"/>
        </w:rPr>
      </w:pPr>
      <w:r>
        <w:rPr>
          <w:rFonts w:ascii="Arial" w:cs="Arial" w:eastAsia="Arial" w:hAnsi="Arial"/>
          <w:sz w:val="15"/>
          <w:szCs w:val="15"/>
          <w:color w:val="auto"/>
        </w:rPr>
        <w:t>The financial position data as of December 31, 2020 that is included herein was derived from the audited consolidated financial statements provided in the Company’s Annual Report on Form 10-K for the year ended December 31, 2020 (“2020 Form 10-K”) but does not include all disclosures required by GAAP. These financial statements should be read in conjunction with the consolidated financial statements and related notes included in the 2020 Form 10-K.</w:t>
      </w:r>
    </w:p>
    <w:p>
      <w:pPr>
        <w:spacing w:after="0" w:line="24" w:lineRule="exact"/>
        <w:rPr>
          <w:sz w:val="20"/>
          <w:szCs w:val="20"/>
          <w:color w:val="auto"/>
        </w:rPr>
      </w:pPr>
    </w:p>
    <w:p>
      <w:pPr>
        <w:ind w:left="3" w:right="120" w:firstLine="362"/>
        <w:spacing w:after="0" w:line="291" w:lineRule="auto"/>
        <w:rPr>
          <w:sz w:val="20"/>
          <w:szCs w:val="20"/>
          <w:color w:val="auto"/>
        </w:rPr>
      </w:pPr>
      <w:r>
        <w:rPr>
          <w:rFonts w:ascii="Arial" w:cs="Arial" w:eastAsia="Arial" w:hAnsi="Arial"/>
          <w:sz w:val="15"/>
          <w:szCs w:val="15"/>
          <w:color w:val="auto"/>
        </w:rPr>
        <w:t>On October 30, 2020, the Company completed the sale of its personal care films business (“Personal Care Films”), which was part of its PE Films segment. The transaction excluded the packaging film lines and related operations located at the Pottsville, Pennsylvania manufacturing site (“Pottsville Packaging”), which are now being reported within the Surface Protection component of PE Films. All historical results for Personal Care Films have been presented as discontinued operations.</w:t>
      </w:r>
    </w:p>
    <w:p>
      <w:pPr>
        <w:spacing w:after="0" w:line="36" w:lineRule="exact"/>
        <w:rPr>
          <w:sz w:val="20"/>
          <w:szCs w:val="20"/>
          <w:color w:val="auto"/>
        </w:rPr>
      </w:pPr>
    </w:p>
    <w:p>
      <w:pPr>
        <w:ind w:left="3" w:right="240" w:firstLine="362"/>
        <w:spacing w:after="0" w:line="265" w:lineRule="auto"/>
        <w:rPr>
          <w:sz w:val="20"/>
          <w:szCs w:val="20"/>
          <w:color w:val="auto"/>
        </w:rPr>
      </w:pPr>
      <w:r>
        <w:rPr>
          <w:rFonts w:ascii="Arial" w:cs="Arial" w:eastAsia="Arial" w:hAnsi="Arial"/>
          <w:sz w:val="16"/>
          <w:szCs w:val="16"/>
          <w:color w:val="auto"/>
        </w:rPr>
        <w:t>On December 31, 2020, the Company completed the sale of Bright View Technologies, which was part of its PE Films segment. The sale did not represent a strategic shift nor did it have a major effect on the Company's historical and ongoing operations, thus all financial information for Bright View Technologies has been presented in continuing operations.</w:t>
      </w:r>
    </w:p>
    <w:p>
      <w:pPr>
        <w:spacing w:after="0" w:line="54" w:lineRule="exact"/>
        <w:rPr>
          <w:sz w:val="20"/>
          <w:szCs w:val="20"/>
          <w:color w:val="auto"/>
        </w:rPr>
      </w:pPr>
    </w:p>
    <w:p>
      <w:pPr>
        <w:ind w:left="363"/>
        <w:spacing w:after="0"/>
        <w:rPr>
          <w:sz w:val="20"/>
          <w:szCs w:val="20"/>
          <w:color w:val="auto"/>
        </w:rPr>
      </w:pPr>
      <w:r>
        <w:rPr>
          <w:rFonts w:ascii="Arial" w:cs="Arial" w:eastAsia="Arial" w:hAnsi="Arial"/>
          <w:sz w:val="15"/>
          <w:szCs w:val="15"/>
          <w:color w:val="auto"/>
        </w:rPr>
        <w:t>The results of operations for the three and nine months ended September 30, 2021, are not necessarily indicative of the results to be expected for the full year.</w:t>
      </w:r>
    </w:p>
    <w:p>
      <w:pPr>
        <w:spacing w:after="0" w:line="9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Accounting Standards Adopted:</w:t>
      </w:r>
    </w:p>
    <w:p>
      <w:pPr>
        <w:spacing w:after="0" w:line="93" w:lineRule="exact"/>
        <w:rPr>
          <w:sz w:val="20"/>
          <w:szCs w:val="20"/>
          <w:color w:val="auto"/>
        </w:rPr>
      </w:pPr>
    </w:p>
    <w:p>
      <w:pPr>
        <w:ind w:left="3" w:firstLine="362"/>
        <w:spacing w:after="0" w:line="283" w:lineRule="auto"/>
        <w:rPr>
          <w:sz w:val="20"/>
          <w:szCs w:val="20"/>
          <w:color w:val="auto"/>
        </w:rPr>
      </w:pPr>
      <w:r>
        <w:rPr>
          <w:rFonts w:ascii="Arial" w:cs="Arial" w:eastAsia="Arial" w:hAnsi="Arial"/>
          <w:sz w:val="15"/>
          <w:szCs w:val="15"/>
          <w:color w:val="auto"/>
        </w:rPr>
        <w:t>In December 2019, the Financial Accounting Standards Board issued Accounting Standards Update ("ASU") 2019-12, which simplifies the accounting for income taxes by eliminating certain exceptions related to the approach for intraperiod tax allocation, the methodology for calculating income taxes in an interim period, hybrid taxes and the recognition of deferred tax liabilities for outside basis differences. It also clarifies and simplifies other aspects of the accounting for income taxes. In the first quarter of 2021, the Company adopted ASU 2019-12, which did not have a material impact on the Company's consolidated financial statements.</w:t>
      </w:r>
    </w:p>
    <w:p>
      <w:pPr>
        <w:spacing w:after="0" w:line="39" w:lineRule="exact"/>
        <w:rPr>
          <w:sz w:val="20"/>
          <w:szCs w:val="20"/>
          <w:color w:val="auto"/>
        </w:rPr>
      </w:pPr>
    </w:p>
    <w:p>
      <w:pPr>
        <w:ind w:left="3" w:right="7440" w:hanging="3"/>
        <w:spacing w:after="0" w:line="356" w:lineRule="auto"/>
        <w:tabs>
          <w:tab w:leader="none" w:pos="244"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DIVESTITURES AND ASSETS HELD FOR SALE </w:t>
      </w:r>
      <w:r>
        <w:rPr>
          <w:rFonts w:ascii="Arial" w:cs="Arial" w:eastAsia="Arial" w:hAnsi="Arial"/>
          <w:sz w:val="16"/>
          <w:szCs w:val="16"/>
          <w:b w:val="1"/>
          <w:bCs w:val="1"/>
          <w:u w:val="single" w:color="auto"/>
          <w:color w:val="auto"/>
        </w:rPr>
        <w:t>Divestitures</w:t>
      </w:r>
    </w:p>
    <w:p>
      <w:pPr>
        <w:spacing w:after="0" w:line="1" w:lineRule="exact"/>
        <w:rPr>
          <w:rFonts w:ascii="Arial" w:cs="Arial" w:eastAsia="Arial" w:hAnsi="Arial"/>
          <w:sz w:val="16"/>
          <w:szCs w:val="16"/>
          <w:b w:val="1"/>
          <w:bCs w:val="1"/>
          <w:color w:val="auto"/>
        </w:rPr>
      </w:pPr>
    </w:p>
    <w:p>
      <w:pPr>
        <w:ind w:left="3"/>
        <w:spacing w:after="0"/>
        <w:rPr>
          <w:rFonts w:ascii="Arial" w:cs="Arial" w:eastAsia="Arial" w:hAnsi="Arial"/>
          <w:sz w:val="16"/>
          <w:szCs w:val="16"/>
          <w:b w:val="1"/>
          <w:bCs w:val="1"/>
          <w:color w:val="auto"/>
        </w:rPr>
      </w:pPr>
      <w:r>
        <w:rPr>
          <w:rFonts w:ascii="Arial" w:cs="Arial" w:eastAsia="Arial" w:hAnsi="Arial"/>
          <w:sz w:val="16"/>
          <w:szCs w:val="16"/>
          <w:i w:val="1"/>
          <w:iCs w:val="1"/>
          <w:color w:val="auto"/>
        </w:rPr>
        <w:t>Personal Care Films</w:t>
      </w:r>
    </w:p>
    <w:p>
      <w:pPr>
        <w:spacing w:after="0" w:line="93" w:lineRule="exact"/>
        <w:rPr>
          <w:sz w:val="20"/>
          <w:szCs w:val="20"/>
          <w:color w:val="auto"/>
        </w:rPr>
      </w:pPr>
    </w:p>
    <w:p>
      <w:pPr>
        <w:ind w:left="3" w:right="120" w:firstLine="362"/>
        <w:spacing w:after="0" w:line="265" w:lineRule="auto"/>
        <w:rPr>
          <w:sz w:val="20"/>
          <w:szCs w:val="20"/>
          <w:color w:val="auto"/>
        </w:rPr>
      </w:pPr>
      <w:r>
        <w:rPr>
          <w:rFonts w:ascii="Arial" w:cs="Arial" w:eastAsia="Arial" w:hAnsi="Arial"/>
          <w:sz w:val="16"/>
          <w:szCs w:val="16"/>
          <w:color w:val="auto"/>
        </w:rPr>
        <w:t>In 2020, the Company completed the sale of Personal Care Films for an aggregate purchase price of $60.5 million, subject to customary adjustments. The Company agreed to provide certain transition services related to finance, human resources and information technology ("IT") that ended during the second quarter of 2021, resulting in final cash proceeds of $64.1 million. Personal Care Films was previously reported in the PE Films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7232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3"/>
          </w:cols>
          <w:pgMar w:left="317" w:top="811" w:right="339" w:bottom="1440" w:gutter="0" w:footer="0" w:header="0"/>
        </w:sectPr>
      </w:pPr>
    </w:p>
    <w:bookmarkStart w:id="10" w:name="page11"/>
    <w:bookmarkEnd w:id="10"/>
    <w:p>
      <w:pPr>
        <w:ind w:left="360"/>
        <w:spacing w:after="0"/>
        <w:rPr>
          <w:sz w:val="20"/>
          <w:szCs w:val="20"/>
          <w:color w:val="auto"/>
        </w:rPr>
      </w:pPr>
      <w:r>
        <w:rPr>
          <w:rFonts w:ascii="Arial" w:cs="Arial" w:eastAsia="Arial" w:hAnsi="Arial"/>
          <w:sz w:val="14"/>
          <w:szCs w:val="14"/>
          <w:color w:val="auto"/>
        </w:rPr>
        <w:t>The following table summarizes the financial results of discontinued operations reflected in the consolidated statements of income for the three and nine months ended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2021 and 2020:</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60" w:type="dxa"/>
            <w:vAlign w:val="bottom"/>
            <w:tcBorders>
              <w:top w:val="single" w:sz="8" w:color="auto"/>
            </w:tcBorders>
            <w:gridSpan w:val="3"/>
          </w:tcPr>
          <w:p>
            <w:pPr>
              <w:jc w:val="right"/>
              <w:ind w:right="640"/>
              <w:spacing w:after="0"/>
              <w:rPr>
                <w:sz w:val="20"/>
                <w:szCs w:val="20"/>
                <w:color w:val="auto"/>
              </w:rPr>
            </w:pPr>
            <w:r>
              <w:rPr>
                <w:rFonts w:ascii="Arial" w:cs="Arial" w:eastAsia="Arial" w:hAnsi="Arial"/>
                <w:sz w:val="16"/>
                <w:szCs w:val="16"/>
                <w:color w:val="auto"/>
                <w:w w:val="97"/>
              </w:rPr>
              <w:t>Three Months Ended September 30,</w:t>
            </w:r>
          </w:p>
        </w:tc>
        <w:tc>
          <w:tcPr>
            <w:tcW w:w="540" w:type="dxa"/>
            <w:vAlign w:val="bottom"/>
            <w:tcBorders>
              <w:top w:val="single" w:sz="8" w:color="auto"/>
            </w:tcBorders>
          </w:tcPr>
          <w:p>
            <w:pPr>
              <w:spacing w:after="0"/>
              <w:rPr>
                <w:sz w:val="19"/>
                <w:szCs w:val="19"/>
                <w:color w:val="auto"/>
              </w:rPr>
            </w:pPr>
          </w:p>
        </w:tc>
        <w:tc>
          <w:tcPr>
            <w:tcW w:w="3120" w:type="dxa"/>
            <w:vAlign w:val="bottom"/>
            <w:tcBorders>
              <w:top w:val="single" w:sz="8" w:color="auto"/>
            </w:tcBorders>
            <w:gridSpan w:val="3"/>
          </w:tcPr>
          <w:p>
            <w:pPr>
              <w:jc w:val="right"/>
              <w:ind w:right="500"/>
              <w:spacing w:after="0"/>
              <w:rPr>
                <w:sz w:val="20"/>
                <w:szCs w:val="20"/>
                <w:color w:val="auto"/>
              </w:rPr>
            </w:pPr>
            <w:r>
              <w:rPr>
                <w:rFonts w:ascii="Arial" w:cs="Arial" w:eastAsia="Arial" w:hAnsi="Arial"/>
                <w:sz w:val="16"/>
                <w:szCs w:val="16"/>
                <w:color w:val="auto"/>
              </w:rPr>
              <w:t>Nine Months Ended September 30,</w:t>
            </w:r>
          </w:p>
        </w:tc>
        <w:tc>
          <w:tcPr>
            <w:tcW w:w="0" w:type="dxa"/>
            <w:vAlign w:val="bottom"/>
          </w:tcPr>
          <w:p>
            <w:pPr>
              <w:spacing w:after="0"/>
              <w:rPr>
                <w:sz w:val="1"/>
                <w:szCs w:val="1"/>
                <w:color w:val="auto"/>
              </w:rPr>
            </w:pPr>
          </w:p>
        </w:tc>
      </w:tr>
      <w:tr>
        <w:trPr>
          <w:trHeight w:val="205"/>
        </w:trPr>
        <w:tc>
          <w:tcPr>
            <w:tcW w:w="38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 thousands)</w:t>
            </w:r>
          </w:p>
        </w:tc>
        <w:tc>
          <w:tcPr>
            <w:tcW w:w="5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rPr>
              <w:t>2021</w:t>
            </w:r>
          </w:p>
        </w:tc>
        <w:tc>
          <w:tcPr>
            <w:tcW w:w="5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60"/>
              <w:spacing w:after="0"/>
              <w:rPr>
                <w:sz w:val="20"/>
                <w:szCs w:val="20"/>
                <w:color w:val="auto"/>
              </w:rPr>
            </w:pPr>
            <w:r>
              <w:rPr>
                <w:rFonts w:ascii="Arial" w:cs="Arial" w:eastAsia="Arial" w:hAnsi="Arial"/>
                <w:sz w:val="16"/>
                <w:szCs w:val="16"/>
                <w:color w:val="auto"/>
              </w:rPr>
              <w:t>2020</w:t>
            </w:r>
          </w:p>
        </w:tc>
        <w:tc>
          <w:tcPr>
            <w:tcW w:w="5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80"/>
              <w:spacing w:after="0"/>
              <w:rPr>
                <w:sz w:val="20"/>
                <w:szCs w:val="20"/>
                <w:color w:val="auto"/>
              </w:rPr>
            </w:pPr>
            <w:r>
              <w:rPr>
                <w:rFonts w:ascii="Arial" w:cs="Arial" w:eastAsia="Arial" w:hAnsi="Arial"/>
                <w:sz w:val="16"/>
                <w:szCs w:val="16"/>
                <w:color w:val="auto"/>
              </w:rPr>
              <w:t>2021</w:t>
            </w:r>
          </w:p>
        </w:tc>
        <w:tc>
          <w:tcPr>
            <w:tcW w:w="6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7"/>
        </w:trPr>
        <w:tc>
          <w:tcPr>
            <w:tcW w:w="3840" w:type="dxa"/>
            <w:vAlign w:val="bottom"/>
          </w:tcPr>
          <w:p>
            <w:pPr>
              <w:ind w:left="380"/>
              <w:spacing w:after="0"/>
              <w:rPr>
                <w:sz w:val="20"/>
                <w:szCs w:val="20"/>
                <w:color w:val="auto"/>
              </w:rPr>
            </w:pPr>
            <w:r>
              <w:rPr>
                <w:rFonts w:ascii="Arial" w:cs="Arial" w:eastAsia="Arial" w:hAnsi="Arial"/>
                <w:sz w:val="16"/>
                <w:szCs w:val="16"/>
                <w:b w:val="1"/>
                <w:bCs w:val="1"/>
                <w:color w:val="auto"/>
              </w:rPr>
              <w:t>Revenues and other items:</w:t>
            </w:r>
          </w:p>
        </w:tc>
        <w:tc>
          <w:tcPr>
            <w:tcW w:w="5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Sales</w:t>
            </w:r>
          </w:p>
        </w:tc>
        <w:tc>
          <w:tcPr>
            <w:tcW w:w="5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29,509</w:t>
            </w:r>
          </w:p>
        </w:tc>
        <w:tc>
          <w:tcPr>
            <w:tcW w:w="5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98,053</w:t>
            </w:r>
          </w:p>
        </w:tc>
        <w:tc>
          <w:tcPr>
            <w:tcW w:w="0" w:type="dxa"/>
            <w:vAlign w:val="bottom"/>
          </w:tcPr>
          <w:p>
            <w:pPr>
              <w:spacing w:after="0"/>
              <w:rPr>
                <w:sz w:val="1"/>
                <w:szCs w:val="1"/>
                <w:color w:val="auto"/>
              </w:rPr>
            </w:pPr>
          </w:p>
        </w:tc>
      </w:tr>
      <w:tr>
        <w:trPr>
          <w:trHeight w:val="205"/>
        </w:trPr>
        <w:tc>
          <w:tcPr>
            <w:tcW w:w="384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Other income (expense), net</w:t>
            </w:r>
          </w:p>
        </w:tc>
        <w:tc>
          <w:tcPr>
            <w:tcW w:w="5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(37)</w:t>
            </w:r>
          </w:p>
        </w:tc>
        <w:tc>
          <w:tcPr>
            <w:tcW w:w="5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197"/>
        </w:trPr>
        <w:tc>
          <w:tcPr>
            <w:tcW w:w="3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29,472</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97,755</w:t>
            </w:r>
          </w:p>
        </w:tc>
        <w:tc>
          <w:tcPr>
            <w:tcW w:w="0" w:type="dxa"/>
            <w:vAlign w:val="bottom"/>
          </w:tcPr>
          <w:p>
            <w:pPr>
              <w:spacing w:after="0"/>
              <w:rPr>
                <w:sz w:val="1"/>
                <w:szCs w:val="1"/>
                <w:color w:val="auto"/>
              </w:rPr>
            </w:pPr>
          </w:p>
        </w:tc>
      </w:tr>
      <w:tr>
        <w:trPr>
          <w:trHeight w:val="205"/>
        </w:trPr>
        <w:tc>
          <w:tcPr>
            <w:tcW w:w="3840" w:type="dxa"/>
            <w:vAlign w:val="bottom"/>
          </w:tcPr>
          <w:p>
            <w:pPr>
              <w:ind w:left="380"/>
              <w:spacing w:after="0"/>
              <w:rPr>
                <w:sz w:val="20"/>
                <w:szCs w:val="20"/>
                <w:color w:val="auto"/>
              </w:rPr>
            </w:pPr>
            <w:r>
              <w:rPr>
                <w:rFonts w:ascii="Arial" w:cs="Arial" w:eastAsia="Arial" w:hAnsi="Arial"/>
                <w:sz w:val="16"/>
                <w:szCs w:val="16"/>
                <w:b w:val="1"/>
                <w:bCs w:val="1"/>
                <w:color w:val="auto"/>
              </w:rPr>
              <w:t>Costs and expenses:</w:t>
            </w:r>
          </w:p>
        </w:tc>
        <w:tc>
          <w:tcPr>
            <w:tcW w:w="5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Cost of goods sold</w:t>
            </w:r>
          </w:p>
        </w:tc>
        <w:tc>
          <w:tcPr>
            <w:tcW w:w="5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25,481</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83,408</w:t>
            </w:r>
          </w:p>
        </w:tc>
        <w:tc>
          <w:tcPr>
            <w:tcW w:w="0" w:type="dxa"/>
            <w:vAlign w:val="bottom"/>
          </w:tcPr>
          <w:p>
            <w:pPr>
              <w:spacing w:after="0"/>
              <w:rPr>
                <w:sz w:val="1"/>
                <w:szCs w:val="1"/>
                <w:color w:val="auto"/>
              </w:rPr>
            </w:pPr>
          </w:p>
        </w:tc>
      </w:tr>
      <w:tr>
        <w:trPr>
          <w:trHeight w:val="205"/>
        </w:trPr>
        <w:tc>
          <w:tcPr>
            <w:tcW w:w="3840" w:type="dxa"/>
            <w:vAlign w:val="bottom"/>
          </w:tcPr>
          <w:p>
            <w:pPr>
              <w:ind w:left="660"/>
              <w:spacing w:after="0"/>
              <w:rPr>
                <w:sz w:val="20"/>
                <w:szCs w:val="20"/>
                <w:color w:val="auto"/>
              </w:rPr>
            </w:pPr>
            <w:r>
              <w:rPr>
                <w:rFonts w:ascii="Arial" w:cs="Arial" w:eastAsia="Arial" w:hAnsi="Arial"/>
                <w:sz w:val="16"/>
                <w:szCs w:val="16"/>
                <w:color w:val="auto"/>
              </w:rPr>
              <w:t>Freight</w:t>
            </w:r>
          </w:p>
        </w:tc>
        <w:tc>
          <w:tcPr>
            <w:tcW w:w="500" w:type="dxa"/>
            <w:vAlign w:val="bottom"/>
          </w:tcPr>
          <w:p>
            <w:pPr>
              <w:spacing w:after="0"/>
              <w:rPr>
                <w:sz w:val="17"/>
                <w:szCs w:val="17"/>
                <w:color w:val="auto"/>
              </w:rPr>
            </w:pPr>
          </w:p>
        </w:tc>
        <w:tc>
          <w:tcPr>
            <w:tcW w:w="14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1280" w:type="dxa"/>
            <w:vAlign w:val="bottom"/>
          </w:tcPr>
          <w:p>
            <w:pPr>
              <w:jc w:val="right"/>
              <w:ind w:right="200"/>
              <w:spacing w:after="0"/>
              <w:rPr>
                <w:sz w:val="20"/>
                <w:szCs w:val="20"/>
                <w:color w:val="auto"/>
              </w:rPr>
            </w:pPr>
            <w:r>
              <w:rPr>
                <w:rFonts w:ascii="Arial" w:cs="Arial" w:eastAsia="Arial" w:hAnsi="Arial"/>
                <w:sz w:val="16"/>
                <w:szCs w:val="16"/>
                <w:color w:val="auto"/>
              </w:rPr>
              <w:t>1,436</w:t>
            </w:r>
          </w:p>
        </w:tc>
        <w:tc>
          <w:tcPr>
            <w:tcW w:w="540" w:type="dxa"/>
            <w:vAlign w:val="bottom"/>
          </w:tcPr>
          <w:p>
            <w:pPr>
              <w:spacing w:after="0"/>
              <w:rPr>
                <w:sz w:val="17"/>
                <w:szCs w:val="17"/>
                <w:color w:val="auto"/>
              </w:rPr>
            </w:pPr>
          </w:p>
        </w:tc>
        <w:tc>
          <w:tcPr>
            <w:tcW w:w="13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4,711</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Selling, general and administrative</w:t>
            </w:r>
          </w:p>
        </w:tc>
        <w:tc>
          <w:tcPr>
            <w:tcW w:w="5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33</w:t>
            </w:r>
          </w:p>
        </w:tc>
        <w:tc>
          <w:tcPr>
            <w:tcW w:w="5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6,502</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1,251</w:t>
            </w: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13,649</w:t>
            </w:r>
          </w:p>
        </w:tc>
        <w:tc>
          <w:tcPr>
            <w:tcW w:w="0" w:type="dxa"/>
            <w:vAlign w:val="bottom"/>
          </w:tcPr>
          <w:p>
            <w:pPr>
              <w:spacing w:after="0"/>
              <w:rPr>
                <w:sz w:val="1"/>
                <w:szCs w:val="1"/>
                <w:color w:val="auto"/>
              </w:rPr>
            </w:pPr>
          </w:p>
        </w:tc>
      </w:tr>
      <w:tr>
        <w:trPr>
          <w:trHeight w:val="205"/>
        </w:trPr>
        <w:tc>
          <w:tcPr>
            <w:tcW w:w="3840" w:type="dxa"/>
            <w:vAlign w:val="bottom"/>
          </w:tcPr>
          <w:p>
            <w:pPr>
              <w:ind w:left="660"/>
              <w:spacing w:after="0"/>
              <w:rPr>
                <w:sz w:val="20"/>
                <w:szCs w:val="20"/>
                <w:color w:val="auto"/>
              </w:rPr>
            </w:pPr>
            <w:r>
              <w:rPr>
                <w:rFonts w:ascii="Arial" w:cs="Arial" w:eastAsia="Arial" w:hAnsi="Arial"/>
                <w:sz w:val="16"/>
                <w:szCs w:val="16"/>
                <w:color w:val="auto"/>
              </w:rPr>
              <w:t>Research and development</w:t>
            </w:r>
          </w:p>
        </w:tc>
        <w:tc>
          <w:tcPr>
            <w:tcW w:w="500" w:type="dxa"/>
            <w:vAlign w:val="bottom"/>
          </w:tcPr>
          <w:p>
            <w:pPr>
              <w:spacing w:after="0"/>
              <w:rPr>
                <w:sz w:val="17"/>
                <w:szCs w:val="17"/>
                <w:color w:val="auto"/>
              </w:rPr>
            </w:pPr>
          </w:p>
        </w:tc>
        <w:tc>
          <w:tcPr>
            <w:tcW w:w="14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1280" w:type="dxa"/>
            <w:vAlign w:val="bottom"/>
          </w:tcPr>
          <w:p>
            <w:pPr>
              <w:jc w:val="right"/>
              <w:ind w:right="200"/>
              <w:spacing w:after="0"/>
              <w:rPr>
                <w:sz w:val="20"/>
                <w:szCs w:val="20"/>
                <w:color w:val="auto"/>
              </w:rPr>
            </w:pPr>
            <w:r>
              <w:rPr>
                <w:rFonts w:ascii="Arial" w:cs="Arial" w:eastAsia="Arial" w:hAnsi="Arial"/>
                <w:sz w:val="16"/>
                <w:szCs w:val="16"/>
                <w:color w:val="auto"/>
              </w:rPr>
              <w:t>3,138</w:t>
            </w:r>
          </w:p>
        </w:tc>
        <w:tc>
          <w:tcPr>
            <w:tcW w:w="540" w:type="dxa"/>
            <w:vAlign w:val="bottom"/>
          </w:tcPr>
          <w:p>
            <w:pPr>
              <w:spacing w:after="0"/>
              <w:rPr>
                <w:sz w:val="17"/>
                <w:szCs w:val="17"/>
                <w:color w:val="auto"/>
              </w:rPr>
            </w:pPr>
          </w:p>
        </w:tc>
        <w:tc>
          <w:tcPr>
            <w:tcW w:w="13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8,451</w:t>
            </w:r>
          </w:p>
        </w:tc>
        <w:tc>
          <w:tcPr>
            <w:tcW w:w="0" w:type="dxa"/>
            <w:vAlign w:val="bottom"/>
          </w:tcPr>
          <w:p>
            <w:pPr>
              <w:spacing w:after="0"/>
              <w:rPr>
                <w:sz w:val="1"/>
                <w:szCs w:val="1"/>
                <w:color w:val="auto"/>
              </w:rPr>
            </w:pPr>
          </w:p>
        </w:tc>
      </w:tr>
      <w:tr>
        <w:trPr>
          <w:trHeight w:val="157"/>
        </w:trPr>
        <w:tc>
          <w:tcPr>
            <w:tcW w:w="3840" w:type="dxa"/>
            <w:vAlign w:val="bottom"/>
            <w:shd w:val="clear" w:color="auto" w:fill="CCEEFF"/>
          </w:tcPr>
          <w:p>
            <w:pPr>
              <w:ind w:left="660"/>
              <w:spacing w:after="0" w:line="157" w:lineRule="exact"/>
              <w:rPr>
                <w:sz w:val="20"/>
                <w:szCs w:val="20"/>
                <w:color w:val="auto"/>
              </w:rPr>
            </w:pPr>
            <w:r>
              <w:rPr>
                <w:rFonts w:ascii="Arial" w:cs="Arial" w:eastAsia="Arial" w:hAnsi="Arial"/>
                <w:sz w:val="16"/>
                <w:szCs w:val="16"/>
                <w:color w:val="auto"/>
                <w:w w:val="99"/>
              </w:rPr>
              <w:t>Asset impairments and costs associated with</w:t>
            </w:r>
          </w:p>
        </w:tc>
        <w:tc>
          <w:tcPr>
            <w:tcW w:w="50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801</w:t>
            </w:r>
          </w:p>
        </w:tc>
        <w:tc>
          <w:tcPr>
            <w:tcW w:w="5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1,327</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exit and disposal activities, net of adjustments</w:t>
            </w:r>
          </w:p>
        </w:tc>
        <w:tc>
          <w:tcPr>
            <w:tcW w:w="50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840" w:type="dxa"/>
            <w:vAlign w:val="bottom"/>
          </w:tcPr>
          <w:p>
            <w:pPr>
              <w:ind w:left="660"/>
              <w:spacing w:after="0" w:line="157" w:lineRule="exact"/>
              <w:rPr>
                <w:sz w:val="20"/>
                <w:szCs w:val="20"/>
                <w:color w:val="auto"/>
              </w:rPr>
            </w:pPr>
            <w:r>
              <w:rPr>
                <w:rFonts w:ascii="Arial" w:cs="Arial" w:eastAsia="Arial" w:hAnsi="Arial"/>
                <w:sz w:val="16"/>
                <w:szCs w:val="16"/>
                <w:color w:val="auto"/>
                <w:w w:val="97"/>
              </w:rPr>
              <w:t>Adjustment to the fair value estimates used in</w:t>
            </w:r>
          </w:p>
        </w:tc>
        <w:tc>
          <w:tcPr>
            <w:tcW w:w="500" w:type="dxa"/>
            <w:vAlign w:val="bottom"/>
          </w:tcPr>
          <w:p>
            <w:pPr>
              <w:spacing w:after="0"/>
              <w:rPr>
                <w:sz w:val="13"/>
                <w:szCs w:val="13"/>
                <w:color w:val="auto"/>
              </w:rPr>
            </w:pPr>
          </w:p>
        </w:tc>
        <w:tc>
          <w:tcPr>
            <w:tcW w:w="1440" w:type="dxa"/>
            <w:vAlign w:val="bottom"/>
            <w:vMerge w:val="restart"/>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3"/>
                <w:szCs w:val="13"/>
                <w:color w:val="auto"/>
              </w:rPr>
            </w:pPr>
          </w:p>
        </w:tc>
        <w:tc>
          <w:tcPr>
            <w:tcW w:w="1280" w:type="dxa"/>
            <w:vAlign w:val="bottom"/>
            <w:vMerge w:val="restart"/>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3"/>
                <w:szCs w:val="13"/>
                <w:color w:val="auto"/>
              </w:rPr>
            </w:pPr>
          </w:p>
        </w:tc>
        <w:tc>
          <w:tcPr>
            <w:tcW w:w="1300" w:type="dxa"/>
            <w:vAlign w:val="bottom"/>
            <w:vMerge w:val="restart"/>
          </w:tcPr>
          <w:p>
            <w:pPr>
              <w:jc w:val="right"/>
              <w:ind w:right="180"/>
              <w:spacing w:after="0"/>
              <w:rPr>
                <w:sz w:val="20"/>
                <w:szCs w:val="20"/>
                <w:color w:val="auto"/>
              </w:rPr>
            </w:pPr>
            <w:r>
              <w:rPr>
                <w:rFonts w:ascii="Arial" w:cs="Arial" w:eastAsia="Arial" w:hAnsi="Arial"/>
                <w:sz w:val="16"/>
                <w:szCs w:val="16"/>
                <w:color w:val="auto"/>
              </w:rPr>
              <w:t>(1,118)</w:t>
            </w:r>
          </w:p>
        </w:tc>
        <w:tc>
          <w:tcPr>
            <w:tcW w:w="60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840" w:type="dxa"/>
            <w:vAlign w:val="bottom"/>
          </w:tcPr>
          <w:p>
            <w:pPr>
              <w:ind w:left="300"/>
              <w:spacing w:after="0" w:line="206" w:lineRule="exact"/>
              <w:rPr>
                <w:sz w:val="20"/>
                <w:szCs w:val="20"/>
                <w:color w:val="auto"/>
              </w:rPr>
            </w:pPr>
            <w:r>
              <w:rPr>
                <w:rFonts w:ascii="Arial" w:cs="Arial" w:eastAsia="Arial" w:hAnsi="Arial"/>
                <w:sz w:val="16"/>
                <w:szCs w:val="16"/>
                <w:color w:val="auto"/>
              </w:rPr>
              <w:t>the disposal of Personal Care Films</w:t>
            </w:r>
            <w:r>
              <w:rPr>
                <w:rFonts w:ascii="Arial" w:cs="Arial" w:eastAsia="Arial" w:hAnsi="Arial"/>
                <w:sz w:val="20"/>
                <w:szCs w:val="20"/>
                <w:color w:val="auto"/>
                <w:vertAlign w:val="superscript"/>
              </w:rPr>
              <w:t>(a)</w:t>
            </w:r>
          </w:p>
        </w:tc>
        <w:tc>
          <w:tcPr>
            <w:tcW w:w="50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840" w:type="dxa"/>
            <w:vAlign w:val="bottom"/>
            <w:shd w:val="clear" w:color="auto" w:fill="CCEEFF"/>
          </w:tcPr>
          <w:p>
            <w:pPr>
              <w:ind w:left="660"/>
              <w:spacing w:after="0" w:line="157" w:lineRule="exact"/>
              <w:rPr>
                <w:sz w:val="20"/>
                <w:szCs w:val="20"/>
                <w:color w:val="auto"/>
              </w:rPr>
            </w:pPr>
            <w:r>
              <w:rPr>
                <w:rFonts w:ascii="Arial" w:cs="Arial" w:eastAsia="Arial" w:hAnsi="Arial"/>
                <w:sz w:val="16"/>
                <w:szCs w:val="16"/>
                <w:color w:val="auto"/>
              </w:rPr>
              <w:t>Held for sale impairment loss on divested</w:t>
            </w:r>
          </w:p>
        </w:tc>
        <w:tc>
          <w:tcPr>
            <w:tcW w:w="50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45,054</w:t>
            </w:r>
          </w:p>
        </w:tc>
        <w:tc>
          <w:tcPr>
            <w:tcW w:w="5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45,054</w:t>
            </w:r>
          </w:p>
        </w:tc>
        <w:tc>
          <w:tcPr>
            <w:tcW w:w="0" w:type="dxa"/>
            <w:vAlign w:val="bottom"/>
          </w:tcPr>
          <w:p>
            <w:pPr>
              <w:spacing w:after="0"/>
              <w:rPr>
                <w:sz w:val="1"/>
                <w:szCs w:val="1"/>
                <w:color w:val="auto"/>
              </w:rPr>
            </w:pPr>
          </w:p>
        </w:tc>
      </w:tr>
      <w:tr>
        <w:trPr>
          <w:trHeight w:val="205"/>
        </w:trPr>
        <w:tc>
          <w:tcPr>
            <w:tcW w:w="38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assets</w:t>
            </w:r>
          </w:p>
        </w:tc>
        <w:tc>
          <w:tcPr>
            <w:tcW w:w="5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vMerge w:val="continue"/>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4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33</w:t>
            </w:r>
          </w:p>
        </w:tc>
        <w:tc>
          <w:tcPr>
            <w:tcW w:w="5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82,412</w:t>
            </w:r>
          </w:p>
        </w:tc>
        <w:tc>
          <w:tcPr>
            <w:tcW w:w="5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133</w:t>
            </w:r>
          </w:p>
        </w:tc>
        <w:tc>
          <w:tcPr>
            <w:tcW w:w="6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156,600</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ind w:left="380"/>
              <w:spacing w:after="0" w:line="149" w:lineRule="exact"/>
              <w:rPr>
                <w:sz w:val="20"/>
                <w:szCs w:val="20"/>
                <w:color w:val="auto"/>
              </w:rPr>
            </w:pPr>
            <w:r>
              <w:rPr>
                <w:rFonts w:ascii="Arial" w:cs="Arial" w:eastAsia="Arial" w:hAnsi="Arial"/>
                <w:sz w:val="16"/>
                <w:szCs w:val="16"/>
                <w:color w:val="auto"/>
                <w:w w:val="96"/>
              </w:rPr>
              <w:t>Income (loss) from discontinued operations before</w:t>
            </w:r>
          </w:p>
        </w:tc>
        <w:tc>
          <w:tcPr>
            <w:tcW w:w="50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(33)</w:t>
            </w:r>
          </w:p>
        </w:tc>
        <w:tc>
          <w:tcPr>
            <w:tcW w:w="54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(52,940)</w:t>
            </w:r>
          </w:p>
        </w:tc>
        <w:tc>
          <w:tcPr>
            <w:tcW w:w="5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(133)</w:t>
            </w:r>
          </w:p>
        </w:tc>
        <w:tc>
          <w:tcPr>
            <w:tcW w:w="60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(58,845)</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w:t>
            </w:r>
          </w:p>
        </w:tc>
        <w:tc>
          <w:tcPr>
            <w:tcW w:w="50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Income tax expense (benefit)</w:t>
            </w:r>
          </w:p>
        </w:tc>
        <w:tc>
          <w:tcPr>
            <w:tcW w:w="5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(7)</w:t>
            </w:r>
          </w:p>
        </w:tc>
        <w:tc>
          <w:tcPr>
            <w:tcW w:w="5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(4,703)</w:t>
            </w:r>
          </w:p>
        </w:tc>
        <w:tc>
          <w:tcPr>
            <w:tcW w:w="5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(29)</w:t>
            </w:r>
          </w:p>
        </w:tc>
        <w:tc>
          <w:tcPr>
            <w:tcW w:w="6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(5,814)</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ind w:left="380"/>
              <w:spacing w:after="0" w:line="149" w:lineRule="exact"/>
              <w:rPr>
                <w:sz w:val="20"/>
                <w:szCs w:val="20"/>
                <w:color w:val="auto"/>
              </w:rPr>
            </w:pPr>
            <w:r>
              <w:rPr>
                <w:rFonts w:ascii="Arial" w:cs="Arial" w:eastAsia="Arial" w:hAnsi="Arial"/>
                <w:sz w:val="16"/>
                <w:szCs w:val="16"/>
                <w:b w:val="1"/>
                <w:bCs w:val="1"/>
                <w:color w:val="auto"/>
                <w:w w:val="93"/>
              </w:rPr>
              <w:t>Income (loss) from discontinued operations, net</w:t>
            </w:r>
          </w:p>
        </w:tc>
        <w:tc>
          <w:tcPr>
            <w:tcW w:w="50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40" w:type="dxa"/>
            <w:vAlign w:val="bottom"/>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(26)</w:t>
            </w:r>
          </w:p>
        </w:tc>
        <w:tc>
          <w:tcPr>
            <w:tcW w:w="54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(48,237)</w:t>
            </w:r>
          </w:p>
        </w:tc>
        <w:tc>
          <w:tcPr>
            <w:tcW w:w="54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(104)</w:t>
            </w:r>
          </w:p>
        </w:tc>
        <w:tc>
          <w:tcPr>
            <w:tcW w:w="600" w:type="dxa"/>
            <w:vAlign w:val="bottom"/>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(53,031)</w:t>
            </w:r>
          </w:p>
        </w:tc>
        <w:tc>
          <w:tcPr>
            <w:tcW w:w="0" w:type="dxa"/>
            <w:vAlign w:val="bottom"/>
          </w:tcPr>
          <w:p>
            <w:pPr>
              <w:spacing w:after="0"/>
              <w:rPr>
                <w:sz w:val="1"/>
                <w:szCs w:val="1"/>
                <w:color w:val="auto"/>
              </w:rPr>
            </w:pPr>
          </w:p>
        </w:tc>
      </w:tr>
      <w:tr>
        <w:trPr>
          <w:trHeight w:val="209"/>
        </w:trPr>
        <w:tc>
          <w:tcPr>
            <w:tcW w:w="3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of tax</w:t>
            </w: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220" w:right="100" w:hanging="207"/>
        <w:spacing w:after="0" w:line="235" w:lineRule="auto"/>
        <w:tabs>
          <w:tab w:leader="none" w:pos="221"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a net increase to the estimated fair value of Personal Care Films primarily due to lower costs associated with IT transition-related services to provide the seller developed assets, which did not exist at the time of the sale, to support the seller's IT infrastructure.</w:t>
      </w:r>
    </w:p>
    <w:p>
      <w:pPr>
        <w:spacing w:after="0" w:line="158" w:lineRule="exact"/>
        <w:rPr>
          <w:sz w:val="20"/>
          <w:szCs w:val="20"/>
          <w:color w:val="auto"/>
        </w:rPr>
      </w:pPr>
    </w:p>
    <w:p>
      <w:pPr>
        <w:ind w:right="20" w:firstLine="362"/>
        <w:spacing w:after="0" w:line="275" w:lineRule="auto"/>
        <w:rPr>
          <w:sz w:val="20"/>
          <w:szCs w:val="20"/>
          <w:color w:val="auto"/>
        </w:rPr>
      </w:pPr>
      <w:r>
        <w:rPr>
          <w:rFonts w:ascii="Arial" w:cs="Arial" w:eastAsia="Arial" w:hAnsi="Arial"/>
          <w:sz w:val="16"/>
          <w:szCs w:val="16"/>
          <w:color w:val="auto"/>
        </w:rPr>
        <w:t>The assets and liabilities of the discontinued operations reflected in the consolidated balance sheets as of September 30, 2021 and December 31, 2020, respectively, were as follows:</w:t>
      </w:r>
    </w:p>
    <w:tbl>
      <w:tblPr>
        <w:tblLayout w:type="fixed"/>
        <w:tblInd w:w="0" w:type="dxa"/>
        <w:tblCellMar>
          <w:top w:w="0" w:type="dxa"/>
          <w:left w:w="0" w:type="dxa"/>
          <w:bottom w:w="0" w:type="dxa"/>
          <w:right w:w="0" w:type="dxa"/>
        </w:tblCellMar>
      </w:tblPr>
      <w:tr>
        <w:trPr>
          <w:trHeight w:val="210"/>
        </w:trPr>
        <w:tc>
          <w:tcPr>
            <w:tcW w:w="560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60"/>
              <w:spacing w:after="0"/>
              <w:rPr>
                <w:sz w:val="20"/>
                <w:szCs w:val="20"/>
                <w:color w:val="auto"/>
              </w:rPr>
            </w:pPr>
            <w:r>
              <w:rPr>
                <w:rFonts w:ascii="Arial" w:cs="Arial" w:eastAsia="Arial" w:hAnsi="Arial"/>
                <w:sz w:val="16"/>
                <w:szCs w:val="16"/>
                <w:color w:val="auto"/>
                <w:w w:val="91"/>
              </w:rPr>
              <w:t>September 30,</w:t>
            </w:r>
          </w:p>
        </w:tc>
        <w:tc>
          <w:tcPr>
            <w:tcW w:w="4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80"/>
              <w:spacing w:after="0"/>
              <w:rPr>
                <w:sz w:val="20"/>
                <w:szCs w:val="20"/>
                <w:color w:val="auto"/>
              </w:rPr>
            </w:pPr>
            <w:r>
              <w:rPr>
                <w:rFonts w:ascii="Arial" w:cs="Arial" w:eastAsia="Arial" w:hAnsi="Arial"/>
                <w:sz w:val="16"/>
                <w:szCs w:val="16"/>
                <w:color w:val="auto"/>
                <w:w w:val="93"/>
              </w:rPr>
              <w:t>December 31,</w:t>
            </w:r>
          </w:p>
        </w:tc>
      </w:tr>
      <w:tr>
        <w:trPr>
          <w:trHeight w:val="205"/>
        </w:trPr>
        <w:tc>
          <w:tcPr>
            <w:tcW w:w="56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 thousands)</w:t>
            </w:r>
          </w:p>
        </w:tc>
        <w:tc>
          <w:tcPr>
            <w:tcW w:w="26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60"/>
              <w:spacing w:after="0"/>
              <w:rPr>
                <w:sz w:val="20"/>
                <w:szCs w:val="20"/>
                <w:color w:val="auto"/>
              </w:rPr>
            </w:pPr>
            <w:r>
              <w:rPr>
                <w:rFonts w:ascii="Arial" w:cs="Arial" w:eastAsia="Arial" w:hAnsi="Arial"/>
                <w:sz w:val="16"/>
                <w:szCs w:val="16"/>
                <w:color w:val="auto"/>
              </w:rPr>
              <w:t>2021</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2020</w:t>
            </w:r>
          </w:p>
        </w:tc>
      </w:tr>
      <w:tr>
        <w:trPr>
          <w:trHeight w:val="197"/>
        </w:trPr>
        <w:tc>
          <w:tcPr>
            <w:tcW w:w="560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Assets</w:t>
            </w:r>
          </w:p>
        </w:tc>
        <w:tc>
          <w:tcPr>
            <w:tcW w:w="26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5"/>
        </w:trPr>
        <w:tc>
          <w:tcPr>
            <w:tcW w:w="5600" w:type="dxa"/>
            <w:vAlign w:val="bottom"/>
          </w:tcPr>
          <w:p>
            <w:pPr>
              <w:ind w:left="380"/>
              <w:spacing w:after="0" w:line="206" w:lineRule="exact"/>
              <w:rPr>
                <w:sz w:val="20"/>
                <w:szCs w:val="20"/>
                <w:color w:val="auto"/>
              </w:rPr>
            </w:pPr>
            <w:r>
              <w:rPr>
                <w:rFonts w:ascii="Arial" w:cs="Arial" w:eastAsia="Arial" w:hAnsi="Arial"/>
                <w:sz w:val="16"/>
                <w:szCs w:val="16"/>
                <w:color w:val="auto"/>
              </w:rPr>
              <w:t xml:space="preserve">Prepaid expenses and other </w:t>
            </w:r>
            <w:r>
              <w:rPr>
                <w:rFonts w:ascii="Arial" w:cs="Arial" w:eastAsia="Arial" w:hAnsi="Arial"/>
                <w:sz w:val="20"/>
                <w:szCs w:val="20"/>
                <w:color w:val="auto"/>
                <w:vertAlign w:val="superscript"/>
              </w:rPr>
              <w:t>(a)</w:t>
            </w:r>
          </w:p>
        </w:tc>
        <w:tc>
          <w:tcPr>
            <w:tcW w:w="26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00"/>
              <w:spacing w:after="0"/>
              <w:rPr>
                <w:sz w:val="20"/>
                <w:szCs w:val="20"/>
                <w:color w:val="auto"/>
              </w:rPr>
            </w:pPr>
            <w:r>
              <w:rPr>
                <w:rFonts w:ascii="Arial" w:cs="Arial" w:eastAsia="Arial" w:hAnsi="Arial"/>
                <w:sz w:val="16"/>
                <w:szCs w:val="16"/>
                <w:color w:val="auto"/>
              </w:rPr>
              <w:t>151</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1,339</w:t>
            </w:r>
          </w:p>
        </w:tc>
      </w:tr>
      <w:tr>
        <w:trPr>
          <w:trHeight w:val="205"/>
        </w:trPr>
        <w:tc>
          <w:tcPr>
            <w:tcW w:w="56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Other non-current assets</w:t>
            </w:r>
          </w:p>
        </w:tc>
        <w:tc>
          <w:tcPr>
            <w:tcW w:w="26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151</w:t>
            </w:r>
          </w:p>
        </w:tc>
        <w:tc>
          <w:tcPr>
            <w:tcW w:w="4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01"/>
        </w:trPr>
        <w:tc>
          <w:tcPr>
            <w:tcW w:w="560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Total assets of discontinued operations</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302</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w:t>
            </w:r>
          </w:p>
        </w:tc>
      </w:tr>
      <w:tr>
        <w:trPr>
          <w:trHeight w:val="217"/>
        </w:trPr>
        <w:tc>
          <w:tcPr>
            <w:tcW w:w="560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5"/>
        </w:trPr>
        <w:tc>
          <w:tcPr>
            <w:tcW w:w="5600" w:type="dxa"/>
            <w:vAlign w:val="bottom"/>
          </w:tcPr>
          <w:p>
            <w:pPr>
              <w:ind w:left="380"/>
              <w:spacing w:after="0"/>
              <w:rPr>
                <w:sz w:val="20"/>
                <w:szCs w:val="20"/>
                <w:color w:val="auto"/>
              </w:rPr>
            </w:pPr>
            <w:r>
              <w:rPr>
                <w:rFonts w:ascii="Arial" w:cs="Arial" w:eastAsia="Arial" w:hAnsi="Arial"/>
                <w:sz w:val="16"/>
                <w:szCs w:val="16"/>
                <w:b w:val="1"/>
                <w:bCs w:val="1"/>
                <w:color w:val="auto"/>
              </w:rPr>
              <w:t>Liabilities</w:t>
            </w:r>
          </w:p>
        </w:tc>
        <w:tc>
          <w:tcPr>
            <w:tcW w:w="26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5"/>
        </w:trPr>
        <w:tc>
          <w:tcPr>
            <w:tcW w:w="5600" w:type="dxa"/>
            <w:vAlign w:val="bottom"/>
            <w:tcBorders>
              <w:bottom w:val="single" w:sz="8" w:color="auto"/>
            </w:tcBorders>
            <w:shd w:val="clear" w:color="auto" w:fill="CCEEFF"/>
          </w:tcPr>
          <w:p>
            <w:pPr>
              <w:ind w:left="380"/>
              <w:spacing w:after="0" w:line="206" w:lineRule="exact"/>
              <w:rPr>
                <w:sz w:val="20"/>
                <w:szCs w:val="20"/>
                <w:color w:val="auto"/>
              </w:rPr>
            </w:pPr>
            <w:r>
              <w:rPr>
                <w:rFonts w:ascii="Arial" w:cs="Arial" w:eastAsia="Arial" w:hAnsi="Arial"/>
                <w:sz w:val="16"/>
                <w:szCs w:val="16"/>
                <w:color w:val="auto"/>
              </w:rPr>
              <w:t xml:space="preserve">Accrued expenses </w:t>
            </w:r>
            <w:r>
              <w:rPr>
                <w:rFonts w:ascii="Arial" w:cs="Arial" w:eastAsia="Arial" w:hAnsi="Arial"/>
                <w:sz w:val="20"/>
                <w:szCs w:val="20"/>
                <w:color w:val="auto"/>
                <w:vertAlign w:val="superscript"/>
              </w:rPr>
              <w:t>(a)</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370</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7,521</w:t>
            </w:r>
          </w:p>
        </w:tc>
      </w:tr>
    </w:tbl>
    <w:p>
      <w:pPr>
        <w:spacing w:after="0" w:line="4" w:lineRule="exact"/>
        <w:rPr>
          <w:sz w:val="20"/>
          <w:szCs w:val="20"/>
          <w:color w:val="auto"/>
        </w:rPr>
      </w:pPr>
    </w:p>
    <w:p>
      <w:pPr>
        <w:ind w:left="220" w:right="280" w:hanging="207"/>
        <w:spacing w:after="0" w:line="244" w:lineRule="auto"/>
        <w:tabs>
          <w:tab w:leader="none" w:pos="2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consolidated balance sheet of discontinued operations as of September 30, 2021 includes $0.2 million of other receivables related to the settlement of customary post-closing adjustments, accrued severance of $0.3 million, and other miscellaneous accrued expenses of $0.1 million. The consolidated balance sheet of discontinued operations as of December 31, 2020 includes $0.4 million of other receivables related to the settlement of customary post-closing adjustments, deferred assets of $0.9 million and deferred obligations of $5.3 million related to transition services, accrued severance of $2.1 million, and other miscellaneous accrued expenses of $0.2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189" w:right="319" w:bottom="1440" w:gutter="0" w:footer="0" w:header="0"/>
        </w:sectPr>
      </w:pPr>
    </w:p>
    <w:bookmarkStart w:id="11" w:name="page12"/>
    <w:bookmarkEnd w:id="11"/>
    <w:p>
      <w:pPr>
        <w:ind w:left="360"/>
        <w:spacing w:after="0"/>
        <w:rPr>
          <w:sz w:val="20"/>
          <w:szCs w:val="20"/>
          <w:color w:val="auto"/>
        </w:rPr>
      </w:pPr>
      <w:r>
        <w:rPr>
          <w:rFonts w:ascii="Arial" w:cs="Arial" w:eastAsia="Arial" w:hAnsi="Arial"/>
          <w:sz w:val="16"/>
          <w:szCs w:val="16"/>
          <w:color w:val="auto"/>
        </w:rPr>
        <w:t>The following table provides significant operating and investing cash flow information for discontinued operations: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4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tcPr>
          <w:p>
            <w:pPr>
              <w:spacing w:after="0"/>
              <w:rPr>
                <w:sz w:val="19"/>
                <w:szCs w:val="19"/>
                <w:color w:val="auto"/>
              </w:rPr>
            </w:pPr>
          </w:p>
        </w:tc>
        <w:tc>
          <w:tcPr>
            <w:tcW w:w="3660" w:type="dxa"/>
            <w:vAlign w:val="bottom"/>
            <w:tcBorders>
              <w:top w:val="single" w:sz="8" w:color="auto"/>
            </w:tcBorders>
            <w:gridSpan w:val="3"/>
          </w:tcPr>
          <w:p>
            <w:pPr>
              <w:jc w:val="right"/>
              <w:ind w:right="860"/>
              <w:spacing w:after="0"/>
              <w:rPr>
                <w:sz w:val="20"/>
                <w:szCs w:val="20"/>
                <w:color w:val="auto"/>
              </w:rPr>
            </w:pPr>
            <w:r>
              <w:rPr>
                <w:rFonts w:ascii="Arial" w:cs="Arial" w:eastAsia="Arial" w:hAnsi="Arial"/>
                <w:sz w:val="16"/>
                <w:szCs w:val="16"/>
                <w:color w:val="auto"/>
              </w:rPr>
              <w:t>Nine Months Ended September 30,</w:t>
            </w:r>
          </w:p>
        </w:tc>
      </w:tr>
      <w:tr>
        <w:trPr>
          <w:trHeight w:val="205"/>
        </w:trPr>
        <w:tc>
          <w:tcPr>
            <w:tcW w:w="53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 thousands)</w:t>
            </w:r>
          </w:p>
        </w:tc>
        <w:tc>
          <w:tcPr>
            <w:tcW w:w="22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1040"/>
              <w:spacing w:after="0"/>
              <w:rPr>
                <w:sz w:val="20"/>
                <w:szCs w:val="20"/>
                <w:color w:val="auto"/>
              </w:rPr>
            </w:pPr>
            <w:r>
              <w:rPr>
                <w:rFonts w:ascii="Arial" w:cs="Arial" w:eastAsia="Arial" w:hAnsi="Arial"/>
                <w:sz w:val="16"/>
                <w:szCs w:val="16"/>
                <w:color w:val="auto"/>
              </w:rPr>
              <w:t>2021</w:t>
            </w:r>
          </w:p>
        </w:tc>
        <w:tc>
          <w:tcPr>
            <w:tcW w:w="6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color w:val="auto"/>
              </w:rPr>
              <w:t>2020</w:t>
            </w:r>
          </w:p>
        </w:tc>
      </w:tr>
      <w:tr>
        <w:trPr>
          <w:trHeight w:val="197"/>
        </w:trPr>
        <w:tc>
          <w:tcPr>
            <w:tcW w:w="534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Operating activities</w:t>
            </w:r>
          </w:p>
        </w:tc>
        <w:tc>
          <w:tcPr>
            <w:tcW w:w="22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5"/>
        </w:trPr>
        <w:tc>
          <w:tcPr>
            <w:tcW w:w="534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226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1840" w:type="dxa"/>
            <w:vAlign w:val="bottom"/>
          </w:tcPr>
          <w:p>
            <w:pPr>
              <w:ind w:left="138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6,625</w:t>
            </w:r>
          </w:p>
        </w:tc>
      </w:tr>
      <w:tr>
        <w:trPr>
          <w:trHeight w:val="205"/>
        </w:trPr>
        <w:tc>
          <w:tcPr>
            <w:tcW w:w="53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Held for sale impairment loss on divested assets</w:t>
            </w:r>
          </w:p>
        </w:tc>
        <w:tc>
          <w:tcPr>
            <w:tcW w:w="2260" w:type="dxa"/>
            <w:vAlign w:val="bottom"/>
            <w:shd w:val="clear" w:color="auto" w:fill="CCEEFF"/>
          </w:tcPr>
          <w:p>
            <w:pPr>
              <w:spacing w:after="0"/>
              <w:rPr>
                <w:sz w:val="17"/>
                <w:szCs w:val="17"/>
                <w:color w:val="auto"/>
              </w:rPr>
            </w:pPr>
          </w:p>
        </w:tc>
        <w:tc>
          <w:tcPr>
            <w:tcW w:w="1840" w:type="dxa"/>
            <w:vAlign w:val="bottom"/>
            <w:shd w:val="clear" w:color="auto" w:fill="CCEEFF"/>
          </w:tcPr>
          <w:p>
            <w:pPr>
              <w:ind w:left="13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45,054</w:t>
            </w:r>
          </w:p>
        </w:tc>
      </w:tr>
      <w:tr>
        <w:trPr>
          <w:trHeight w:val="205"/>
        </w:trPr>
        <w:tc>
          <w:tcPr>
            <w:tcW w:w="53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Other</w:t>
            </w:r>
          </w:p>
        </w:tc>
        <w:tc>
          <w:tcPr>
            <w:tcW w:w="22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(1,118)</w:t>
            </w:r>
          </w:p>
        </w:tc>
        <w:tc>
          <w:tcPr>
            <w:tcW w:w="6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5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w:t>
            </w:r>
          </w:p>
        </w:tc>
        <w:tc>
          <w:tcPr>
            <w:tcW w:w="226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(1,118)</w:t>
            </w: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51,679</w:t>
            </w:r>
          </w:p>
        </w:tc>
      </w:tr>
      <w:tr>
        <w:trPr>
          <w:trHeight w:val="205"/>
        </w:trPr>
        <w:tc>
          <w:tcPr>
            <w:tcW w:w="5340" w:type="dxa"/>
            <w:vAlign w:val="bottom"/>
          </w:tcPr>
          <w:p>
            <w:pPr>
              <w:ind w:left="380"/>
              <w:spacing w:after="0"/>
              <w:rPr>
                <w:sz w:val="20"/>
                <w:szCs w:val="20"/>
                <w:color w:val="auto"/>
              </w:rPr>
            </w:pPr>
            <w:r>
              <w:rPr>
                <w:rFonts w:ascii="Arial" w:cs="Arial" w:eastAsia="Arial" w:hAnsi="Arial"/>
                <w:sz w:val="16"/>
                <w:szCs w:val="16"/>
                <w:b w:val="1"/>
                <w:bCs w:val="1"/>
                <w:color w:val="auto"/>
              </w:rPr>
              <w:t>Investing activities</w:t>
            </w:r>
          </w:p>
        </w:tc>
        <w:tc>
          <w:tcPr>
            <w:tcW w:w="2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9"/>
        </w:trPr>
        <w:tc>
          <w:tcPr>
            <w:tcW w:w="53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Capital expenditures</w:t>
            </w:r>
          </w:p>
        </w:tc>
        <w:tc>
          <w:tcPr>
            <w:tcW w:w="226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2,989</w:t>
            </w:r>
          </w:p>
        </w:tc>
      </w:tr>
    </w:tbl>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Assets Held For Sale</w:t>
      </w:r>
    </w:p>
    <w:p>
      <w:pPr>
        <w:spacing w:after="0" w:line="97" w:lineRule="exact"/>
        <w:rPr>
          <w:sz w:val="20"/>
          <w:szCs w:val="20"/>
          <w:color w:val="auto"/>
        </w:rPr>
      </w:pPr>
    </w:p>
    <w:p>
      <w:pPr>
        <w:ind w:right="80" w:firstLine="362"/>
        <w:spacing w:after="0" w:line="261" w:lineRule="auto"/>
        <w:rPr>
          <w:sz w:val="20"/>
          <w:szCs w:val="20"/>
          <w:color w:val="auto"/>
        </w:rPr>
      </w:pPr>
      <w:r>
        <w:rPr>
          <w:rFonts w:ascii="Arial" w:cs="Arial" w:eastAsia="Arial" w:hAnsi="Arial"/>
          <w:sz w:val="16"/>
          <w:szCs w:val="16"/>
          <w:color w:val="auto"/>
        </w:rPr>
        <w:t>In July 2019, the Company committed to a plan to close its manufacturing facility in Lake Zurich, Illinois, which historically was reported by the Company within the Personal Care Films component of its PE Films segment. During the third quarter of 2020, the disposal group carrying value of $4.6 million was reported in "Prepaid expenses and other" in the consolidated balance sheet as the held for sale criteria was met. During the third quarter of 2021, the Company completed the sale of the remaining assets in Lake Zurich, Illinois resulting in total cash proceeds of $4.7 million.</w:t>
      </w:r>
    </w:p>
    <w:p>
      <w:pPr>
        <w:spacing w:after="0" w:line="52" w:lineRule="exact"/>
        <w:rPr>
          <w:sz w:val="20"/>
          <w:szCs w:val="20"/>
          <w:color w:val="auto"/>
        </w:rPr>
      </w:pPr>
    </w:p>
    <w:p>
      <w:pPr>
        <w:spacing w:after="0"/>
        <w:tabs>
          <w:tab w:leader="none" w:pos="220" w:val="left"/>
        </w:tabs>
        <w:rPr>
          <w:sz w:val="20"/>
          <w:szCs w:val="20"/>
          <w:color w:val="auto"/>
        </w:rPr>
      </w:pPr>
      <w:r>
        <w:rPr>
          <w:rFonts w:ascii="Arial" w:cs="Arial" w:eastAsia="Arial" w:hAnsi="Arial"/>
          <w:sz w:val="16"/>
          <w:szCs w:val="16"/>
          <w:b w:val="1"/>
          <w:bCs w:val="1"/>
          <w:color w:val="auto"/>
        </w:rPr>
        <w:t>3</w:t>
        <w:tab/>
        <w:t>LONG-LIVED ASSETS &amp; GOODWILL IMPAIRMENT</w:t>
      </w:r>
    </w:p>
    <w:p>
      <w:pPr>
        <w:spacing w:after="0" w:line="85" w:lineRule="exact"/>
        <w:rPr>
          <w:sz w:val="20"/>
          <w:szCs w:val="20"/>
          <w:color w:val="auto"/>
        </w:rPr>
      </w:pPr>
    </w:p>
    <w:p>
      <w:pPr>
        <w:ind w:right="20" w:firstLine="362"/>
        <w:spacing w:after="0" w:line="265" w:lineRule="auto"/>
        <w:rPr>
          <w:sz w:val="20"/>
          <w:szCs w:val="20"/>
          <w:color w:val="auto"/>
        </w:rPr>
      </w:pPr>
      <w:r>
        <w:rPr>
          <w:rFonts w:ascii="Arial" w:cs="Arial" w:eastAsia="Arial" w:hAnsi="Arial"/>
          <w:sz w:val="16"/>
          <w:szCs w:val="16"/>
          <w:color w:val="auto"/>
        </w:rPr>
        <w:t>The Company assesses its long-lived assets for impairment when events and circumstances indicate that the carrying amount of the assets may not be recoverable. Long-lived assets consist primarily of buildings, machinery and equipment. During the three months ended September 30, 2021, the Company did not identify any indicators of impairment for long-lived assets.</w:t>
      </w:r>
    </w:p>
    <w:p>
      <w:pPr>
        <w:spacing w:after="0" w:line="54" w:lineRule="exact"/>
        <w:rPr>
          <w:sz w:val="20"/>
          <w:szCs w:val="20"/>
          <w:color w:val="auto"/>
        </w:rPr>
      </w:pPr>
    </w:p>
    <w:p>
      <w:pPr>
        <w:ind w:right="20" w:firstLine="362"/>
        <w:spacing w:after="0" w:line="261" w:lineRule="auto"/>
        <w:rPr>
          <w:sz w:val="20"/>
          <w:szCs w:val="20"/>
          <w:color w:val="auto"/>
        </w:rPr>
      </w:pPr>
      <w:r>
        <w:rPr>
          <w:rFonts w:ascii="Arial" w:cs="Arial" w:eastAsia="Arial" w:hAnsi="Arial"/>
          <w:sz w:val="16"/>
          <w:szCs w:val="16"/>
          <w:color w:val="auto"/>
        </w:rPr>
        <w:t>The Company annually assesses goodwill for impairment on December 1st of each year or more frequently when events or circumstances indicate that the carrying amount of a reporting unit that includes goodwill exceeds its fair value. The Company evaluated whether triggering events occurred during the three months ended September 30, 2021 and 2020 for all reporting units that include goodwill and determined no events or circumstances existed that indicated the fair value of the reporting units are below their carrying amounts.</w:t>
      </w:r>
    </w:p>
    <w:p>
      <w:pPr>
        <w:spacing w:after="0" w:line="56" w:lineRule="exact"/>
        <w:rPr>
          <w:sz w:val="20"/>
          <w:szCs w:val="20"/>
          <w:color w:val="auto"/>
        </w:rPr>
      </w:pPr>
    </w:p>
    <w:p>
      <w:pPr>
        <w:ind w:right="220" w:firstLine="362"/>
        <w:spacing w:after="0" w:line="320" w:lineRule="auto"/>
        <w:rPr>
          <w:sz w:val="20"/>
          <w:szCs w:val="20"/>
          <w:color w:val="auto"/>
        </w:rPr>
      </w:pPr>
      <w:r>
        <w:rPr>
          <w:rFonts w:ascii="Arial" w:cs="Arial" w:eastAsia="Arial" w:hAnsi="Arial"/>
          <w:sz w:val="14"/>
          <w:szCs w:val="14"/>
          <w:color w:val="auto"/>
        </w:rPr>
        <w:t>During the first three months of 2020, the Company determined that trigger events did occur for the Aluminum Extrusions’ reporting units created as a result of acquisitions in 2012 (“AACOA”) and in 2017 (“Futura”). As a result of the impairment testing performed, the Company recognized a goodwill impairment charge of $13.7 million ($10.5 million after taxes), which represented the entire amount of goodwill associated with the AACOA reporting unit. No impairment was identified for Futura.</w:t>
      </w:r>
    </w:p>
    <w:p>
      <w:pPr>
        <w:spacing w:after="0" w:line="7" w:lineRule="exact"/>
        <w:rPr>
          <w:sz w:val="20"/>
          <w:szCs w:val="20"/>
          <w:color w:val="auto"/>
        </w:rPr>
      </w:pPr>
    </w:p>
    <w:p>
      <w:pPr>
        <w:ind w:right="160" w:firstLine="362"/>
        <w:spacing w:after="0" w:line="279" w:lineRule="auto"/>
        <w:rPr>
          <w:sz w:val="20"/>
          <w:szCs w:val="20"/>
          <w:color w:val="auto"/>
        </w:rPr>
      </w:pPr>
      <w:r>
        <w:rPr>
          <w:rFonts w:ascii="Arial" w:cs="Arial" w:eastAsia="Arial" w:hAnsi="Arial"/>
          <w:sz w:val="16"/>
          <w:szCs w:val="16"/>
          <w:color w:val="auto"/>
        </w:rPr>
        <w:t>The Company continues to monitor developments related to the coronavirus ("COVID-19") pandemic and may perform updated event-driven analyses during 2021, as necessary.</w:t>
      </w:r>
    </w:p>
    <w:p>
      <w:pPr>
        <w:spacing w:after="0" w:line="39" w:lineRule="exact"/>
        <w:rPr>
          <w:sz w:val="20"/>
          <w:szCs w:val="20"/>
          <w:color w:val="auto"/>
        </w:rPr>
      </w:pPr>
    </w:p>
    <w:p>
      <w:pPr>
        <w:spacing w:after="0"/>
        <w:tabs>
          <w:tab w:leader="none" w:pos="220" w:val="left"/>
        </w:tabs>
        <w:rPr>
          <w:sz w:val="20"/>
          <w:szCs w:val="20"/>
          <w:color w:val="auto"/>
        </w:rPr>
      </w:pPr>
      <w:r>
        <w:rPr>
          <w:rFonts w:ascii="Arial" w:cs="Arial" w:eastAsia="Arial" w:hAnsi="Arial"/>
          <w:sz w:val="16"/>
          <w:szCs w:val="16"/>
          <w:b w:val="1"/>
          <w:bCs w:val="1"/>
          <w:color w:val="auto"/>
        </w:rPr>
        <w:t>4</w:t>
        <w:tab/>
        <w:t>INVENTORIES</w:t>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components of inventories are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color w:val="auto"/>
              </w:rPr>
              <w:t>(In thousands)</w:t>
            </w:r>
          </w:p>
        </w:tc>
        <w:tc>
          <w:tcPr>
            <w:tcW w:w="2940" w:type="dxa"/>
            <w:vAlign w:val="bottom"/>
            <w:tcBorders>
              <w:top w:val="single" w:sz="8" w:color="auto"/>
              <w:bottom w:val="single" w:sz="8" w:color="auto"/>
            </w:tcBorders>
          </w:tcPr>
          <w:p>
            <w:pPr>
              <w:spacing w:after="0"/>
              <w:rPr>
                <w:sz w:val="19"/>
                <w:szCs w:val="19"/>
                <w:color w:val="auto"/>
              </w:rPr>
            </w:pPr>
          </w:p>
        </w:tc>
        <w:tc>
          <w:tcPr>
            <w:tcW w:w="21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6"/>
                <w:szCs w:val="16"/>
                <w:color w:val="auto"/>
                <w:w w:val="99"/>
              </w:rPr>
              <w:t>September 30, 2021</w:t>
            </w:r>
          </w:p>
        </w:tc>
        <w:tc>
          <w:tcPr>
            <w:tcW w:w="54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6"/>
                <w:szCs w:val="16"/>
                <w:color w:val="auto"/>
              </w:rPr>
              <w:t>December 31, 2020</w:t>
            </w:r>
          </w:p>
        </w:tc>
      </w:tr>
      <w:tr>
        <w:trPr>
          <w:trHeight w:val="197"/>
        </w:trPr>
        <w:tc>
          <w:tcPr>
            <w:tcW w:w="37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Finished goods</w:t>
            </w:r>
          </w:p>
        </w:tc>
        <w:tc>
          <w:tcPr>
            <w:tcW w:w="29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21,614</w:t>
            </w:r>
          </w:p>
        </w:tc>
        <w:tc>
          <w:tcPr>
            <w:tcW w:w="5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15,251</w:t>
            </w:r>
          </w:p>
        </w:tc>
      </w:tr>
      <w:tr>
        <w:trPr>
          <w:trHeight w:val="205"/>
        </w:trPr>
        <w:tc>
          <w:tcPr>
            <w:tcW w:w="3780" w:type="dxa"/>
            <w:vAlign w:val="bottom"/>
          </w:tcPr>
          <w:p>
            <w:pPr>
              <w:ind w:left="380"/>
              <w:spacing w:after="0"/>
              <w:rPr>
                <w:sz w:val="20"/>
                <w:szCs w:val="20"/>
                <w:color w:val="auto"/>
              </w:rPr>
            </w:pPr>
            <w:r>
              <w:rPr>
                <w:rFonts w:ascii="Arial" w:cs="Arial" w:eastAsia="Arial" w:hAnsi="Arial"/>
                <w:sz w:val="16"/>
                <w:szCs w:val="16"/>
                <w:color w:val="auto"/>
              </w:rPr>
              <w:t>Work-in-process</w:t>
            </w:r>
          </w:p>
        </w:tc>
        <w:tc>
          <w:tcPr>
            <w:tcW w:w="2940" w:type="dxa"/>
            <w:vAlign w:val="bottom"/>
          </w:tcPr>
          <w:p>
            <w:pPr>
              <w:spacing w:after="0"/>
              <w:rPr>
                <w:sz w:val="17"/>
                <w:szCs w:val="17"/>
                <w:color w:val="auto"/>
              </w:rPr>
            </w:pPr>
          </w:p>
        </w:tc>
        <w:tc>
          <w:tcPr>
            <w:tcW w:w="2100" w:type="dxa"/>
            <w:vAlign w:val="bottom"/>
          </w:tcPr>
          <w:p>
            <w:pPr>
              <w:jc w:val="right"/>
              <w:ind w:right="180"/>
              <w:spacing w:after="0"/>
              <w:rPr>
                <w:sz w:val="20"/>
                <w:szCs w:val="20"/>
                <w:color w:val="auto"/>
              </w:rPr>
            </w:pPr>
            <w:r>
              <w:rPr>
                <w:rFonts w:ascii="Arial" w:cs="Arial" w:eastAsia="Arial" w:hAnsi="Arial"/>
                <w:sz w:val="16"/>
                <w:szCs w:val="16"/>
                <w:color w:val="auto"/>
              </w:rPr>
              <w:t>12,586</w:t>
            </w:r>
          </w:p>
        </w:tc>
        <w:tc>
          <w:tcPr>
            <w:tcW w:w="5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9,098</w:t>
            </w:r>
          </w:p>
        </w:tc>
      </w:tr>
      <w:tr>
        <w:trPr>
          <w:trHeight w:val="205"/>
        </w:trPr>
        <w:tc>
          <w:tcPr>
            <w:tcW w:w="37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Raw materials</w:t>
            </w:r>
          </w:p>
        </w:tc>
        <w:tc>
          <w:tcPr>
            <w:tcW w:w="2940" w:type="dxa"/>
            <w:vAlign w:val="bottom"/>
            <w:shd w:val="clear" w:color="auto" w:fill="CCEEFF"/>
          </w:tcPr>
          <w:p>
            <w:pPr>
              <w:spacing w:after="0"/>
              <w:rPr>
                <w:sz w:val="17"/>
                <w:szCs w:val="17"/>
                <w:color w:val="auto"/>
              </w:rPr>
            </w:pPr>
          </w:p>
        </w:tc>
        <w:tc>
          <w:tcPr>
            <w:tcW w:w="2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32,836</w:t>
            </w:r>
          </w:p>
        </w:tc>
        <w:tc>
          <w:tcPr>
            <w:tcW w:w="5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25,913</w:t>
            </w:r>
          </w:p>
        </w:tc>
      </w:tr>
      <w:tr>
        <w:trPr>
          <w:trHeight w:val="205"/>
        </w:trPr>
        <w:tc>
          <w:tcPr>
            <w:tcW w:w="37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Stores, supplies and other</w:t>
            </w:r>
          </w:p>
        </w:tc>
        <w:tc>
          <w:tcPr>
            <w:tcW w:w="29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18,650</w:t>
            </w:r>
          </w:p>
        </w:tc>
        <w:tc>
          <w:tcPr>
            <w:tcW w:w="5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16,175</w:t>
            </w:r>
          </w:p>
        </w:tc>
      </w:tr>
      <w:tr>
        <w:trPr>
          <w:trHeight w:val="201"/>
        </w:trPr>
        <w:tc>
          <w:tcPr>
            <w:tcW w:w="37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Total</w:t>
            </w:r>
          </w:p>
        </w:tc>
        <w:tc>
          <w:tcPr>
            <w:tcW w:w="29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85,686</w:t>
            </w:r>
          </w:p>
        </w:tc>
        <w:tc>
          <w:tcPr>
            <w:tcW w:w="5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66,437</w:t>
            </w:r>
          </w:p>
        </w:tc>
      </w:tr>
      <w:tr>
        <w:trPr>
          <w:trHeight w:val="760"/>
        </w:trPr>
        <w:tc>
          <w:tcPr>
            <w:tcW w:w="3780" w:type="dxa"/>
            <w:vAlign w:val="bottom"/>
          </w:tcPr>
          <w:p>
            <w:pPr>
              <w:spacing w:after="0"/>
              <w:rPr>
                <w:sz w:val="24"/>
                <w:szCs w:val="24"/>
                <w:color w:val="auto"/>
              </w:rPr>
            </w:pPr>
          </w:p>
        </w:tc>
        <w:tc>
          <w:tcPr>
            <w:tcW w:w="2940" w:type="dxa"/>
            <w:vAlign w:val="bottom"/>
          </w:tcPr>
          <w:p>
            <w:pPr>
              <w:jc w:val="right"/>
              <w:ind w:right="940"/>
              <w:spacing w:after="0"/>
              <w:rPr>
                <w:sz w:val="20"/>
                <w:szCs w:val="20"/>
                <w:color w:val="auto"/>
              </w:rPr>
            </w:pPr>
            <w:r>
              <w:rPr>
                <w:rFonts w:ascii="Arial" w:cs="Arial" w:eastAsia="Arial" w:hAnsi="Arial"/>
                <w:sz w:val="16"/>
                <w:szCs w:val="16"/>
                <w:color w:val="auto"/>
              </w:rPr>
              <w:t>12</w:t>
            </w:r>
          </w:p>
        </w:tc>
        <w:tc>
          <w:tcPr>
            <w:tcW w:w="2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01"/>
        </w:trPr>
        <w:tc>
          <w:tcPr>
            <w:tcW w:w="3780" w:type="dxa"/>
            <w:vAlign w:val="bottom"/>
            <w:tcBorders>
              <w:bottom w:val="single" w:sz="8" w:color="9A9A9A"/>
            </w:tcBorders>
          </w:tcPr>
          <w:p>
            <w:pPr>
              <w:spacing w:after="0"/>
              <w:rPr>
                <w:sz w:val="8"/>
                <w:szCs w:val="8"/>
                <w:color w:val="auto"/>
              </w:rPr>
            </w:pPr>
          </w:p>
        </w:tc>
        <w:tc>
          <w:tcPr>
            <w:tcW w:w="294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-27305</wp:posOffset>
            </wp:positionV>
            <wp:extent cx="3302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sectPr>
      </w:pPr>
    </w:p>
    <w:bookmarkStart w:id="12" w:name="page13"/>
    <w:bookmarkEnd w:id="12"/>
    <w:p>
      <w:pPr>
        <w:ind w:left="3"/>
        <w:spacing w:after="0"/>
        <w:tabs>
          <w:tab w:leader="none" w:pos="223" w:val="left"/>
        </w:tabs>
        <w:rPr>
          <w:sz w:val="20"/>
          <w:szCs w:val="20"/>
          <w:color w:val="auto"/>
        </w:rPr>
      </w:pPr>
      <w:r>
        <w:rPr>
          <w:rFonts w:ascii="Arial" w:cs="Arial" w:eastAsia="Arial" w:hAnsi="Arial"/>
          <w:sz w:val="16"/>
          <w:szCs w:val="16"/>
          <w:b w:val="1"/>
          <w:bCs w:val="1"/>
          <w:color w:val="auto"/>
        </w:rPr>
        <w:t>5</w:t>
      </w:r>
      <w:r>
        <w:rPr>
          <w:sz w:val="20"/>
          <w:szCs w:val="20"/>
          <w:color w:val="auto"/>
        </w:rPr>
        <w:tab/>
      </w:r>
      <w:r>
        <w:rPr>
          <w:rFonts w:ascii="Arial" w:cs="Arial" w:eastAsia="Arial" w:hAnsi="Arial"/>
          <w:sz w:val="15"/>
          <w:szCs w:val="15"/>
          <w:b w:val="1"/>
          <w:bCs w:val="1"/>
          <w:color w:val="auto"/>
        </w:rPr>
        <w:t>EARNINGS PER SHARE</w:t>
      </w:r>
    </w:p>
    <w:p>
      <w:pPr>
        <w:spacing w:after="0" w:line="85" w:lineRule="exact"/>
        <w:rPr>
          <w:sz w:val="20"/>
          <w:szCs w:val="20"/>
          <w:color w:val="auto"/>
        </w:rPr>
      </w:pPr>
    </w:p>
    <w:p>
      <w:pPr>
        <w:jc w:val="both"/>
        <w:ind w:left="3" w:right="140" w:firstLine="362"/>
        <w:spacing w:after="0" w:line="265" w:lineRule="auto"/>
        <w:rPr>
          <w:sz w:val="20"/>
          <w:szCs w:val="20"/>
          <w:color w:val="auto"/>
        </w:rPr>
      </w:pPr>
      <w:r>
        <w:rPr>
          <w:rFonts w:ascii="Arial" w:cs="Arial" w:eastAsia="Arial" w:hAnsi="Arial"/>
          <w:sz w:val="16"/>
          <w:szCs w:val="16"/>
          <w:color w:val="auto"/>
        </w:rPr>
        <w:t>Basic earnings per share is computed by dividing net income (loss) from continuing and discontinued operations by the weighted average number of shares of common stock outstanding. Diluted earnings per share is computed by dividing net income (loss) from continuing and discontinued operations by the weighted average common and potentially dilutive common equivalent shares outstanding, determined as follows:</w:t>
      </w:r>
    </w:p>
    <w:tbl>
      <w:tblPr>
        <w:tblLayout w:type="fixed"/>
        <w:tblInd w:w="3" w:type="dxa"/>
        <w:tblCellMar>
          <w:top w:w="0" w:type="dxa"/>
          <w:left w:w="0" w:type="dxa"/>
          <w:bottom w:w="0" w:type="dxa"/>
          <w:right w:w="0" w:type="dxa"/>
        </w:tblCellMar>
      </w:tblPr>
      <w:tr>
        <w:trPr>
          <w:trHeight w:val="215"/>
        </w:trPr>
        <w:tc>
          <w:tcPr>
            <w:tcW w:w="5500" w:type="dxa"/>
            <w:vAlign w:val="bottom"/>
            <w:tcBorders>
              <w:top w:val="single" w:sz="8" w:color="auto"/>
            </w:tcBorders>
          </w:tcPr>
          <w:p>
            <w:pPr>
              <w:spacing w:after="0"/>
              <w:rPr>
                <w:sz w:val="18"/>
                <w:szCs w:val="18"/>
                <w:color w:val="auto"/>
              </w:rPr>
            </w:pPr>
          </w:p>
        </w:tc>
        <w:tc>
          <w:tcPr>
            <w:tcW w:w="3080" w:type="dxa"/>
            <w:vAlign w:val="bottom"/>
            <w:tcBorders>
              <w:top w:val="single" w:sz="8" w:color="auto"/>
            </w:tcBorders>
            <w:gridSpan w:val="2"/>
          </w:tcPr>
          <w:p>
            <w:pPr>
              <w:jc w:val="right"/>
              <w:ind w:right="940"/>
              <w:spacing w:after="0"/>
              <w:rPr>
                <w:sz w:val="20"/>
                <w:szCs w:val="20"/>
                <w:color w:val="auto"/>
              </w:rPr>
            </w:pPr>
            <w:r>
              <w:rPr>
                <w:rFonts w:ascii="Arial" w:cs="Arial" w:eastAsia="Arial" w:hAnsi="Arial"/>
                <w:sz w:val="16"/>
                <w:szCs w:val="16"/>
                <w:color w:val="auto"/>
              </w:rPr>
              <w:t>Three Months Ended</w:t>
            </w:r>
          </w:p>
        </w:tc>
        <w:tc>
          <w:tcPr>
            <w:tcW w:w="268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205"/>
        </w:trPr>
        <w:tc>
          <w:tcPr>
            <w:tcW w:w="550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September 30,</w:t>
            </w:r>
          </w:p>
        </w:tc>
        <w:tc>
          <w:tcPr>
            <w:tcW w:w="116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September 30,</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5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 thousands)</w:t>
            </w:r>
          </w:p>
        </w:tc>
        <w:tc>
          <w:tcPr>
            <w:tcW w:w="1920" w:type="dxa"/>
            <w:vAlign w:val="bottom"/>
            <w:tcBorders>
              <w:bottom w:val="single" w:sz="8" w:color="auto"/>
            </w:tcBorders>
          </w:tcPr>
          <w:p>
            <w:pPr>
              <w:jc w:val="right"/>
              <w:ind w:right="1060"/>
              <w:spacing w:after="0"/>
              <w:rPr>
                <w:sz w:val="20"/>
                <w:szCs w:val="20"/>
                <w:color w:val="auto"/>
              </w:rPr>
            </w:pPr>
            <w:r>
              <w:rPr>
                <w:rFonts w:ascii="Arial" w:cs="Arial" w:eastAsia="Arial" w:hAnsi="Arial"/>
                <w:sz w:val="16"/>
                <w:szCs w:val="16"/>
                <w:color w:val="auto"/>
              </w:rPr>
              <w:t>2021</w:t>
            </w:r>
          </w:p>
        </w:tc>
        <w:tc>
          <w:tcPr>
            <w:tcW w:w="1160" w:type="dxa"/>
            <w:vAlign w:val="bottom"/>
            <w:tcBorders>
              <w:bottom w:val="single" w:sz="8" w:color="auto"/>
            </w:tcBorders>
          </w:tcPr>
          <w:p>
            <w:pPr>
              <w:jc w:val="right"/>
              <w:ind w:right="680"/>
              <w:spacing w:after="0"/>
              <w:rPr>
                <w:sz w:val="20"/>
                <w:szCs w:val="20"/>
                <w:color w:val="auto"/>
              </w:rPr>
            </w:pPr>
            <w:r>
              <w:rPr>
                <w:rFonts w:ascii="Arial" w:cs="Arial" w:eastAsia="Arial" w:hAnsi="Arial"/>
                <w:sz w:val="16"/>
                <w:szCs w:val="16"/>
                <w:color w:val="auto"/>
              </w:rPr>
              <w:t>2020</w:t>
            </w:r>
          </w:p>
        </w:tc>
        <w:tc>
          <w:tcPr>
            <w:tcW w:w="1900" w:type="dxa"/>
            <w:vAlign w:val="bottom"/>
            <w:tcBorders>
              <w:bottom w:val="single" w:sz="8" w:color="auto"/>
            </w:tcBorders>
          </w:tcPr>
          <w:p>
            <w:pPr>
              <w:jc w:val="right"/>
              <w:ind w:right="1060"/>
              <w:spacing w:after="0"/>
              <w:rPr>
                <w:sz w:val="20"/>
                <w:szCs w:val="20"/>
                <w:color w:val="auto"/>
              </w:rPr>
            </w:pPr>
            <w:r>
              <w:rPr>
                <w:rFonts w:ascii="Arial" w:cs="Arial" w:eastAsia="Arial" w:hAnsi="Arial"/>
                <w:sz w:val="16"/>
                <w:szCs w:val="16"/>
                <w:color w:val="auto"/>
              </w:rPr>
              <w:t>2021</w:t>
            </w:r>
          </w:p>
        </w:tc>
        <w:tc>
          <w:tcPr>
            <w:tcW w:w="7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49"/>
        </w:trPr>
        <w:tc>
          <w:tcPr>
            <w:tcW w:w="5500" w:type="dxa"/>
            <w:vAlign w:val="bottom"/>
            <w:shd w:val="clear" w:color="auto" w:fill="CCEEFF"/>
          </w:tcPr>
          <w:p>
            <w:pPr>
              <w:ind w:left="380"/>
              <w:spacing w:after="0" w:line="149" w:lineRule="exact"/>
              <w:rPr>
                <w:sz w:val="20"/>
                <w:szCs w:val="20"/>
                <w:color w:val="auto"/>
              </w:rPr>
            </w:pPr>
            <w:r>
              <w:rPr>
                <w:rFonts w:ascii="Arial" w:cs="Arial" w:eastAsia="Arial" w:hAnsi="Arial"/>
                <w:sz w:val="16"/>
                <w:szCs w:val="16"/>
                <w:color w:val="auto"/>
                <w:w w:val="96"/>
              </w:rPr>
              <w:t>Weighted average shares outstanding used to compute basic earnings per</w:t>
            </w:r>
          </w:p>
        </w:tc>
        <w:tc>
          <w:tcPr>
            <w:tcW w:w="1920" w:type="dxa"/>
            <w:vAlign w:val="bottom"/>
            <w:vMerge w:val="restart"/>
            <w:shd w:val="clear" w:color="auto" w:fill="CCEEFF"/>
          </w:tcPr>
          <w:p>
            <w:pPr>
              <w:jc w:val="right"/>
              <w:ind w:right="740"/>
              <w:spacing w:after="0"/>
              <w:rPr>
                <w:sz w:val="20"/>
                <w:szCs w:val="20"/>
                <w:color w:val="auto"/>
              </w:rPr>
            </w:pPr>
            <w:r>
              <w:rPr>
                <w:rFonts w:ascii="Arial" w:cs="Arial" w:eastAsia="Arial" w:hAnsi="Arial"/>
                <w:sz w:val="16"/>
                <w:szCs w:val="16"/>
                <w:color w:val="auto"/>
              </w:rPr>
              <w:t>33,620</w:t>
            </w:r>
          </w:p>
        </w:tc>
        <w:tc>
          <w:tcPr>
            <w:tcW w:w="1160" w:type="dxa"/>
            <w:vAlign w:val="bottom"/>
            <w:vMerge w:val="restart"/>
            <w:shd w:val="clear" w:color="auto" w:fill="CCEEFF"/>
          </w:tcPr>
          <w:p>
            <w:pPr>
              <w:jc w:val="right"/>
              <w:ind w:right="380"/>
              <w:spacing w:after="0"/>
              <w:rPr>
                <w:sz w:val="20"/>
                <w:szCs w:val="20"/>
                <w:color w:val="auto"/>
              </w:rPr>
            </w:pPr>
            <w:r>
              <w:rPr>
                <w:rFonts w:ascii="Arial" w:cs="Arial" w:eastAsia="Arial" w:hAnsi="Arial"/>
                <w:sz w:val="16"/>
                <w:szCs w:val="16"/>
                <w:color w:val="auto"/>
              </w:rPr>
              <w:t>33,439</w:t>
            </w:r>
          </w:p>
        </w:tc>
        <w:tc>
          <w:tcPr>
            <w:tcW w:w="1900" w:type="dxa"/>
            <w:vAlign w:val="bottom"/>
            <w:vMerge w:val="restart"/>
            <w:shd w:val="clear" w:color="auto" w:fill="CCEEFF"/>
          </w:tcPr>
          <w:p>
            <w:pPr>
              <w:jc w:val="right"/>
              <w:ind w:right="740"/>
              <w:spacing w:after="0"/>
              <w:rPr>
                <w:sz w:val="20"/>
                <w:szCs w:val="20"/>
                <w:color w:val="auto"/>
              </w:rPr>
            </w:pPr>
            <w:r>
              <w:rPr>
                <w:rFonts w:ascii="Arial" w:cs="Arial" w:eastAsia="Arial" w:hAnsi="Arial"/>
                <w:sz w:val="16"/>
                <w:szCs w:val="16"/>
                <w:color w:val="auto"/>
              </w:rPr>
              <w:t>33,541</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33,396</w:t>
            </w:r>
          </w:p>
        </w:tc>
        <w:tc>
          <w:tcPr>
            <w:tcW w:w="0" w:type="dxa"/>
            <w:vAlign w:val="bottom"/>
          </w:tcPr>
          <w:p>
            <w:pPr>
              <w:spacing w:after="0"/>
              <w:rPr>
                <w:sz w:val="1"/>
                <w:szCs w:val="1"/>
                <w:color w:val="auto"/>
              </w:rPr>
            </w:pPr>
          </w:p>
        </w:tc>
      </w:tr>
      <w:tr>
        <w:trPr>
          <w:trHeight w:val="20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192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9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5500" w:type="dxa"/>
            <w:vAlign w:val="bottom"/>
          </w:tcPr>
          <w:p>
            <w:pPr>
              <w:ind w:left="380"/>
              <w:spacing w:after="0" w:line="157" w:lineRule="exact"/>
              <w:rPr>
                <w:sz w:val="20"/>
                <w:szCs w:val="20"/>
                <w:color w:val="auto"/>
              </w:rPr>
            </w:pPr>
            <w:r>
              <w:rPr>
                <w:rFonts w:ascii="Arial" w:cs="Arial" w:eastAsia="Arial" w:hAnsi="Arial"/>
                <w:sz w:val="16"/>
                <w:szCs w:val="16"/>
                <w:color w:val="auto"/>
              </w:rPr>
              <w:t>Incremental dilutive shares attributable to stock options and restricted</w:t>
            </w:r>
          </w:p>
        </w:tc>
        <w:tc>
          <w:tcPr>
            <w:tcW w:w="1920" w:type="dxa"/>
            <w:vAlign w:val="bottom"/>
            <w:vMerge w:val="restart"/>
          </w:tcPr>
          <w:p>
            <w:pPr>
              <w:jc w:val="right"/>
              <w:ind w:right="740"/>
              <w:spacing w:after="0"/>
              <w:rPr>
                <w:sz w:val="20"/>
                <w:szCs w:val="20"/>
                <w:color w:val="auto"/>
              </w:rPr>
            </w:pPr>
            <w:r>
              <w:rPr>
                <w:rFonts w:ascii="Arial" w:cs="Arial" w:eastAsia="Arial" w:hAnsi="Arial"/>
                <w:sz w:val="16"/>
                <w:szCs w:val="16"/>
                <w:color w:val="auto"/>
              </w:rPr>
              <w:t>29</w:t>
            </w:r>
          </w:p>
        </w:tc>
        <w:tc>
          <w:tcPr>
            <w:tcW w:w="1160" w:type="dxa"/>
            <w:vAlign w:val="bottom"/>
            <w:vMerge w:val="restart"/>
          </w:tcPr>
          <w:p>
            <w:pPr>
              <w:jc w:val="right"/>
              <w:ind w:right="380"/>
              <w:spacing w:after="0"/>
              <w:rPr>
                <w:sz w:val="20"/>
                <w:szCs w:val="20"/>
                <w:color w:val="auto"/>
              </w:rPr>
            </w:pPr>
            <w:r>
              <w:rPr>
                <w:rFonts w:ascii="Arial" w:cs="Arial" w:eastAsia="Arial" w:hAnsi="Arial"/>
                <w:sz w:val="16"/>
                <w:szCs w:val="16"/>
                <w:color w:val="auto"/>
              </w:rPr>
              <w:t>—</w:t>
            </w:r>
          </w:p>
        </w:tc>
        <w:tc>
          <w:tcPr>
            <w:tcW w:w="1900" w:type="dxa"/>
            <w:vAlign w:val="bottom"/>
            <w:vMerge w:val="restart"/>
          </w:tcPr>
          <w:p>
            <w:pPr>
              <w:jc w:val="right"/>
              <w:ind w:right="740"/>
              <w:spacing w:after="0"/>
              <w:rPr>
                <w:sz w:val="20"/>
                <w:szCs w:val="20"/>
                <w:color w:val="auto"/>
              </w:rPr>
            </w:pPr>
            <w:r>
              <w:rPr>
                <w:rFonts w:ascii="Arial" w:cs="Arial" w:eastAsia="Arial" w:hAnsi="Arial"/>
                <w:sz w:val="16"/>
                <w:szCs w:val="16"/>
                <w:color w:val="auto"/>
              </w:rPr>
              <w:t>137</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stock</w:t>
            </w:r>
          </w:p>
        </w:tc>
        <w:tc>
          <w:tcPr>
            <w:tcW w:w="192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90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5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Shares used to compute diluted earnings per share</w:t>
            </w:r>
          </w:p>
        </w:tc>
        <w:tc>
          <w:tcPr>
            <w:tcW w:w="192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6"/>
                <w:szCs w:val="16"/>
                <w:color w:val="auto"/>
              </w:rPr>
              <w:t>33,649</w:t>
            </w:r>
          </w:p>
        </w:tc>
        <w:tc>
          <w:tcPr>
            <w:tcW w:w="116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6"/>
                <w:szCs w:val="16"/>
                <w:color w:val="auto"/>
              </w:rPr>
              <w:t>33,439</w:t>
            </w:r>
          </w:p>
        </w:tc>
        <w:tc>
          <w:tcPr>
            <w:tcW w:w="190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6"/>
                <w:szCs w:val="16"/>
                <w:color w:val="auto"/>
              </w:rPr>
              <w:t>33,678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33,396</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3" w:right="60" w:firstLine="362"/>
        <w:spacing w:after="0" w:line="277" w:lineRule="auto"/>
        <w:rPr>
          <w:sz w:val="20"/>
          <w:szCs w:val="20"/>
          <w:color w:val="auto"/>
        </w:rPr>
      </w:pPr>
      <w:r>
        <w:rPr>
          <w:rFonts w:ascii="Arial" w:cs="Arial" w:eastAsia="Arial" w:hAnsi="Arial"/>
          <w:sz w:val="15"/>
          <w:szCs w:val="15"/>
          <w:color w:val="auto"/>
        </w:rPr>
        <w:t>Incremental shares attributable to stock options and restricted stock are computed under the treasury stock method using the average market price during the related period. The average out-of-the-money options to purchase shares that were excluded from the calculation of incremental shares attributable to stock options and restricted stock were 2,433,213 and 1,280,376, respectively, for the three and nine months ended September 30, 2021. The Company had a net loss from continuing operations for the three and nine months ended September 30, 2020, so there was no dilutive impact for such shares. If the Company had reported net income from continuing operations for the three and nine months ended September 30, 2020, average out-of-the-money options to purchase shares that were excluded from the calculation of incremental shares attributable to stock options and restricted stock were 1,509,429 and 1,253,278, respectively.</w:t>
      </w:r>
    </w:p>
    <w:p>
      <w:pPr>
        <w:spacing w:after="0" w:line="44" w:lineRule="exact"/>
        <w:rPr>
          <w:sz w:val="20"/>
          <w:szCs w:val="20"/>
          <w:color w:val="auto"/>
        </w:rPr>
      </w:pPr>
    </w:p>
    <w:p>
      <w:pPr>
        <w:ind w:left="3"/>
        <w:spacing w:after="0"/>
        <w:tabs>
          <w:tab w:leader="none" w:pos="203" w:val="left"/>
        </w:tabs>
        <w:rPr>
          <w:sz w:val="20"/>
          <w:szCs w:val="20"/>
          <w:color w:val="auto"/>
        </w:rPr>
      </w:pPr>
      <w:r>
        <w:rPr>
          <w:rFonts w:ascii="Arial" w:cs="Arial" w:eastAsia="Arial" w:hAnsi="Arial"/>
          <w:sz w:val="16"/>
          <w:szCs w:val="16"/>
          <w:b w:val="1"/>
          <w:bCs w:val="1"/>
          <w:color w:val="auto"/>
        </w:rPr>
        <w:t>6</w:t>
        <w:tab/>
        <w:t>ACCUMULATED OTHER COMPREHENSIVE INCOME (LOSS)</w:t>
      </w:r>
    </w:p>
    <w:p>
      <w:pPr>
        <w:spacing w:after="0" w:line="85" w:lineRule="exact"/>
        <w:rPr>
          <w:sz w:val="20"/>
          <w:szCs w:val="20"/>
          <w:color w:val="auto"/>
        </w:rPr>
      </w:pPr>
    </w:p>
    <w:p>
      <w:pPr>
        <w:ind w:left="3" w:right="700" w:firstLine="362"/>
        <w:spacing w:after="0" w:line="275" w:lineRule="auto"/>
        <w:rPr>
          <w:sz w:val="20"/>
          <w:szCs w:val="20"/>
          <w:color w:val="auto"/>
        </w:rPr>
      </w:pPr>
      <w:r>
        <w:rPr>
          <w:rFonts w:ascii="Arial" w:cs="Arial" w:eastAsia="Arial" w:hAnsi="Arial"/>
          <w:sz w:val="16"/>
          <w:szCs w:val="16"/>
          <w:color w:val="auto"/>
        </w:rPr>
        <w:t>Reclassifications of balances out of accumulated other comprehensive income (loss) into net income (loss) for the three months ended September 30, 2021 are summarized as follows:</w:t>
      </w:r>
    </w:p>
    <w:tbl>
      <w:tblPr>
        <w:tblLayout w:type="fixed"/>
        <w:tblInd w:w="3" w:type="dxa"/>
        <w:tblCellMar>
          <w:top w:w="0" w:type="dxa"/>
          <w:left w:w="0" w:type="dxa"/>
          <w:bottom w:w="0" w:type="dxa"/>
          <w:right w:w="0" w:type="dxa"/>
        </w:tblCellMar>
      </w:tblPr>
      <w:tr>
        <w:trPr>
          <w:trHeight w:val="162"/>
        </w:trPr>
        <w:tc>
          <w:tcPr>
            <w:tcW w:w="50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tcPr>
          <w:p>
            <w:pPr>
              <w:jc w:val="right"/>
              <w:ind w:right="240"/>
              <w:spacing w:after="0" w:line="162" w:lineRule="exact"/>
              <w:rPr>
                <w:sz w:val="20"/>
                <w:szCs w:val="20"/>
                <w:color w:val="auto"/>
              </w:rPr>
            </w:pPr>
            <w:r>
              <w:rPr>
                <w:rFonts w:ascii="Arial" w:cs="Arial" w:eastAsia="Arial" w:hAnsi="Arial"/>
                <w:sz w:val="16"/>
                <w:szCs w:val="16"/>
                <w:color w:val="auto"/>
                <w:w w:val="94"/>
              </w:rPr>
              <w:t>Amount reclassified from</w:t>
            </w:r>
          </w:p>
        </w:tc>
        <w:tc>
          <w:tcPr>
            <w:tcW w:w="3020" w:type="dxa"/>
            <w:vAlign w:val="bottom"/>
            <w:tcBorders>
              <w:top w:val="single" w:sz="8" w:color="auto"/>
            </w:tcBorders>
          </w:tcPr>
          <w:p>
            <w:pPr>
              <w:ind w:left="540"/>
              <w:spacing w:after="0" w:line="162" w:lineRule="exact"/>
              <w:rPr>
                <w:sz w:val="20"/>
                <w:szCs w:val="20"/>
                <w:color w:val="auto"/>
              </w:rPr>
            </w:pPr>
            <w:r>
              <w:rPr>
                <w:rFonts w:ascii="Arial" w:cs="Arial" w:eastAsia="Arial" w:hAnsi="Arial"/>
                <w:sz w:val="16"/>
                <w:szCs w:val="16"/>
                <w:color w:val="auto"/>
              </w:rPr>
              <w:t>Location of gain (loss) reclassified</w:t>
            </w:r>
          </w:p>
        </w:tc>
        <w:tc>
          <w:tcPr>
            <w:tcW w:w="0" w:type="dxa"/>
            <w:vAlign w:val="bottom"/>
          </w:tcPr>
          <w:p>
            <w:pPr>
              <w:spacing w:after="0"/>
              <w:rPr>
                <w:sz w:val="1"/>
                <w:szCs w:val="1"/>
                <w:color w:val="auto"/>
              </w:rPr>
            </w:pPr>
          </w:p>
        </w:tc>
      </w:tr>
      <w:tr>
        <w:trPr>
          <w:trHeight w:val="157"/>
        </w:trPr>
        <w:tc>
          <w:tcPr>
            <w:tcW w:w="5060" w:type="dxa"/>
            <w:vAlign w:val="bottom"/>
            <w:vMerge w:val="restart"/>
          </w:tcPr>
          <w:p>
            <w:pPr>
              <w:ind w:left="380"/>
              <w:spacing w:after="0"/>
              <w:rPr>
                <w:sz w:val="20"/>
                <w:szCs w:val="20"/>
                <w:color w:val="auto"/>
              </w:rPr>
            </w:pPr>
            <w:r>
              <w:rPr>
                <w:rFonts w:ascii="Arial" w:cs="Arial" w:eastAsia="Arial" w:hAnsi="Arial"/>
                <w:sz w:val="16"/>
                <w:szCs w:val="16"/>
                <w:color w:val="auto"/>
              </w:rPr>
              <w:t>(In thousands)</w:t>
            </w:r>
          </w:p>
        </w:tc>
        <w:tc>
          <w:tcPr>
            <w:tcW w:w="3180" w:type="dxa"/>
            <w:vAlign w:val="bottom"/>
            <w:gridSpan w:val="2"/>
          </w:tcPr>
          <w:p>
            <w:pPr>
              <w:jc w:val="right"/>
              <w:ind w:right="160"/>
              <w:spacing w:after="0" w:line="157" w:lineRule="exact"/>
              <w:rPr>
                <w:sz w:val="20"/>
                <w:szCs w:val="20"/>
                <w:color w:val="auto"/>
              </w:rPr>
            </w:pPr>
            <w:r>
              <w:rPr>
                <w:rFonts w:ascii="Arial" w:cs="Arial" w:eastAsia="Arial" w:hAnsi="Arial"/>
                <w:sz w:val="16"/>
                <w:szCs w:val="16"/>
                <w:color w:val="auto"/>
              </w:rPr>
              <w:t>accumulated other comprehensive</w:t>
            </w:r>
          </w:p>
        </w:tc>
        <w:tc>
          <w:tcPr>
            <w:tcW w:w="3020" w:type="dxa"/>
            <w:vAlign w:val="bottom"/>
          </w:tcPr>
          <w:p>
            <w:pPr>
              <w:ind w:left="200"/>
              <w:spacing w:after="0" w:line="157" w:lineRule="exact"/>
              <w:rPr>
                <w:sz w:val="20"/>
                <w:szCs w:val="20"/>
                <w:color w:val="auto"/>
              </w:rPr>
            </w:pPr>
            <w:r>
              <w:rPr>
                <w:rFonts w:ascii="Arial" w:cs="Arial" w:eastAsia="Arial" w:hAnsi="Arial"/>
                <w:sz w:val="16"/>
                <w:szCs w:val="16"/>
                <w:color w:val="auto"/>
                <w:w w:val="99"/>
              </w:rPr>
              <w:t>from accumulated other comprehensive</w:t>
            </w:r>
          </w:p>
        </w:tc>
        <w:tc>
          <w:tcPr>
            <w:tcW w:w="0" w:type="dxa"/>
            <w:vAlign w:val="bottom"/>
          </w:tcPr>
          <w:p>
            <w:pPr>
              <w:spacing w:after="0"/>
              <w:rPr>
                <w:sz w:val="1"/>
                <w:szCs w:val="1"/>
                <w:color w:val="auto"/>
              </w:rPr>
            </w:pPr>
          </w:p>
        </w:tc>
      </w:tr>
      <w:tr>
        <w:trPr>
          <w:trHeight w:val="205"/>
        </w:trPr>
        <w:tc>
          <w:tcPr>
            <w:tcW w:w="506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820"/>
              <w:spacing w:after="0"/>
              <w:rPr>
                <w:sz w:val="20"/>
                <w:szCs w:val="20"/>
                <w:color w:val="auto"/>
              </w:rPr>
            </w:pPr>
            <w:r>
              <w:rPr>
                <w:rFonts w:ascii="Arial" w:cs="Arial" w:eastAsia="Arial" w:hAnsi="Arial"/>
                <w:sz w:val="16"/>
                <w:szCs w:val="16"/>
                <w:color w:val="auto"/>
              </w:rPr>
              <w:t>income (loss)</w:t>
            </w:r>
          </w:p>
        </w:tc>
        <w:tc>
          <w:tcPr>
            <w:tcW w:w="30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income (loss) to net income (loss)</w:t>
            </w:r>
          </w:p>
        </w:tc>
        <w:tc>
          <w:tcPr>
            <w:tcW w:w="0" w:type="dxa"/>
            <w:vAlign w:val="bottom"/>
          </w:tcPr>
          <w:p>
            <w:pPr>
              <w:spacing w:after="0"/>
              <w:rPr>
                <w:sz w:val="1"/>
                <w:szCs w:val="1"/>
                <w:color w:val="auto"/>
              </w:rPr>
            </w:pPr>
          </w:p>
        </w:tc>
      </w:tr>
      <w:tr>
        <w:trPr>
          <w:trHeight w:val="197"/>
        </w:trPr>
        <w:tc>
          <w:tcPr>
            <w:tcW w:w="5060" w:type="dxa"/>
            <w:vAlign w:val="bottom"/>
          </w:tcPr>
          <w:p>
            <w:pPr>
              <w:ind w:left="380"/>
              <w:spacing w:after="0"/>
              <w:rPr>
                <w:sz w:val="20"/>
                <w:szCs w:val="20"/>
                <w:color w:val="auto"/>
              </w:rPr>
            </w:pPr>
            <w:r>
              <w:rPr>
                <w:rFonts w:ascii="Arial" w:cs="Arial" w:eastAsia="Arial" w:hAnsi="Arial"/>
                <w:sz w:val="16"/>
                <w:szCs w:val="16"/>
                <w:color w:val="auto"/>
              </w:rPr>
              <w:t>Gain (loss) on derivative financial instruments:</w:t>
            </w: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Aluminum future contracts, before taxes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2,160</w:t>
            </w:r>
          </w:p>
        </w:tc>
        <w:tc>
          <w:tcPr>
            <w:tcW w:w="3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Cost of goods sold</w:t>
            </w:r>
          </w:p>
        </w:tc>
        <w:tc>
          <w:tcPr>
            <w:tcW w:w="0" w:type="dxa"/>
            <w:vAlign w:val="bottom"/>
          </w:tcPr>
          <w:p>
            <w:pPr>
              <w:spacing w:after="0"/>
              <w:rPr>
                <w:sz w:val="1"/>
                <w:szCs w:val="1"/>
                <w:color w:val="auto"/>
              </w:rPr>
            </w:pPr>
          </w:p>
        </w:tc>
      </w:tr>
      <w:tr>
        <w:trPr>
          <w:trHeight w:val="205"/>
        </w:trPr>
        <w:tc>
          <w:tcPr>
            <w:tcW w:w="5060" w:type="dxa"/>
            <w:vAlign w:val="bottom"/>
          </w:tcPr>
          <w:p>
            <w:pPr>
              <w:ind w:left="660"/>
              <w:spacing w:after="0"/>
              <w:rPr>
                <w:sz w:val="20"/>
                <w:szCs w:val="20"/>
                <w:color w:val="auto"/>
              </w:rPr>
            </w:pPr>
            <w:r>
              <w:rPr>
                <w:rFonts w:ascii="Arial" w:cs="Arial" w:eastAsia="Arial" w:hAnsi="Arial"/>
                <w:sz w:val="16"/>
                <w:szCs w:val="16"/>
                <w:color w:val="auto"/>
              </w:rPr>
              <w:t>Foreign currency forward contracts, before taxes</w:t>
            </w:r>
          </w:p>
        </w:tc>
        <w:tc>
          <w:tcPr>
            <w:tcW w:w="1180" w:type="dxa"/>
            <w:vAlign w:val="bottom"/>
          </w:tcPr>
          <w:p>
            <w:pPr>
              <w:spacing w:after="0"/>
              <w:rPr>
                <w:sz w:val="17"/>
                <w:szCs w:val="17"/>
                <w:color w:val="auto"/>
              </w:rPr>
            </w:pPr>
          </w:p>
        </w:tc>
        <w:tc>
          <w:tcPr>
            <w:tcW w:w="2000" w:type="dxa"/>
            <w:vAlign w:val="bottom"/>
          </w:tcPr>
          <w:p>
            <w:pPr>
              <w:jc w:val="right"/>
              <w:ind w:right="100"/>
              <w:spacing w:after="0"/>
              <w:rPr>
                <w:sz w:val="20"/>
                <w:szCs w:val="20"/>
                <w:color w:val="auto"/>
              </w:rPr>
            </w:pPr>
            <w:r>
              <w:rPr>
                <w:rFonts w:ascii="Arial" w:cs="Arial" w:eastAsia="Arial" w:hAnsi="Arial"/>
                <w:sz w:val="16"/>
                <w:szCs w:val="16"/>
                <w:color w:val="auto"/>
              </w:rPr>
              <w:t>(34)</w:t>
            </w:r>
          </w:p>
        </w:tc>
        <w:tc>
          <w:tcPr>
            <w:tcW w:w="3020" w:type="dxa"/>
            <w:vAlign w:val="bottom"/>
          </w:tcPr>
          <w:p>
            <w:pPr>
              <w:ind w:left="320"/>
              <w:spacing w:after="0"/>
              <w:rPr>
                <w:sz w:val="20"/>
                <w:szCs w:val="20"/>
                <w:color w:val="auto"/>
              </w:rPr>
            </w:pPr>
            <w:r>
              <w:rPr>
                <w:rFonts w:ascii="Arial" w:cs="Arial" w:eastAsia="Arial" w:hAnsi="Arial"/>
                <w:sz w:val="16"/>
                <w:szCs w:val="16"/>
                <w:color w:val="auto"/>
              </w:rPr>
              <w:t>Selling, general &amp; administrative</w:t>
            </w:r>
          </w:p>
        </w:tc>
        <w:tc>
          <w:tcPr>
            <w:tcW w:w="0" w:type="dxa"/>
            <w:vAlign w:val="bottom"/>
          </w:tcPr>
          <w:p>
            <w:pPr>
              <w:spacing w:after="0"/>
              <w:rPr>
                <w:sz w:val="1"/>
                <w:szCs w:val="1"/>
                <w:color w:val="auto"/>
              </w:rPr>
            </w:pPr>
          </w:p>
        </w:tc>
      </w:tr>
      <w:tr>
        <w:trPr>
          <w:trHeight w:val="205"/>
        </w:trPr>
        <w:tc>
          <w:tcPr>
            <w:tcW w:w="50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Foreign currency forward contracts, before taxes</w:t>
            </w:r>
          </w:p>
        </w:tc>
        <w:tc>
          <w:tcPr>
            <w:tcW w:w="118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15</w:t>
            </w:r>
          </w:p>
        </w:tc>
        <w:tc>
          <w:tcPr>
            <w:tcW w:w="30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Cost of goods sold</w:t>
            </w:r>
          </w:p>
        </w:tc>
        <w:tc>
          <w:tcPr>
            <w:tcW w:w="0" w:type="dxa"/>
            <w:vAlign w:val="bottom"/>
          </w:tcPr>
          <w:p>
            <w:pPr>
              <w:spacing w:after="0"/>
              <w:rPr>
                <w:sz w:val="1"/>
                <w:szCs w:val="1"/>
                <w:color w:val="auto"/>
              </w:rPr>
            </w:pPr>
          </w:p>
        </w:tc>
      </w:tr>
      <w:tr>
        <w:trPr>
          <w:trHeight w:val="197"/>
        </w:trPr>
        <w:tc>
          <w:tcPr>
            <w:tcW w:w="5060" w:type="dxa"/>
            <w:vAlign w:val="bottom"/>
          </w:tcPr>
          <w:p>
            <w:pPr>
              <w:ind w:left="480"/>
              <w:spacing w:after="0"/>
              <w:rPr>
                <w:sz w:val="20"/>
                <w:szCs w:val="20"/>
                <w:color w:val="auto"/>
              </w:rPr>
            </w:pPr>
            <w:r>
              <w:rPr>
                <w:rFonts w:ascii="Arial" w:cs="Arial" w:eastAsia="Arial" w:hAnsi="Arial"/>
                <w:sz w:val="16"/>
                <w:szCs w:val="16"/>
                <w:color w:val="auto"/>
              </w:rPr>
              <w:t>Total, before taxes</w:t>
            </w:r>
          </w:p>
        </w:tc>
        <w:tc>
          <w:tcPr>
            <w:tcW w:w="1180" w:type="dxa"/>
            <w:vAlign w:val="bottom"/>
          </w:tcPr>
          <w:p>
            <w:pPr>
              <w:spacing w:after="0"/>
              <w:rPr>
                <w:sz w:val="17"/>
                <w:szCs w:val="17"/>
                <w:color w:val="auto"/>
              </w:rPr>
            </w:pPr>
          </w:p>
        </w:tc>
        <w:tc>
          <w:tcPr>
            <w:tcW w:w="2000" w:type="dxa"/>
            <w:vAlign w:val="bottom"/>
          </w:tcPr>
          <w:p>
            <w:pPr>
              <w:jc w:val="right"/>
              <w:ind w:right="140"/>
              <w:spacing w:after="0"/>
              <w:rPr>
                <w:sz w:val="20"/>
                <w:szCs w:val="20"/>
                <w:color w:val="auto"/>
              </w:rPr>
            </w:pPr>
            <w:r>
              <w:rPr>
                <w:rFonts w:ascii="Arial" w:cs="Arial" w:eastAsia="Arial" w:hAnsi="Arial"/>
                <w:sz w:val="16"/>
                <w:szCs w:val="16"/>
                <w:color w:val="auto"/>
              </w:rPr>
              <w:t>2,141</w:t>
            </w: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Income tax expense (benefit)</w:t>
            </w:r>
          </w:p>
        </w:tc>
        <w:tc>
          <w:tcPr>
            <w:tcW w:w="118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476</w:t>
            </w:r>
          </w:p>
        </w:tc>
        <w:tc>
          <w:tcPr>
            <w:tcW w:w="30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Income tax expense (benefit)</w:t>
            </w:r>
          </w:p>
        </w:tc>
        <w:tc>
          <w:tcPr>
            <w:tcW w:w="0" w:type="dxa"/>
            <w:vAlign w:val="bottom"/>
          </w:tcPr>
          <w:p>
            <w:pPr>
              <w:spacing w:after="0"/>
              <w:rPr>
                <w:sz w:val="1"/>
                <w:szCs w:val="1"/>
                <w:color w:val="auto"/>
              </w:rPr>
            </w:pPr>
          </w:p>
        </w:tc>
      </w:tr>
      <w:tr>
        <w:trPr>
          <w:trHeight w:val="201"/>
        </w:trPr>
        <w:tc>
          <w:tcPr>
            <w:tcW w:w="50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net of tax</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1,665</w:t>
            </w:r>
          </w:p>
        </w:tc>
        <w:tc>
          <w:tcPr>
            <w:tcW w:w="3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pension and other post-retirement benefits:</w:t>
            </w:r>
          </w:p>
        </w:tc>
        <w:tc>
          <w:tcPr>
            <w:tcW w:w="11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60" w:type="dxa"/>
            <w:vAlign w:val="bottom"/>
          </w:tcPr>
          <w:p>
            <w:pPr>
              <w:ind w:left="660"/>
              <w:spacing w:after="0"/>
              <w:rPr>
                <w:sz w:val="20"/>
                <w:szCs w:val="20"/>
                <w:color w:val="auto"/>
              </w:rPr>
            </w:pPr>
            <w:r>
              <w:rPr>
                <w:rFonts w:ascii="Arial" w:cs="Arial" w:eastAsia="Arial" w:hAnsi="Arial"/>
                <w:sz w:val="16"/>
                <w:szCs w:val="16"/>
                <w:color w:val="auto"/>
              </w:rPr>
              <w:t>Actuarial gain (loss) and prior service costs, before taxes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00"/>
              <w:spacing w:after="0"/>
              <w:rPr>
                <w:sz w:val="20"/>
                <w:szCs w:val="20"/>
                <w:color w:val="auto"/>
              </w:rPr>
            </w:pPr>
            <w:r>
              <w:rPr>
                <w:rFonts w:ascii="Arial" w:cs="Arial" w:eastAsia="Arial" w:hAnsi="Arial"/>
                <w:sz w:val="16"/>
                <w:szCs w:val="16"/>
                <w:color w:val="auto"/>
              </w:rPr>
              <w:t>(4,244)</w:t>
            </w:r>
          </w:p>
        </w:tc>
        <w:tc>
          <w:tcPr>
            <w:tcW w:w="3020" w:type="dxa"/>
            <w:vAlign w:val="bottom"/>
          </w:tcPr>
          <w:p>
            <w:pPr>
              <w:ind w:left="320"/>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05"/>
        </w:trPr>
        <w:tc>
          <w:tcPr>
            <w:tcW w:w="50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Income tax expense (benefit)</w:t>
            </w:r>
          </w:p>
        </w:tc>
        <w:tc>
          <w:tcPr>
            <w:tcW w:w="118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(927)</w:t>
            </w:r>
          </w:p>
        </w:tc>
        <w:tc>
          <w:tcPr>
            <w:tcW w:w="30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Income tax expense (benefit)</w:t>
            </w:r>
          </w:p>
        </w:tc>
        <w:tc>
          <w:tcPr>
            <w:tcW w:w="0" w:type="dxa"/>
            <w:vAlign w:val="bottom"/>
          </w:tcPr>
          <w:p>
            <w:pPr>
              <w:spacing w:after="0"/>
              <w:rPr>
                <w:sz w:val="1"/>
                <w:szCs w:val="1"/>
                <w:color w:val="auto"/>
              </w:rPr>
            </w:pPr>
          </w:p>
        </w:tc>
      </w:tr>
      <w:tr>
        <w:trPr>
          <w:trHeight w:val="201"/>
        </w:trPr>
        <w:tc>
          <w:tcPr>
            <w:tcW w:w="50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net of tax</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(3,317)</w:t>
            </w:r>
          </w:p>
        </w:tc>
        <w:tc>
          <w:tcPr>
            <w:tcW w:w="3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03" w:hanging="303"/>
        <w:spacing w:after="0"/>
        <w:tabs>
          <w:tab w:leader="none" w:pos="303" w:val="left"/>
        </w:tabs>
        <w:numPr>
          <w:ilvl w:val="0"/>
          <w:numId w:val="6"/>
        </w:numPr>
        <w:rPr>
          <w:rFonts w:ascii="Arial" w:cs="Arial" w:eastAsia="Arial" w:hAnsi="Arial"/>
          <w:sz w:val="14"/>
          <w:szCs w:val="14"/>
          <w:color w:val="auto"/>
        </w:rPr>
      </w:pPr>
      <w:r>
        <w:rPr>
          <w:rFonts w:ascii="Arial" w:cs="Arial" w:eastAsia="Arial" w:hAnsi="Arial"/>
          <w:sz w:val="14"/>
          <w:szCs w:val="14"/>
          <w:color w:val="auto"/>
        </w:rPr>
        <w:t>This component of accumulated other comprehensive income (loss) is included in the computation of net periodic pension cost (see Note 9 for additional detail).</w:t>
      </w:r>
    </w:p>
    <w:p>
      <w:pPr>
        <w:spacing w:after="0" w:line="200" w:lineRule="exact"/>
        <w:rPr>
          <w:rFonts w:ascii="Arial" w:cs="Arial" w:eastAsia="Arial" w:hAnsi="Arial"/>
          <w:sz w:val="14"/>
          <w:szCs w:val="14"/>
          <w:color w:val="auto"/>
        </w:rPr>
      </w:pPr>
    </w:p>
    <w:p>
      <w:pPr>
        <w:spacing w:after="0" w:line="298" w:lineRule="exact"/>
        <w:rPr>
          <w:rFonts w:ascii="Arial" w:cs="Arial" w:eastAsia="Arial" w:hAnsi="Arial"/>
          <w:sz w:val="14"/>
          <w:szCs w:val="14"/>
          <w:color w:val="auto"/>
        </w:rPr>
      </w:pPr>
    </w:p>
    <w:p>
      <w:pPr>
        <w:ind w:left="5543"/>
        <w:spacing w:after="0"/>
        <w:rPr>
          <w:rFonts w:ascii="Arial" w:cs="Arial" w:eastAsia="Arial" w:hAnsi="Arial"/>
          <w:sz w:val="14"/>
          <w:szCs w:val="14"/>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7232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3"/>
          </w:cols>
          <w:pgMar w:left="317" w:top="895" w:right="319" w:bottom="1440" w:gutter="0" w:footer="0" w:header="0"/>
        </w:sectPr>
      </w:pPr>
    </w:p>
    <w:bookmarkStart w:id="13" w:name="page14"/>
    <w:bookmarkEnd w:id="13"/>
    <w:p>
      <w:pPr>
        <w:ind w:left="3" w:right="760" w:firstLine="362"/>
        <w:spacing w:after="0" w:line="275" w:lineRule="auto"/>
        <w:rPr>
          <w:sz w:val="20"/>
          <w:szCs w:val="20"/>
          <w:color w:val="auto"/>
        </w:rPr>
      </w:pPr>
      <w:r>
        <w:rPr>
          <w:rFonts w:ascii="Arial" w:cs="Arial" w:eastAsia="Arial" w:hAnsi="Arial"/>
          <w:sz w:val="16"/>
          <w:szCs w:val="16"/>
          <w:color w:val="auto"/>
        </w:rPr>
        <w:t>Reclassifications of balances out of accumulated other comprehensive income (loss) into net income (loss) for the nine months ended September 30, 2021 are summarized as follows:</w:t>
      </w:r>
    </w:p>
    <w:tbl>
      <w:tblPr>
        <w:tblLayout w:type="fixed"/>
        <w:tblInd w:w="3" w:type="dxa"/>
        <w:tblCellMar>
          <w:top w:w="0" w:type="dxa"/>
          <w:left w:w="0" w:type="dxa"/>
          <w:bottom w:w="0" w:type="dxa"/>
          <w:right w:w="0" w:type="dxa"/>
        </w:tblCellMar>
      </w:tblPr>
      <w:tr>
        <w:trPr>
          <w:trHeight w:val="162"/>
        </w:trPr>
        <w:tc>
          <w:tcPr>
            <w:tcW w:w="50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tcPr>
          <w:p>
            <w:pPr>
              <w:jc w:val="right"/>
              <w:ind w:right="240"/>
              <w:spacing w:after="0" w:line="162" w:lineRule="exact"/>
              <w:rPr>
                <w:sz w:val="20"/>
                <w:szCs w:val="20"/>
                <w:color w:val="auto"/>
              </w:rPr>
            </w:pPr>
            <w:r>
              <w:rPr>
                <w:rFonts w:ascii="Arial" w:cs="Arial" w:eastAsia="Arial" w:hAnsi="Arial"/>
                <w:sz w:val="16"/>
                <w:szCs w:val="16"/>
                <w:color w:val="auto"/>
                <w:w w:val="94"/>
              </w:rPr>
              <w:t>Amount reclassified from</w:t>
            </w:r>
          </w:p>
        </w:tc>
        <w:tc>
          <w:tcPr>
            <w:tcW w:w="3020" w:type="dxa"/>
            <w:vAlign w:val="bottom"/>
            <w:tcBorders>
              <w:top w:val="single" w:sz="8" w:color="auto"/>
            </w:tcBorders>
          </w:tcPr>
          <w:p>
            <w:pPr>
              <w:ind w:left="540"/>
              <w:spacing w:after="0" w:line="162" w:lineRule="exact"/>
              <w:rPr>
                <w:sz w:val="20"/>
                <w:szCs w:val="20"/>
                <w:color w:val="auto"/>
              </w:rPr>
            </w:pPr>
            <w:r>
              <w:rPr>
                <w:rFonts w:ascii="Arial" w:cs="Arial" w:eastAsia="Arial" w:hAnsi="Arial"/>
                <w:sz w:val="16"/>
                <w:szCs w:val="16"/>
                <w:color w:val="auto"/>
              </w:rPr>
              <w:t>Location of gain (loss) reclassified</w:t>
            </w:r>
          </w:p>
        </w:tc>
        <w:tc>
          <w:tcPr>
            <w:tcW w:w="0" w:type="dxa"/>
            <w:vAlign w:val="bottom"/>
          </w:tcPr>
          <w:p>
            <w:pPr>
              <w:spacing w:after="0"/>
              <w:rPr>
                <w:sz w:val="1"/>
                <w:szCs w:val="1"/>
                <w:color w:val="auto"/>
              </w:rPr>
            </w:pPr>
          </w:p>
        </w:tc>
      </w:tr>
      <w:tr>
        <w:trPr>
          <w:trHeight w:val="157"/>
        </w:trPr>
        <w:tc>
          <w:tcPr>
            <w:tcW w:w="5060" w:type="dxa"/>
            <w:vAlign w:val="bottom"/>
            <w:vMerge w:val="restart"/>
          </w:tcPr>
          <w:p>
            <w:pPr>
              <w:ind w:left="380"/>
              <w:spacing w:after="0"/>
              <w:rPr>
                <w:sz w:val="20"/>
                <w:szCs w:val="20"/>
                <w:color w:val="auto"/>
              </w:rPr>
            </w:pPr>
            <w:r>
              <w:rPr>
                <w:rFonts w:ascii="Arial" w:cs="Arial" w:eastAsia="Arial" w:hAnsi="Arial"/>
                <w:sz w:val="16"/>
                <w:szCs w:val="16"/>
                <w:color w:val="auto"/>
              </w:rPr>
              <w:t>(In thousands)</w:t>
            </w:r>
          </w:p>
        </w:tc>
        <w:tc>
          <w:tcPr>
            <w:tcW w:w="3180" w:type="dxa"/>
            <w:vAlign w:val="bottom"/>
            <w:gridSpan w:val="2"/>
          </w:tcPr>
          <w:p>
            <w:pPr>
              <w:jc w:val="right"/>
              <w:ind w:right="160"/>
              <w:spacing w:after="0" w:line="157" w:lineRule="exact"/>
              <w:rPr>
                <w:sz w:val="20"/>
                <w:szCs w:val="20"/>
                <w:color w:val="auto"/>
              </w:rPr>
            </w:pPr>
            <w:r>
              <w:rPr>
                <w:rFonts w:ascii="Arial" w:cs="Arial" w:eastAsia="Arial" w:hAnsi="Arial"/>
                <w:sz w:val="16"/>
                <w:szCs w:val="16"/>
                <w:color w:val="auto"/>
              </w:rPr>
              <w:t>accumulated other comprehensive</w:t>
            </w:r>
          </w:p>
        </w:tc>
        <w:tc>
          <w:tcPr>
            <w:tcW w:w="3020" w:type="dxa"/>
            <w:vAlign w:val="bottom"/>
          </w:tcPr>
          <w:p>
            <w:pPr>
              <w:ind w:left="200"/>
              <w:spacing w:after="0" w:line="157" w:lineRule="exact"/>
              <w:rPr>
                <w:sz w:val="20"/>
                <w:szCs w:val="20"/>
                <w:color w:val="auto"/>
              </w:rPr>
            </w:pPr>
            <w:r>
              <w:rPr>
                <w:rFonts w:ascii="Arial" w:cs="Arial" w:eastAsia="Arial" w:hAnsi="Arial"/>
                <w:sz w:val="16"/>
                <w:szCs w:val="16"/>
                <w:color w:val="auto"/>
                <w:w w:val="99"/>
              </w:rPr>
              <w:t>from accumulated other comprehensive</w:t>
            </w:r>
          </w:p>
        </w:tc>
        <w:tc>
          <w:tcPr>
            <w:tcW w:w="0" w:type="dxa"/>
            <w:vAlign w:val="bottom"/>
          </w:tcPr>
          <w:p>
            <w:pPr>
              <w:spacing w:after="0"/>
              <w:rPr>
                <w:sz w:val="1"/>
                <w:szCs w:val="1"/>
                <w:color w:val="auto"/>
              </w:rPr>
            </w:pPr>
          </w:p>
        </w:tc>
      </w:tr>
      <w:tr>
        <w:trPr>
          <w:trHeight w:val="205"/>
        </w:trPr>
        <w:tc>
          <w:tcPr>
            <w:tcW w:w="506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820"/>
              <w:spacing w:after="0"/>
              <w:rPr>
                <w:sz w:val="20"/>
                <w:szCs w:val="20"/>
                <w:color w:val="auto"/>
              </w:rPr>
            </w:pPr>
            <w:r>
              <w:rPr>
                <w:rFonts w:ascii="Arial" w:cs="Arial" w:eastAsia="Arial" w:hAnsi="Arial"/>
                <w:sz w:val="16"/>
                <w:szCs w:val="16"/>
                <w:color w:val="auto"/>
              </w:rPr>
              <w:t>income (loss)</w:t>
            </w:r>
          </w:p>
        </w:tc>
        <w:tc>
          <w:tcPr>
            <w:tcW w:w="30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income (loss) to net income (loss)</w:t>
            </w:r>
          </w:p>
        </w:tc>
        <w:tc>
          <w:tcPr>
            <w:tcW w:w="0" w:type="dxa"/>
            <w:vAlign w:val="bottom"/>
          </w:tcPr>
          <w:p>
            <w:pPr>
              <w:spacing w:after="0"/>
              <w:rPr>
                <w:sz w:val="1"/>
                <w:szCs w:val="1"/>
                <w:color w:val="auto"/>
              </w:rPr>
            </w:pPr>
          </w:p>
        </w:tc>
      </w:tr>
      <w:tr>
        <w:trPr>
          <w:trHeight w:val="197"/>
        </w:trPr>
        <w:tc>
          <w:tcPr>
            <w:tcW w:w="5060" w:type="dxa"/>
            <w:vAlign w:val="bottom"/>
          </w:tcPr>
          <w:p>
            <w:pPr>
              <w:ind w:left="380"/>
              <w:spacing w:after="0"/>
              <w:rPr>
                <w:sz w:val="20"/>
                <w:szCs w:val="20"/>
                <w:color w:val="auto"/>
              </w:rPr>
            </w:pPr>
            <w:r>
              <w:rPr>
                <w:rFonts w:ascii="Arial" w:cs="Arial" w:eastAsia="Arial" w:hAnsi="Arial"/>
                <w:sz w:val="16"/>
                <w:szCs w:val="16"/>
                <w:color w:val="auto"/>
              </w:rPr>
              <w:t>Gain (loss) on derivative financial instruments:</w:t>
            </w: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Aluminum future contracts, before taxes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4,172</w:t>
            </w:r>
          </w:p>
        </w:tc>
        <w:tc>
          <w:tcPr>
            <w:tcW w:w="3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Cost of goods sold</w:t>
            </w:r>
          </w:p>
        </w:tc>
        <w:tc>
          <w:tcPr>
            <w:tcW w:w="0" w:type="dxa"/>
            <w:vAlign w:val="bottom"/>
          </w:tcPr>
          <w:p>
            <w:pPr>
              <w:spacing w:after="0"/>
              <w:rPr>
                <w:sz w:val="1"/>
                <w:szCs w:val="1"/>
                <w:color w:val="auto"/>
              </w:rPr>
            </w:pPr>
          </w:p>
        </w:tc>
      </w:tr>
      <w:tr>
        <w:trPr>
          <w:trHeight w:val="205"/>
        </w:trPr>
        <w:tc>
          <w:tcPr>
            <w:tcW w:w="5060" w:type="dxa"/>
            <w:vAlign w:val="bottom"/>
          </w:tcPr>
          <w:p>
            <w:pPr>
              <w:ind w:left="660"/>
              <w:spacing w:after="0"/>
              <w:rPr>
                <w:sz w:val="20"/>
                <w:szCs w:val="20"/>
                <w:color w:val="auto"/>
              </w:rPr>
            </w:pPr>
            <w:r>
              <w:rPr>
                <w:rFonts w:ascii="Arial" w:cs="Arial" w:eastAsia="Arial" w:hAnsi="Arial"/>
                <w:sz w:val="16"/>
                <w:szCs w:val="16"/>
                <w:color w:val="auto"/>
              </w:rPr>
              <w:t>Foreign currency forward contracts, before taxes</w:t>
            </w:r>
          </w:p>
        </w:tc>
        <w:tc>
          <w:tcPr>
            <w:tcW w:w="1180" w:type="dxa"/>
            <w:vAlign w:val="bottom"/>
          </w:tcPr>
          <w:p>
            <w:pPr>
              <w:spacing w:after="0"/>
              <w:rPr>
                <w:sz w:val="17"/>
                <w:szCs w:val="17"/>
                <w:color w:val="auto"/>
              </w:rPr>
            </w:pPr>
          </w:p>
        </w:tc>
        <w:tc>
          <w:tcPr>
            <w:tcW w:w="2000" w:type="dxa"/>
            <w:vAlign w:val="bottom"/>
          </w:tcPr>
          <w:p>
            <w:pPr>
              <w:jc w:val="right"/>
              <w:ind w:right="100"/>
              <w:spacing w:after="0"/>
              <w:rPr>
                <w:sz w:val="20"/>
                <w:szCs w:val="20"/>
                <w:color w:val="auto"/>
              </w:rPr>
            </w:pPr>
            <w:r>
              <w:rPr>
                <w:rFonts w:ascii="Arial" w:cs="Arial" w:eastAsia="Arial" w:hAnsi="Arial"/>
                <w:sz w:val="16"/>
                <w:szCs w:val="16"/>
                <w:color w:val="auto"/>
              </w:rPr>
              <w:t>(183)</w:t>
            </w:r>
          </w:p>
        </w:tc>
        <w:tc>
          <w:tcPr>
            <w:tcW w:w="3020" w:type="dxa"/>
            <w:vAlign w:val="bottom"/>
          </w:tcPr>
          <w:p>
            <w:pPr>
              <w:ind w:left="320"/>
              <w:spacing w:after="0"/>
              <w:rPr>
                <w:sz w:val="20"/>
                <w:szCs w:val="20"/>
                <w:color w:val="auto"/>
              </w:rPr>
            </w:pPr>
            <w:r>
              <w:rPr>
                <w:rFonts w:ascii="Arial" w:cs="Arial" w:eastAsia="Arial" w:hAnsi="Arial"/>
                <w:sz w:val="16"/>
                <w:szCs w:val="16"/>
                <w:color w:val="auto"/>
              </w:rPr>
              <w:t>Selling, general &amp; administrative</w:t>
            </w:r>
          </w:p>
        </w:tc>
        <w:tc>
          <w:tcPr>
            <w:tcW w:w="0" w:type="dxa"/>
            <w:vAlign w:val="bottom"/>
          </w:tcPr>
          <w:p>
            <w:pPr>
              <w:spacing w:after="0"/>
              <w:rPr>
                <w:sz w:val="1"/>
                <w:szCs w:val="1"/>
                <w:color w:val="auto"/>
              </w:rPr>
            </w:pPr>
          </w:p>
        </w:tc>
      </w:tr>
      <w:tr>
        <w:trPr>
          <w:trHeight w:val="205"/>
        </w:trPr>
        <w:tc>
          <w:tcPr>
            <w:tcW w:w="50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Foreign currency forward contracts, before taxes</w:t>
            </w:r>
          </w:p>
        </w:tc>
        <w:tc>
          <w:tcPr>
            <w:tcW w:w="118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48</w:t>
            </w:r>
          </w:p>
        </w:tc>
        <w:tc>
          <w:tcPr>
            <w:tcW w:w="30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Cost of goods sold</w:t>
            </w:r>
          </w:p>
        </w:tc>
        <w:tc>
          <w:tcPr>
            <w:tcW w:w="0" w:type="dxa"/>
            <w:vAlign w:val="bottom"/>
          </w:tcPr>
          <w:p>
            <w:pPr>
              <w:spacing w:after="0"/>
              <w:rPr>
                <w:sz w:val="1"/>
                <w:szCs w:val="1"/>
                <w:color w:val="auto"/>
              </w:rPr>
            </w:pPr>
          </w:p>
        </w:tc>
      </w:tr>
      <w:tr>
        <w:trPr>
          <w:trHeight w:val="197"/>
        </w:trPr>
        <w:tc>
          <w:tcPr>
            <w:tcW w:w="5060" w:type="dxa"/>
            <w:vAlign w:val="bottom"/>
          </w:tcPr>
          <w:p>
            <w:pPr>
              <w:ind w:left="480"/>
              <w:spacing w:after="0"/>
              <w:rPr>
                <w:sz w:val="20"/>
                <w:szCs w:val="20"/>
                <w:color w:val="auto"/>
              </w:rPr>
            </w:pPr>
            <w:r>
              <w:rPr>
                <w:rFonts w:ascii="Arial" w:cs="Arial" w:eastAsia="Arial" w:hAnsi="Arial"/>
                <w:sz w:val="16"/>
                <w:szCs w:val="16"/>
                <w:color w:val="auto"/>
              </w:rPr>
              <w:t>Total, before taxes</w:t>
            </w:r>
          </w:p>
        </w:tc>
        <w:tc>
          <w:tcPr>
            <w:tcW w:w="1180" w:type="dxa"/>
            <w:vAlign w:val="bottom"/>
          </w:tcPr>
          <w:p>
            <w:pPr>
              <w:spacing w:after="0"/>
              <w:rPr>
                <w:sz w:val="17"/>
                <w:szCs w:val="17"/>
                <w:color w:val="auto"/>
              </w:rPr>
            </w:pPr>
          </w:p>
        </w:tc>
        <w:tc>
          <w:tcPr>
            <w:tcW w:w="2000" w:type="dxa"/>
            <w:vAlign w:val="bottom"/>
          </w:tcPr>
          <w:p>
            <w:pPr>
              <w:jc w:val="right"/>
              <w:ind w:right="140"/>
              <w:spacing w:after="0"/>
              <w:rPr>
                <w:sz w:val="20"/>
                <w:szCs w:val="20"/>
                <w:color w:val="auto"/>
              </w:rPr>
            </w:pPr>
            <w:r>
              <w:rPr>
                <w:rFonts w:ascii="Arial" w:cs="Arial" w:eastAsia="Arial" w:hAnsi="Arial"/>
                <w:sz w:val="16"/>
                <w:szCs w:val="16"/>
                <w:color w:val="auto"/>
              </w:rPr>
              <w:t>4,037</w:t>
            </w: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Income tax expense (benefit)</w:t>
            </w:r>
          </w:p>
        </w:tc>
        <w:tc>
          <w:tcPr>
            <w:tcW w:w="118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880</w:t>
            </w:r>
          </w:p>
        </w:tc>
        <w:tc>
          <w:tcPr>
            <w:tcW w:w="30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Income tax expense (benefit)</w:t>
            </w:r>
          </w:p>
        </w:tc>
        <w:tc>
          <w:tcPr>
            <w:tcW w:w="0" w:type="dxa"/>
            <w:vAlign w:val="bottom"/>
          </w:tcPr>
          <w:p>
            <w:pPr>
              <w:spacing w:after="0"/>
              <w:rPr>
                <w:sz w:val="1"/>
                <w:szCs w:val="1"/>
                <w:color w:val="auto"/>
              </w:rPr>
            </w:pPr>
          </w:p>
        </w:tc>
      </w:tr>
      <w:tr>
        <w:trPr>
          <w:trHeight w:val="201"/>
        </w:trPr>
        <w:tc>
          <w:tcPr>
            <w:tcW w:w="50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net of tax</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3,157</w:t>
            </w:r>
          </w:p>
        </w:tc>
        <w:tc>
          <w:tcPr>
            <w:tcW w:w="3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pension and other post-retirement benefits:</w:t>
            </w:r>
          </w:p>
        </w:tc>
        <w:tc>
          <w:tcPr>
            <w:tcW w:w="11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60" w:type="dxa"/>
            <w:vAlign w:val="bottom"/>
          </w:tcPr>
          <w:p>
            <w:pPr>
              <w:ind w:left="660"/>
              <w:spacing w:after="0"/>
              <w:rPr>
                <w:sz w:val="20"/>
                <w:szCs w:val="20"/>
                <w:color w:val="auto"/>
              </w:rPr>
            </w:pPr>
            <w:r>
              <w:rPr>
                <w:rFonts w:ascii="Arial" w:cs="Arial" w:eastAsia="Arial" w:hAnsi="Arial"/>
                <w:sz w:val="16"/>
                <w:szCs w:val="16"/>
                <w:color w:val="auto"/>
              </w:rPr>
              <w:t>Actuarial gain (loss) and prior service costs, before taxes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00"/>
              <w:spacing w:after="0"/>
              <w:rPr>
                <w:sz w:val="20"/>
                <w:szCs w:val="20"/>
                <w:color w:val="auto"/>
              </w:rPr>
            </w:pPr>
            <w:r>
              <w:rPr>
                <w:rFonts w:ascii="Arial" w:cs="Arial" w:eastAsia="Arial" w:hAnsi="Arial"/>
                <w:sz w:val="16"/>
                <w:szCs w:val="16"/>
                <w:color w:val="auto"/>
              </w:rPr>
              <w:t>(12,727)</w:t>
            </w:r>
          </w:p>
        </w:tc>
        <w:tc>
          <w:tcPr>
            <w:tcW w:w="3020" w:type="dxa"/>
            <w:vAlign w:val="bottom"/>
          </w:tcPr>
          <w:p>
            <w:pPr>
              <w:ind w:left="320"/>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05"/>
        </w:trPr>
        <w:tc>
          <w:tcPr>
            <w:tcW w:w="50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Income tax expense (benefit)</w:t>
            </w:r>
          </w:p>
        </w:tc>
        <w:tc>
          <w:tcPr>
            <w:tcW w:w="118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(2,773)</w:t>
            </w:r>
          </w:p>
        </w:tc>
        <w:tc>
          <w:tcPr>
            <w:tcW w:w="30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Income tax expense (benefit)</w:t>
            </w:r>
          </w:p>
        </w:tc>
        <w:tc>
          <w:tcPr>
            <w:tcW w:w="0" w:type="dxa"/>
            <w:vAlign w:val="bottom"/>
          </w:tcPr>
          <w:p>
            <w:pPr>
              <w:spacing w:after="0"/>
              <w:rPr>
                <w:sz w:val="1"/>
                <w:szCs w:val="1"/>
                <w:color w:val="auto"/>
              </w:rPr>
            </w:pPr>
          </w:p>
        </w:tc>
      </w:tr>
      <w:tr>
        <w:trPr>
          <w:trHeight w:val="201"/>
        </w:trPr>
        <w:tc>
          <w:tcPr>
            <w:tcW w:w="50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net of tax</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(9,954)</w:t>
            </w:r>
          </w:p>
        </w:tc>
        <w:tc>
          <w:tcPr>
            <w:tcW w:w="3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3"/>
        <w:spacing w:after="0"/>
        <w:tabs>
          <w:tab w:leader="none" w:pos="283"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This component of accumulated other comprehensive income (loss) is included in the computation of net periodic pension cost (see Note 9 for additional detail).</w:t>
      </w:r>
    </w:p>
    <w:p>
      <w:pPr>
        <w:spacing w:after="0" w:line="200" w:lineRule="exact"/>
        <w:rPr>
          <w:sz w:val="20"/>
          <w:szCs w:val="20"/>
          <w:color w:val="auto"/>
        </w:rPr>
      </w:pPr>
    </w:p>
    <w:p>
      <w:pPr>
        <w:spacing w:after="0" w:line="202" w:lineRule="exact"/>
        <w:rPr>
          <w:sz w:val="20"/>
          <w:szCs w:val="20"/>
          <w:color w:val="auto"/>
        </w:rPr>
      </w:pPr>
    </w:p>
    <w:p>
      <w:pPr>
        <w:ind w:left="3" w:right="100" w:firstLine="362"/>
        <w:spacing w:after="0" w:line="275" w:lineRule="auto"/>
        <w:rPr>
          <w:sz w:val="20"/>
          <w:szCs w:val="20"/>
          <w:color w:val="auto"/>
        </w:rPr>
      </w:pPr>
      <w:r>
        <w:rPr>
          <w:rFonts w:ascii="Arial" w:cs="Arial" w:eastAsia="Arial" w:hAnsi="Arial"/>
          <w:sz w:val="16"/>
          <w:szCs w:val="16"/>
          <w:color w:val="auto"/>
        </w:rPr>
        <w:t>Reclassifications of balances out of accumulated other comprehensive income (loss) into net income for the three months ended September 30, 2020 are summarized as follows:</w:t>
      </w:r>
    </w:p>
    <w:tbl>
      <w:tblPr>
        <w:tblLayout w:type="fixed"/>
        <w:tblInd w:w="3" w:type="dxa"/>
        <w:tblCellMar>
          <w:top w:w="0" w:type="dxa"/>
          <w:left w:w="0" w:type="dxa"/>
          <w:bottom w:w="0" w:type="dxa"/>
          <w:right w:w="0" w:type="dxa"/>
        </w:tblCellMar>
      </w:tblPr>
      <w:tr>
        <w:trPr>
          <w:trHeight w:val="162"/>
        </w:trPr>
        <w:tc>
          <w:tcPr>
            <w:tcW w:w="50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tcPr>
          <w:p>
            <w:pPr>
              <w:jc w:val="right"/>
              <w:ind w:right="240"/>
              <w:spacing w:after="0" w:line="162" w:lineRule="exact"/>
              <w:rPr>
                <w:sz w:val="20"/>
                <w:szCs w:val="20"/>
                <w:color w:val="auto"/>
              </w:rPr>
            </w:pPr>
            <w:r>
              <w:rPr>
                <w:rFonts w:ascii="Arial" w:cs="Arial" w:eastAsia="Arial" w:hAnsi="Arial"/>
                <w:sz w:val="16"/>
                <w:szCs w:val="16"/>
                <w:color w:val="auto"/>
                <w:w w:val="94"/>
              </w:rPr>
              <w:t>Amount reclassified from</w:t>
            </w:r>
          </w:p>
        </w:tc>
        <w:tc>
          <w:tcPr>
            <w:tcW w:w="3020" w:type="dxa"/>
            <w:vAlign w:val="bottom"/>
            <w:tcBorders>
              <w:top w:val="single" w:sz="8" w:color="auto"/>
            </w:tcBorders>
          </w:tcPr>
          <w:p>
            <w:pPr>
              <w:ind w:left="540"/>
              <w:spacing w:after="0" w:line="162" w:lineRule="exact"/>
              <w:rPr>
                <w:sz w:val="20"/>
                <w:szCs w:val="20"/>
                <w:color w:val="auto"/>
              </w:rPr>
            </w:pPr>
            <w:r>
              <w:rPr>
                <w:rFonts w:ascii="Arial" w:cs="Arial" w:eastAsia="Arial" w:hAnsi="Arial"/>
                <w:sz w:val="16"/>
                <w:szCs w:val="16"/>
                <w:color w:val="auto"/>
              </w:rPr>
              <w:t>Location of gain (loss) reclassified</w:t>
            </w:r>
          </w:p>
        </w:tc>
        <w:tc>
          <w:tcPr>
            <w:tcW w:w="0" w:type="dxa"/>
            <w:vAlign w:val="bottom"/>
          </w:tcPr>
          <w:p>
            <w:pPr>
              <w:spacing w:after="0"/>
              <w:rPr>
                <w:sz w:val="1"/>
                <w:szCs w:val="1"/>
                <w:color w:val="auto"/>
              </w:rPr>
            </w:pPr>
          </w:p>
        </w:tc>
      </w:tr>
      <w:tr>
        <w:trPr>
          <w:trHeight w:val="157"/>
        </w:trPr>
        <w:tc>
          <w:tcPr>
            <w:tcW w:w="5060" w:type="dxa"/>
            <w:vAlign w:val="bottom"/>
            <w:vMerge w:val="restart"/>
          </w:tcPr>
          <w:p>
            <w:pPr>
              <w:ind w:left="380"/>
              <w:spacing w:after="0"/>
              <w:rPr>
                <w:sz w:val="20"/>
                <w:szCs w:val="20"/>
                <w:color w:val="auto"/>
              </w:rPr>
            </w:pPr>
            <w:r>
              <w:rPr>
                <w:rFonts w:ascii="Arial" w:cs="Arial" w:eastAsia="Arial" w:hAnsi="Arial"/>
                <w:sz w:val="16"/>
                <w:szCs w:val="16"/>
                <w:color w:val="auto"/>
              </w:rPr>
              <w:t>(In thousands)</w:t>
            </w:r>
          </w:p>
        </w:tc>
        <w:tc>
          <w:tcPr>
            <w:tcW w:w="3180" w:type="dxa"/>
            <w:vAlign w:val="bottom"/>
            <w:gridSpan w:val="2"/>
          </w:tcPr>
          <w:p>
            <w:pPr>
              <w:jc w:val="right"/>
              <w:ind w:right="160"/>
              <w:spacing w:after="0" w:line="157" w:lineRule="exact"/>
              <w:rPr>
                <w:sz w:val="20"/>
                <w:szCs w:val="20"/>
                <w:color w:val="auto"/>
              </w:rPr>
            </w:pPr>
            <w:r>
              <w:rPr>
                <w:rFonts w:ascii="Arial" w:cs="Arial" w:eastAsia="Arial" w:hAnsi="Arial"/>
                <w:sz w:val="16"/>
                <w:szCs w:val="16"/>
                <w:color w:val="auto"/>
              </w:rPr>
              <w:t>accumulated other comprehensive</w:t>
            </w:r>
          </w:p>
        </w:tc>
        <w:tc>
          <w:tcPr>
            <w:tcW w:w="3020" w:type="dxa"/>
            <w:vAlign w:val="bottom"/>
          </w:tcPr>
          <w:p>
            <w:pPr>
              <w:ind w:left="200"/>
              <w:spacing w:after="0" w:line="157" w:lineRule="exact"/>
              <w:rPr>
                <w:sz w:val="20"/>
                <w:szCs w:val="20"/>
                <w:color w:val="auto"/>
              </w:rPr>
            </w:pPr>
            <w:r>
              <w:rPr>
                <w:rFonts w:ascii="Arial" w:cs="Arial" w:eastAsia="Arial" w:hAnsi="Arial"/>
                <w:sz w:val="16"/>
                <w:szCs w:val="16"/>
                <w:color w:val="auto"/>
                <w:w w:val="99"/>
              </w:rPr>
              <w:t>from accumulated other comprehensive</w:t>
            </w:r>
          </w:p>
        </w:tc>
        <w:tc>
          <w:tcPr>
            <w:tcW w:w="0" w:type="dxa"/>
            <w:vAlign w:val="bottom"/>
          </w:tcPr>
          <w:p>
            <w:pPr>
              <w:spacing w:after="0"/>
              <w:rPr>
                <w:sz w:val="1"/>
                <w:szCs w:val="1"/>
                <w:color w:val="auto"/>
              </w:rPr>
            </w:pPr>
          </w:p>
        </w:tc>
      </w:tr>
      <w:tr>
        <w:trPr>
          <w:trHeight w:val="205"/>
        </w:trPr>
        <w:tc>
          <w:tcPr>
            <w:tcW w:w="506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820"/>
              <w:spacing w:after="0"/>
              <w:rPr>
                <w:sz w:val="20"/>
                <w:szCs w:val="20"/>
                <w:color w:val="auto"/>
              </w:rPr>
            </w:pPr>
            <w:r>
              <w:rPr>
                <w:rFonts w:ascii="Arial" w:cs="Arial" w:eastAsia="Arial" w:hAnsi="Arial"/>
                <w:sz w:val="16"/>
                <w:szCs w:val="16"/>
                <w:color w:val="auto"/>
              </w:rPr>
              <w:t>income (loss)</w:t>
            </w:r>
          </w:p>
        </w:tc>
        <w:tc>
          <w:tcPr>
            <w:tcW w:w="30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income (loss) to net income (loss)</w:t>
            </w:r>
          </w:p>
        </w:tc>
        <w:tc>
          <w:tcPr>
            <w:tcW w:w="0" w:type="dxa"/>
            <w:vAlign w:val="bottom"/>
          </w:tcPr>
          <w:p>
            <w:pPr>
              <w:spacing w:after="0"/>
              <w:rPr>
                <w:sz w:val="1"/>
                <w:szCs w:val="1"/>
                <w:color w:val="auto"/>
              </w:rPr>
            </w:pPr>
          </w:p>
        </w:tc>
      </w:tr>
      <w:tr>
        <w:trPr>
          <w:trHeight w:val="197"/>
        </w:trPr>
        <w:tc>
          <w:tcPr>
            <w:tcW w:w="5060" w:type="dxa"/>
            <w:vAlign w:val="bottom"/>
          </w:tcPr>
          <w:p>
            <w:pPr>
              <w:ind w:left="380"/>
              <w:spacing w:after="0"/>
              <w:rPr>
                <w:sz w:val="20"/>
                <w:szCs w:val="20"/>
                <w:color w:val="auto"/>
              </w:rPr>
            </w:pPr>
            <w:r>
              <w:rPr>
                <w:rFonts w:ascii="Arial" w:cs="Arial" w:eastAsia="Arial" w:hAnsi="Arial"/>
                <w:sz w:val="16"/>
                <w:szCs w:val="16"/>
                <w:color w:val="auto"/>
              </w:rPr>
              <w:t>Gain (loss) on derivative financial instruments:</w:t>
            </w: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Aluminum future contracts, before taxes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(575)</w:t>
            </w:r>
          </w:p>
        </w:tc>
        <w:tc>
          <w:tcPr>
            <w:tcW w:w="3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Cost of goods sold</w:t>
            </w:r>
          </w:p>
        </w:tc>
        <w:tc>
          <w:tcPr>
            <w:tcW w:w="0" w:type="dxa"/>
            <w:vAlign w:val="bottom"/>
          </w:tcPr>
          <w:p>
            <w:pPr>
              <w:spacing w:after="0"/>
              <w:rPr>
                <w:sz w:val="1"/>
                <w:szCs w:val="1"/>
                <w:color w:val="auto"/>
              </w:rPr>
            </w:pPr>
          </w:p>
        </w:tc>
      </w:tr>
      <w:tr>
        <w:trPr>
          <w:trHeight w:val="205"/>
        </w:trPr>
        <w:tc>
          <w:tcPr>
            <w:tcW w:w="5060" w:type="dxa"/>
            <w:vAlign w:val="bottom"/>
          </w:tcPr>
          <w:p>
            <w:pPr>
              <w:ind w:left="660"/>
              <w:spacing w:after="0"/>
              <w:rPr>
                <w:sz w:val="20"/>
                <w:szCs w:val="20"/>
                <w:color w:val="auto"/>
              </w:rPr>
            </w:pPr>
            <w:r>
              <w:rPr>
                <w:rFonts w:ascii="Arial" w:cs="Arial" w:eastAsia="Arial" w:hAnsi="Arial"/>
                <w:sz w:val="16"/>
                <w:szCs w:val="16"/>
                <w:color w:val="auto"/>
              </w:rPr>
              <w:t>Foreign currency forward contracts, before taxes</w:t>
            </w:r>
          </w:p>
        </w:tc>
        <w:tc>
          <w:tcPr>
            <w:tcW w:w="1180" w:type="dxa"/>
            <w:vAlign w:val="bottom"/>
          </w:tcPr>
          <w:p>
            <w:pPr>
              <w:spacing w:after="0"/>
              <w:rPr>
                <w:sz w:val="17"/>
                <w:szCs w:val="17"/>
                <w:color w:val="auto"/>
              </w:rPr>
            </w:pPr>
          </w:p>
        </w:tc>
        <w:tc>
          <w:tcPr>
            <w:tcW w:w="2000" w:type="dxa"/>
            <w:vAlign w:val="bottom"/>
          </w:tcPr>
          <w:p>
            <w:pPr>
              <w:jc w:val="right"/>
              <w:ind w:right="100"/>
              <w:spacing w:after="0"/>
              <w:rPr>
                <w:sz w:val="20"/>
                <w:szCs w:val="20"/>
                <w:color w:val="auto"/>
              </w:rPr>
            </w:pPr>
            <w:r>
              <w:rPr>
                <w:rFonts w:ascii="Arial" w:cs="Arial" w:eastAsia="Arial" w:hAnsi="Arial"/>
                <w:sz w:val="16"/>
                <w:szCs w:val="16"/>
                <w:color w:val="auto"/>
              </w:rPr>
              <w:t>(1,767)</w:t>
            </w:r>
          </w:p>
        </w:tc>
        <w:tc>
          <w:tcPr>
            <w:tcW w:w="3020" w:type="dxa"/>
            <w:vAlign w:val="bottom"/>
          </w:tcPr>
          <w:p>
            <w:pPr>
              <w:ind w:left="320"/>
              <w:spacing w:after="0"/>
              <w:rPr>
                <w:sz w:val="20"/>
                <w:szCs w:val="20"/>
                <w:color w:val="auto"/>
              </w:rPr>
            </w:pPr>
            <w:r>
              <w:rPr>
                <w:rFonts w:ascii="Arial" w:cs="Arial" w:eastAsia="Arial" w:hAnsi="Arial"/>
                <w:sz w:val="16"/>
                <w:szCs w:val="16"/>
                <w:color w:val="auto"/>
              </w:rPr>
              <w:t>Selling, general &amp; administrative</w:t>
            </w:r>
          </w:p>
        </w:tc>
        <w:tc>
          <w:tcPr>
            <w:tcW w:w="0" w:type="dxa"/>
            <w:vAlign w:val="bottom"/>
          </w:tcPr>
          <w:p>
            <w:pPr>
              <w:spacing w:after="0"/>
              <w:rPr>
                <w:sz w:val="1"/>
                <w:szCs w:val="1"/>
                <w:color w:val="auto"/>
              </w:rPr>
            </w:pPr>
          </w:p>
        </w:tc>
      </w:tr>
      <w:tr>
        <w:trPr>
          <w:trHeight w:val="205"/>
        </w:trPr>
        <w:tc>
          <w:tcPr>
            <w:tcW w:w="50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Foreign currency forward contracts, before taxes</w:t>
            </w:r>
          </w:p>
        </w:tc>
        <w:tc>
          <w:tcPr>
            <w:tcW w:w="118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15</w:t>
            </w:r>
          </w:p>
        </w:tc>
        <w:tc>
          <w:tcPr>
            <w:tcW w:w="30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Cost of goods sold</w:t>
            </w:r>
          </w:p>
        </w:tc>
        <w:tc>
          <w:tcPr>
            <w:tcW w:w="0" w:type="dxa"/>
            <w:vAlign w:val="bottom"/>
          </w:tcPr>
          <w:p>
            <w:pPr>
              <w:spacing w:after="0"/>
              <w:rPr>
                <w:sz w:val="1"/>
                <w:szCs w:val="1"/>
                <w:color w:val="auto"/>
              </w:rPr>
            </w:pPr>
          </w:p>
        </w:tc>
      </w:tr>
      <w:tr>
        <w:trPr>
          <w:trHeight w:val="197"/>
        </w:trPr>
        <w:tc>
          <w:tcPr>
            <w:tcW w:w="5060" w:type="dxa"/>
            <w:vAlign w:val="bottom"/>
          </w:tcPr>
          <w:p>
            <w:pPr>
              <w:ind w:left="480"/>
              <w:spacing w:after="0"/>
              <w:rPr>
                <w:sz w:val="20"/>
                <w:szCs w:val="20"/>
                <w:color w:val="auto"/>
              </w:rPr>
            </w:pPr>
            <w:r>
              <w:rPr>
                <w:rFonts w:ascii="Arial" w:cs="Arial" w:eastAsia="Arial" w:hAnsi="Arial"/>
                <w:sz w:val="16"/>
                <w:szCs w:val="16"/>
                <w:color w:val="auto"/>
              </w:rPr>
              <w:t>Total, before taxes</w:t>
            </w:r>
          </w:p>
        </w:tc>
        <w:tc>
          <w:tcPr>
            <w:tcW w:w="1180" w:type="dxa"/>
            <w:vAlign w:val="bottom"/>
          </w:tcPr>
          <w:p>
            <w:pPr>
              <w:spacing w:after="0"/>
              <w:rPr>
                <w:sz w:val="17"/>
                <w:szCs w:val="17"/>
                <w:color w:val="auto"/>
              </w:rPr>
            </w:pPr>
          </w:p>
        </w:tc>
        <w:tc>
          <w:tcPr>
            <w:tcW w:w="2000" w:type="dxa"/>
            <w:vAlign w:val="bottom"/>
          </w:tcPr>
          <w:p>
            <w:pPr>
              <w:jc w:val="right"/>
              <w:ind w:right="100"/>
              <w:spacing w:after="0"/>
              <w:rPr>
                <w:sz w:val="20"/>
                <w:szCs w:val="20"/>
                <w:color w:val="auto"/>
              </w:rPr>
            </w:pPr>
            <w:r>
              <w:rPr>
                <w:rFonts w:ascii="Arial" w:cs="Arial" w:eastAsia="Arial" w:hAnsi="Arial"/>
                <w:sz w:val="16"/>
                <w:szCs w:val="16"/>
                <w:color w:val="auto"/>
              </w:rPr>
              <w:t>(2,327)</w:t>
            </w: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Income tax expense (benefit)</w:t>
            </w:r>
          </w:p>
        </w:tc>
        <w:tc>
          <w:tcPr>
            <w:tcW w:w="118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(496)</w:t>
            </w:r>
          </w:p>
        </w:tc>
        <w:tc>
          <w:tcPr>
            <w:tcW w:w="30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Income tax expense (benefit)</w:t>
            </w:r>
          </w:p>
        </w:tc>
        <w:tc>
          <w:tcPr>
            <w:tcW w:w="0" w:type="dxa"/>
            <w:vAlign w:val="bottom"/>
          </w:tcPr>
          <w:p>
            <w:pPr>
              <w:spacing w:after="0"/>
              <w:rPr>
                <w:sz w:val="1"/>
                <w:szCs w:val="1"/>
                <w:color w:val="auto"/>
              </w:rPr>
            </w:pPr>
          </w:p>
        </w:tc>
      </w:tr>
      <w:tr>
        <w:trPr>
          <w:trHeight w:val="201"/>
        </w:trPr>
        <w:tc>
          <w:tcPr>
            <w:tcW w:w="50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net of tax</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(1,831)</w:t>
            </w:r>
          </w:p>
        </w:tc>
        <w:tc>
          <w:tcPr>
            <w:tcW w:w="3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pension and other post-retirement benefits:</w:t>
            </w:r>
          </w:p>
        </w:tc>
        <w:tc>
          <w:tcPr>
            <w:tcW w:w="11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60" w:type="dxa"/>
            <w:vAlign w:val="bottom"/>
          </w:tcPr>
          <w:p>
            <w:pPr>
              <w:ind w:left="660"/>
              <w:spacing w:after="0"/>
              <w:rPr>
                <w:sz w:val="20"/>
                <w:szCs w:val="20"/>
                <w:color w:val="auto"/>
              </w:rPr>
            </w:pPr>
            <w:r>
              <w:rPr>
                <w:rFonts w:ascii="Arial" w:cs="Arial" w:eastAsia="Arial" w:hAnsi="Arial"/>
                <w:sz w:val="16"/>
                <w:szCs w:val="16"/>
                <w:color w:val="auto"/>
              </w:rPr>
              <w:t>Actuarial gain (loss) and prior service costs, before taxes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00"/>
              <w:spacing w:after="0"/>
              <w:rPr>
                <w:sz w:val="20"/>
                <w:szCs w:val="20"/>
                <w:color w:val="auto"/>
              </w:rPr>
            </w:pPr>
            <w:r>
              <w:rPr>
                <w:rFonts w:ascii="Arial" w:cs="Arial" w:eastAsia="Arial" w:hAnsi="Arial"/>
                <w:sz w:val="16"/>
                <w:szCs w:val="16"/>
                <w:color w:val="auto"/>
              </w:rPr>
              <w:t>(3,767)</w:t>
            </w:r>
          </w:p>
        </w:tc>
        <w:tc>
          <w:tcPr>
            <w:tcW w:w="3020" w:type="dxa"/>
            <w:vAlign w:val="bottom"/>
          </w:tcPr>
          <w:p>
            <w:pPr>
              <w:ind w:left="320"/>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05"/>
        </w:trPr>
        <w:tc>
          <w:tcPr>
            <w:tcW w:w="50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Income tax expense (benefit)</w:t>
            </w:r>
          </w:p>
        </w:tc>
        <w:tc>
          <w:tcPr>
            <w:tcW w:w="118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(836)</w:t>
            </w:r>
          </w:p>
        </w:tc>
        <w:tc>
          <w:tcPr>
            <w:tcW w:w="30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Income tax expense (benefit)</w:t>
            </w:r>
          </w:p>
        </w:tc>
        <w:tc>
          <w:tcPr>
            <w:tcW w:w="0" w:type="dxa"/>
            <w:vAlign w:val="bottom"/>
          </w:tcPr>
          <w:p>
            <w:pPr>
              <w:spacing w:after="0"/>
              <w:rPr>
                <w:sz w:val="1"/>
                <w:szCs w:val="1"/>
                <w:color w:val="auto"/>
              </w:rPr>
            </w:pPr>
          </w:p>
        </w:tc>
      </w:tr>
      <w:tr>
        <w:trPr>
          <w:trHeight w:val="201"/>
        </w:trPr>
        <w:tc>
          <w:tcPr>
            <w:tcW w:w="50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net of tax</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(2,931)</w:t>
            </w:r>
          </w:p>
        </w:tc>
        <w:tc>
          <w:tcPr>
            <w:tcW w:w="3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303" w:hanging="303"/>
        <w:spacing w:after="0"/>
        <w:tabs>
          <w:tab w:leader="none" w:pos="303" w:val="left"/>
        </w:tabs>
        <w:numPr>
          <w:ilvl w:val="0"/>
          <w:numId w:val="7"/>
        </w:numPr>
        <w:rPr>
          <w:rFonts w:ascii="Arial" w:cs="Arial" w:eastAsia="Arial" w:hAnsi="Arial"/>
          <w:sz w:val="14"/>
          <w:szCs w:val="14"/>
          <w:color w:val="auto"/>
        </w:rPr>
      </w:pPr>
      <w:r>
        <w:rPr>
          <w:rFonts w:ascii="Arial" w:cs="Arial" w:eastAsia="Arial" w:hAnsi="Arial"/>
          <w:sz w:val="14"/>
          <w:szCs w:val="14"/>
          <w:color w:val="auto"/>
        </w:rPr>
        <w:t>This component of accumulated other comprehensive income (loss) is included in the computation of net periodic pension cost (see Note 9 for additional detail).</w:t>
      </w:r>
    </w:p>
    <w:p>
      <w:pPr>
        <w:spacing w:after="0" w:line="200" w:lineRule="exact"/>
        <w:rPr>
          <w:rFonts w:ascii="Arial" w:cs="Arial" w:eastAsia="Arial" w:hAnsi="Arial"/>
          <w:sz w:val="14"/>
          <w:szCs w:val="14"/>
          <w:color w:val="auto"/>
        </w:rPr>
      </w:pPr>
    </w:p>
    <w:p>
      <w:pPr>
        <w:spacing w:after="0" w:line="298" w:lineRule="exact"/>
        <w:rPr>
          <w:rFonts w:ascii="Arial" w:cs="Arial" w:eastAsia="Arial" w:hAnsi="Arial"/>
          <w:sz w:val="14"/>
          <w:szCs w:val="14"/>
          <w:color w:val="auto"/>
        </w:rPr>
      </w:pPr>
    </w:p>
    <w:p>
      <w:pPr>
        <w:ind w:left="5543"/>
        <w:spacing w:after="0"/>
        <w:rPr>
          <w:rFonts w:ascii="Arial" w:cs="Arial" w:eastAsia="Arial" w:hAnsi="Arial"/>
          <w:sz w:val="14"/>
          <w:szCs w:val="14"/>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7232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3"/>
          </w:cols>
          <w:pgMar w:left="317" w:top="899" w:right="319" w:bottom="1440" w:gutter="0" w:footer="0" w:header="0"/>
        </w:sectPr>
      </w:pPr>
    </w:p>
    <w:bookmarkStart w:id="14" w:name="page15"/>
    <w:bookmarkEnd w:id="14"/>
    <w:p>
      <w:pPr>
        <w:ind w:left="3" w:right="160" w:firstLine="362"/>
        <w:spacing w:after="0" w:line="275" w:lineRule="auto"/>
        <w:rPr>
          <w:sz w:val="20"/>
          <w:szCs w:val="20"/>
          <w:color w:val="auto"/>
        </w:rPr>
      </w:pPr>
      <w:r>
        <w:rPr>
          <w:rFonts w:ascii="Arial" w:cs="Arial" w:eastAsia="Arial" w:hAnsi="Arial"/>
          <w:sz w:val="16"/>
          <w:szCs w:val="16"/>
          <w:color w:val="auto"/>
        </w:rPr>
        <w:t>Reclassifications of balances out of accumulated other comprehensive income (loss) into net income for the nine months ended September 30, 2020 are summarized as follows:</w:t>
      </w:r>
    </w:p>
    <w:tbl>
      <w:tblPr>
        <w:tblLayout w:type="fixed"/>
        <w:tblInd w:w="3" w:type="dxa"/>
        <w:tblCellMar>
          <w:top w:w="0" w:type="dxa"/>
          <w:left w:w="0" w:type="dxa"/>
          <w:bottom w:w="0" w:type="dxa"/>
          <w:right w:w="0" w:type="dxa"/>
        </w:tblCellMar>
      </w:tblPr>
      <w:tr>
        <w:trPr>
          <w:trHeight w:val="162"/>
        </w:trPr>
        <w:tc>
          <w:tcPr>
            <w:tcW w:w="50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tcPr>
          <w:p>
            <w:pPr>
              <w:jc w:val="right"/>
              <w:ind w:right="240"/>
              <w:spacing w:after="0" w:line="162" w:lineRule="exact"/>
              <w:rPr>
                <w:sz w:val="20"/>
                <w:szCs w:val="20"/>
                <w:color w:val="auto"/>
              </w:rPr>
            </w:pPr>
            <w:r>
              <w:rPr>
                <w:rFonts w:ascii="Arial" w:cs="Arial" w:eastAsia="Arial" w:hAnsi="Arial"/>
                <w:sz w:val="16"/>
                <w:szCs w:val="16"/>
                <w:color w:val="auto"/>
                <w:w w:val="94"/>
              </w:rPr>
              <w:t>Amount reclassified from</w:t>
            </w:r>
          </w:p>
        </w:tc>
        <w:tc>
          <w:tcPr>
            <w:tcW w:w="3020" w:type="dxa"/>
            <w:vAlign w:val="bottom"/>
            <w:tcBorders>
              <w:top w:val="single" w:sz="8" w:color="auto"/>
            </w:tcBorders>
          </w:tcPr>
          <w:p>
            <w:pPr>
              <w:ind w:left="540"/>
              <w:spacing w:after="0" w:line="162" w:lineRule="exact"/>
              <w:rPr>
                <w:sz w:val="20"/>
                <w:szCs w:val="20"/>
                <w:color w:val="auto"/>
              </w:rPr>
            </w:pPr>
            <w:r>
              <w:rPr>
                <w:rFonts w:ascii="Arial" w:cs="Arial" w:eastAsia="Arial" w:hAnsi="Arial"/>
                <w:sz w:val="16"/>
                <w:szCs w:val="16"/>
                <w:color w:val="auto"/>
              </w:rPr>
              <w:t>Location of gain (loss) reclassified</w:t>
            </w:r>
          </w:p>
        </w:tc>
        <w:tc>
          <w:tcPr>
            <w:tcW w:w="0" w:type="dxa"/>
            <w:vAlign w:val="bottom"/>
          </w:tcPr>
          <w:p>
            <w:pPr>
              <w:spacing w:after="0"/>
              <w:rPr>
                <w:sz w:val="1"/>
                <w:szCs w:val="1"/>
                <w:color w:val="auto"/>
              </w:rPr>
            </w:pPr>
          </w:p>
        </w:tc>
      </w:tr>
      <w:tr>
        <w:trPr>
          <w:trHeight w:val="157"/>
        </w:trPr>
        <w:tc>
          <w:tcPr>
            <w:tcW w:w="5060" w:type="dxa"/>
            <w:vAlign w:val="bottom"/>
            <w:vMerge w:val="restart"/>
          </w:tcPr>
          <w:p>
            <w:pPr>
              <w:ind w:left="380"/>
              <w:spacing w:after="0"/>
              <w:rPr>
                <w:sz w:val="20"/>
                <w:szCs w:val="20"/>
                <w:color w:val="auto"/>
              </w:rPr>
            </w:pPr>
            <w:r>
              <w:rPr>
                <w:rFonts w:ascii="Arial" w:cs="Arial" w:eastAsia="Arial" w:hAnsi="Arial"/>
                <w:sz w:val="16"/>
                <w:szCs w:val="16"/>
                <w:color w:val="auto"/>
              </w:rPr>
              <w:t>(In thousands)</w:t>
            </w:r>
          </w:p>
        </w:tc>
        <w:tc>
          <w:tcPr>
            <w:tcW w:w="3180" w:type="dxa"/>
            <w:vAlign w:val="bottom"/>
            <w:gridSpan w:val="2"/>
          </w:tcPr>
          <w:p>
            <w:pPr>
              <w:jc w:val="right"/>
              <w:ind w:right="160"/>
              <w:spacing w:after="0" w:line="157" w:lineRule="exact"/>
              <w:rPr>
                <w:sz w:val="20"/>
                <w:szCs w:val="20"/>
                <w:color w:val="auto"/>
              </w:rPr>
            </w:pPr>
            <w:r>
              <w:rPr>
                <w:rFonts w:ascii="Arial" w:cs="Arial" w:eastAsia="Arial" w:hAnsi="Arial"/>
                <w:sz w:val="16"/>
                <w:szCs w:val="16"/>
                <w:color w:val="auto"/>
              </w:rPr>
              <w:t>accumulated other comprehensive</w:t>
            </w:r>
          </w:p>
        </w:tc>
        <w:tc>
          <w:tcPr>
            <w:tcW w:w="3020" w:type="dxa"/>
            <w:vAlign w:val="bottom"/>
          </w:tcPr>
          <w:p>
            <w:pPr>
              <w:ind w:left="200"/>
              <w:spacing w:after="0" w:line="157" w:lineRule="exact"/>
              <w:rPr>
                <w:sz w:val="20"/>
                <w:szCs w:val="20"/>
                <w:color w:val="auto"/>
              </w:rPr>
            </w:pPr>
            <w:r>
              <w:rPr>
                <w:rFonts w:ascii="Arial" w:cs="Arial" w:eastAsia="Arial" w:hAnsi="Arial"/>
                <w:sz w:val="16"/>
                <w:szCs w:val="16"/>
                <w:color w:val="auto"/>
                <w:w w:val="99"/>
              </w:rPr>
              <w:t>from accumulated other comprehensive</w:t>
            </w:r>
          </w:p>
        </w:tc>
        <w:tc>
          <w:tcPr>
            <w:tcW w:w="0" w:type="dxa"/>
            <w:vAlign w:val="bottom"/>
          </w:tcPr>
          <w:p>
            <w:pPr>
              <w:spacing w:after="0"/>
              <w:rPr>
                <w:sz w:val="1"/>
                <w:szCs w:val="1"/>
                <w:color w:val="auto"/>
              </w:rPr>
            </w:pPr>
          </w:p>
        </w:tc>
      </w:tr>
      <w:tr>
        <w:trPr>
          <w:trHeight w:val="205"/>
        </w:trPr>
        <w:tc>
          <w:tcPr>
            <w:tcW w:w="506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820"/>
              <w:spacing w:after="0"/>
              <w:rPr>
                <w:sz w:val="20"/>
                <w:szCs w:val="20"/>
                <w:color w:val="auto"/>
              </w:rPr>
            </w:pPr>
            <w:r>
              <w:rPr>
                <w:rFonts w:ascii="Arial" w:cs="Arial" w:eastAsia="Arial" w:hAnsi="Arial"/>
                <w:sz w:val="16"/>
                <w:szCs w:val="16"/>
                <w:color w:val="auto"/>
              </w:rPr>
              <w:t>income (loss)</w:t>
            </w:r>
          </w:p>
        </w:tc>
        <w:tc>
          <w:tcPr>
            <w:tcW w:w="30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income (loss) to net income (loss)</w:t>
            </w:r>
          </w:p>
        </w:tc>
        <w:tc>
          <w:tcPr>
            <w:tcW w:w="0" w:type="dxa"/>
            <w:vAlign w:val="bottom"/>
          </w:tcPr>
          <w:p>
            <w:pPr>
              <w:spacing w:after="0"/>
              <w:rPr>
                <w:sz w:val="1"/>
                <w:szCs w:val="1"/>
                <w:color w:val="auto"/>
              </w:rPr>
            </w:pPr>
          </w:p>
        </w:tc>
      </w:tr>
      <w:tr>
        <w:trPr>
          <w:trHeight w:val="197"/>
        </w:trPr>
        <w:tc>
          <w:tcPr>
            <w:tcW w:w="5060" w:type="dxa"/>
            <w:vAlign w:val="bottom"/>
          </w:tcPr>
          <w:p>
            <w:pPr>
              <w:ind w:left="380"/>
              <w:spacing w:after="0"/>
              <w:rPr>
                <w:sz w:val="20"/>
                <w:szCs w:val="20"/>
                <w:color w:val="auto"/>
              </w:rPr>
            </w:pPr>
            <w:r>
              <w:rPr>
                <w:rFonts w:ascii="Arial" w:cs="Arial" w:eastAsia="Arial" w:hAnsi="Arial"/>
                <w:sz w:val="16"/>
                <w:szCs w:val="16"/>
                <w:color w:val="auto"/>
              </w:rPr>
              <w:t>Gain (loss) on derivative financial instruments:</w:t>
            </w: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Aluminum future contracts, before taxes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(2,766)</w:t>
            </w:r>
          </w:p>
        </w:tc>
        <w:tc>
          <w:tcPr>
            <w:tcW w:w="3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Cost of goods sold</w:t>
            </w:r>
          </w:p>
        </w:tc>
        <w:tc>
          <w:tcPr>
            <w:tcW w:w="0" w:type="dxa"/>
            <w:vAlign w:val="bottom"/>
          </w:tcPr>
          <w:p>
            <w:pPr>
              <w:spacing w:after="0"/>
              <w:rPr>
                <w:sz w:val="1"/>
                <w:szCs w:val="1"/>
                <w:color w:val="auto"/>
              </w:rPr>
            </w:pPr>
          </w:p>
        </w:tc>
      </w:tr>
      <w:tr>
        <w:trPr>
          <w:trHeight w:val="205"/>
        </w:trPr>
        <w:tc>
          <w:tcPr>
            <w:tcW w:w="5060" w:type="dxa"/>
            <w:vAlign w:val="bottom"/>
          </w:tcPr>
          <w:p>
            <w:pPr>
              <w:ind w:left="660"/>
              <w:spacing w:after="0"/>
              <w:rPr>
                <w:sz w:val="20"/>
                <w:szCs w:val="20"/>
                <w:color w:val="auto"/>
              </w:rPr>
            </w:pPr>
            <w:r>
              <w:rPr>
                <w:rFonts w:ascii="Arial" w:cs="Arial" w:eastAsia="Arial" w:hAnsi="Arial"/>
                <w:sz w:val="16"/>
                <w:szCs w:val="16"/>
                <w:color w:val="auto"/>
              </w:rPr>
              <w:t>Foreign currency forward contracts, before taxes</w:t>
            </w:r>
          </w:p>
        </w:tc>
        <w:tc>
          <w:tcPr>
            <w:tcW w:w="1180" w:type="dxa"/>
            <w:vAlign w:val="bottom"/>
          </w:tcPr>
          <w:p>
            <w:pPr>
              <w:spacing w:after="0"/>
              <w:rPr>
                <w:sz w:val="17"/>
                <w:szCs w:val="17"/>
                <w:color w:val="auto"/>
              </w:rPr>
            </w:pPr>
          </w:p>
        </w:tc>
        <w:tc>
          <w:tcPr>
            <w:tcW w:w="2000" w:type="dxa"/>
            <w:vAlign w:val="bottom"/>
          </w:tcPr>
          <w:p>
            <w:pPr>
              <w:jc w:val="right"/>
              <w:ind w:right="100"/>
              <w:spacing w:after="0"/>
              <w:rPr>
                <w:sz w:val="20"/>
                <w:szCs w:val="20"/>
                <w:color w:val="auto"/>
              </w:rPr>
            </w:pPr>
            <w:r>
              <w:rPr>
                <w:rFonts w:ascii="Arial" w:cs="Arial" w:eastAsia="Arial" w:hAnsi="Arial"/>
                <w:sz w:val="16"/>
                <w:szCs w:val="16"/>
                <w:color w:val="auto"/>
              </w:rPr>
              <w:t>(4,359)</w:t>
            </w:r>
          </w:p>
        </w:tc>
        <w:tc>
          <w:tcPr>
            <w:tcW w:w="3020" w:type="dxa"/>
            <w:vAlign w:val="bottom"/>
          </w:tcPr>
          <w:p>
            <w:pPr>
              <w:ind w:left="320"/>
              <w:spacing w:after="0"/>
              <w:rPr>
                <w:sz w:val="20"/>
                <w:szCs w:val="20"/>
                <w:color w:val="auto"/>
              </w:rPr>
            </w:pPr>
            <w:r>
              <w:rPr>
                <w:rFonts w:ascii="Arial" w:cs="Arial" w:eastAsia="Arial" w:hAnsi="Arial"/>
                <w:sz w:val="16"/>
                <w:szCs w:val="16"/>
                <w:color w:val="auto"/>
              </w:rPr>
              <w:t>Selling, general &amp; administrative</w:t>
            </w:r>
          </w:p>
        </w:tc>
        <w:tc>
          <w:tcPr>
            <w:tcW w:w="0" w:type="dxa"/>
            <w:vAlign w:val="bottom"/>
          </w:tcPr>
          <w:p>
            <w:pPr>
              <w:spacing w:after="0"/>
              <w:rPr>
                <w:sz w:val="1"/>
                <w:szCs w:val="1"/>
                <w:color w:val="auto"/>
              </w:rPr>
            </w:pPr>
          </w:p>
        </w:tc>
      </w:tr>
      <w:tr>
        <w:trPr>
          <w:trHeight w:val="205"/>
        </w:trPr>
        <w:tc>
          <w:tcPr>
            <w:tcW w:w="50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Foreign currency forward contracts, before taxes</w:t>
            </w:r>
          </w:p>
        </w:tc>
        <w:tc>
          <w:tcPr>
            <w:tcW w:w="118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46</w:t>
            </w:r>
          </w:p>
        </w:tc>
        <w:tc>
          <w:tcPr>
            <w:tcW w:w="30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Cost of goods sold</w:t>
            </w:r>
          </w:p>
        </w:tc>
        <w:tc>
          <w:tcPr>
            <w:tcW w:w="0" w:type="dxa"/>
            <w:vAlign w:val="bottom"/>
          </w:tcPr>
          <w:p>
            <w:pPr>
              <w:spacing w:after="0"/>
              <w:rPr>
                <w:sz w:val="1"/>
                <w:szCs w:val="1"/>
                <w:color w:val="auto"/>
              </w:rPr>
            </w:pPr>
          </w:p>
        </w:tc>
      </w:tr>
      <w:tr>
        <w:trPr>
          <w:trHeight w:val="197"/>
        </w:trPr>
        <w:tc>
          <w:tcPr>
            <w:tcW w:w="5060" w:type="dxa"/>
            <w:vAlign w:val="bottom"/>
          </w:tcPr>
          <w:p>
            <w:pPr>
              <w:ind w:left="480"/>
              <w:spacing w:after="0"/>
              <w:rPr>
                <w:sz w:val="20"/>
                <w:szCs w:val="20"/>
                <w:color w:val="auto"/>
              </w:rPr>
            </w:pPr>
            <w:r>
              <w:rPr>
                <w:rFonts w:ascii="Arial" w:cs="Arial" w:eastAsia="Arial" w:hAnsi="Arial"/>
                <w:sz w:val="16"/>
                <w:szCs w:val="16"/>
                <w:color w:val="auto"/>
              </w:rPr>
              <w:t>Total, before taxes</w:t>
            </w:r>
          </w:p>
        </w:tc>
        <w:tc>
          <w:tcPr>
            <w:tcW w:w="1180" w:type="dxa"/>
            <w:vAlign w:val="bottom"/>
          </w:tcPr>
          <w:p>
            <w:pPr>
              <w:spacing w:after="0"/>
              <w:rPr>
                <w:sz w:val="17"/>
                <w:szCs w:val="17"/>
                <w:color w:val="auto"/>
              </w:rPr>
            </w:pPr>
          </w:p>
        </w:tc>
        <w:tc>
          <w:tcPr>
            <w:tcW w:w="2000" w:type="dxa"/>
            <w:vAlign w:val="bottom"/>
          </w:tcPr>
          <w:p>
            <w:pPr>
              <w:jc w:val="right"/>
              <w:ind w:right="100"/>
              <w:spacing w:after="0"/>
              <w:rPr>
                <w:sz w:val="20"/>
                <w:szCs w:val="20"/>
                <w:color w:val="auto"/>
              </w:rPr>
            </w:pPr>
            <w:r>
              <w:rPr>
                <w:rFonts w:ascii="Arial" w:cs="Arial" w:eastAsia="Arial" w:hAnsi="Arial"/>
                <w:sz w:val="16"/>
                <w:szCs w:val="16"/>
                <w:color w:val="auto"/>
              </w:rPr>
              <w:t>(7,079)</w:t>
            </w: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Income tax expense (benefit)</w:t>
            </w:r>
          </w:p>
        </w:tc>
        <w:tc>
          <w:tcPr>
            <w:tcW w:w="118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(1,523)</w:t>
            </w:r>
          </w:p>
        </w:tc>
        <w:tc>
          <w:tcPr>
            <w:tcW w:w="30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Income tax expense (benefit)</w:t>
            </w:r>
          </w:p>
        </w:tc>
        <w:tc>
          <w:tcPr>
            <w:tcW w:w="0" w:type="dxa"/>
            <w:vAlign w:val="bottom"/>
          </w:tcPr>
          <w:p>
            <w:pPr>
              <w:spacing w:after="0"/>
              <w:rPr>
                <w:sz w:val="1"/>
                <w:szCs w:val="1"/>
                <w:color w:val="auto"/>
              </w:rPr>
            </w:pPr>
          </w:p>
        </w:tc>
      </w:tr>
      <w:tr>
        <w:trPr>
          <w:trHeight w:val="201"/>
        </w:trPr>
        <w:tc>
          <w:tcPr>
            <w:tcW w:w="50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net of tax</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(5,556)</w:t>
            </w:r>
          </w:p>
        </w:tc>
        <w:tc>
          <w:tcPr>
            <w:tcW w:w="3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pension and other post-retirement benefits:</w:t>
            </w:r>
          </w:p>
        </w:tc>
        <w:tc>
          <w:tcPr>
            <w:tcW w:w="11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60" w:type="dxa"/>
            <w:vAlign w:val="bottom"/>
          </w:tcPr>
          <w:p>
            <w:pPr>
              <w:ind w:left="660"/>
              <w:spacing w:after="0"/>
              <w:rPr>
                <w:sz w:val="20"/>
                <w:szCs w:val="20"/>
                <w:color w:val="auto"/>
              </w:rPr>
            </w:pPr>
            <w:r>
              <w:rPr>
                <w:rFonts w:ascii="Arial" w:cs="Arial" w:eastAsia="Arial" w:hAnsi="Arial"/>
                <w:sz w:val="16"/>
                <w:szCs w:val="16"/>
                <w:color w:val="auto"/>
              </w:rPr>
              <w:t>Actuarial gain (loss) and prior service costs, before taxes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00"/>
              <w:spacing w:after="0"/>
              <w:rPr>
                <w:sz w:val="20"/>
                <w:szCs w:val="20"/>
                <w:color w:val="auto"/>
              </w:rPr>
            </w:pPr>
            <w:r>
              <w:rPr>
                <w:rFonts w:ascii="Arial" w:cs="Arial" w:eastAsia="Arial" w:hAnsi="Arial"/>
                <w:sz w:val="16"/>
                <w:szCs w:val="16"/>
                <w:color w:val="auto"/>
              </w:rPr>
              <w:t>(11,300)</w:t>
            </w:r>
          </w:p>
        </w:tc>
        <w:tc>
          <w:tcPr>
            <w:tcW w:w="3020" w:type="dxa"/>
            <w:vAlign w:val="bottom"/>
          </w:tcPr>
          <w:p>
            <w:pPr>
              <w:ind w:left="320"/>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05"/>
        </w:trPr>
        <w:tc>
          <w:tcPr>
            <w:tcW w:w="50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Income tax expense (benefit)</w:t>
            </w:r>
          </w:p>
        </w:tc>
        <w:tc>
          <w:tcPr>
            <w:tcW w:w="118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(2,507)</w:t>
            </w:r>
          </w:p>
        </w:tc>
        <w:tc>
          <w:tcPr>
            <w:tcW w:w="30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Income tax expense (benefit)</w:t>
            </w:r>
          </w:p>
        </w:tc>
        <w:tc>
          <w:tcPr>
            <w:tcW w:w="0" w:type="dxa"/>
            <w:vAlign w:val="bottom"/>
          </w:tcPr>
          <w:p>
            <w:pPr>
              <w:spacing w:after="0"/>
              <w:rPr>
                <w:sz w:val="1"/>
                <w:szCs w:val="1"/>
                <w:color w:val="auto"/>
              </w:rPr>
            </w:pPr>
          </w:p>
        </w:tc>
      </w:tr>
      <w:tr>
        <w:trPr>
          <w:trHeight w:val="201"/>
        </w:trPr>
        <w:tc>
          <w:tcPr>
            <w:tcW w:w="50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net of tax</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(8,793)</w:t>
            </w:r>
          </w:p>
        </w:tc>
        <w:tc>
          <w:tcPr>
            <w:tcW w:w="3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303" w:hanging="303"/>
        <w:spacing w:after="0"/>
        <w:tabs>
          <w:tab w:leader="none" w:pos="303"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component of accumulated other comprehensive income (loss) is included in the computation of net periodic pension cost (see Note 9 for additional detail).</w:t>
      </w:r>
    </w:p>
    <w:p>
      <w:pPr>
        <w:spacing w:after="0" w:line="84" w:lineRule="exact"/>
        <w:rPr>
          <w:rFonts w:ascii="Arial" w:cs="Arial" w:eastAsia="Arial" w:hAnsi="Arial"/>
          <w:sz w:val="14"/>
          <w:szCs w:val="14"/>
          <w:color w:val="auto"/>
        </w:rPr>
      </w:pPr>
    </w:p>
    <w:p>
      <w:pPr>
        <w:ind w:left="3"/>
        <w:spacing w:after="0"/>
        <w:rPr>
          <w:rFonts w:ascii="Arial" w:cs="Arial" w:eastAsia="Arial" w:hAnsi="Arial"/>
          <w:sz w:val="14"/>
          <w:szCs w:val="14"/>
          <w:color w:val="auto"/>
        </w:rPr>
      </w:pPr>
      <w:r>
        <w:rPr>
          <w:rFonts w:ascii="Arial" w:cs="Arial" w:eastAsia="Arial" w:hAnsi="Arial"/>
          <w:sz w:val="16"/>
          <w:szCs w:val="16"/>
          <w:b w:val="1"/>
          <w:bCs w:val="1"/>
          <w:color w:val="auto"/>
        </w:rPr>
        <w:t>7  INVESTMENTS</w:t>
      </w:r>
    </w:p>
    <w:p>
      <w:pPr>
        <w:spacing w:after="0" w:line="97" w:lineRule="exact"/>
        <w:rPr>
          <w:sz w:val="20"/>
          <w:szCs w:val="20"/>
          <w:color w:val="auto"/>
        </w:rPr>
      </w:pPr>
    </w:p>
    <w:p>
      <w:pPr>
        <w:ind w:left="3" w:right="340" w:firstLine="362"/>
        <w:spacing w:after="0" w:line="265" w:lineRule="auto"/>
        <w:rPr>
          <w:sz w:val="20"/>
          <w:szCs w:val="20"/>
          <w:color w:val="auto"/>
        </w:rPr>
      </w:pPr>
      <w:r>
        <w:rPr>
          <w:rFonts w:ascii="Arial" w:cs="Arial" w:eastAsia="Arial" w:hAnsi="Arial"/>
          <w:sz w:val="16"/>
          <w:szCs w:val="16"/>
          <w:color w:val="auto"/>
        </w:rPr>
        <w:t>The Company's aggregate investment of $7.5 million, for an approximate 18% ownership interest, in kaleo, Inc. (“kaléo”), a privately held specialty pharmaceutical company dedicated to building innovative solutions for serious and life-threatening medical conditions, is accounted for under the fair value method in the condensed consolidated financial statements.</w:t>
      </w:r>
    </w:p>
    <w:p>
      <w:pPr>
        <w:spacing w:after="0" w:line="42" w:lineRule="exact"/>
        <w:rPr>
          <w:sz w:val="20"/>
          <w:szCs w:val="20"/>
          <w:color w:val="auto"/>
        </w:rPr>
      </w:pPr>
    </w:p>
    <w:p>
      <w:pPr>
        <w:ind w:left="3" w:right="60" w:firstLine="362"/>
        <w:spacing w:after="0" w:line="258" w:lineRule="auto"/>
        <w:rPr>
          <w:sz w:val="20"/>
          <w:szCs w:val="20"/>
          <w:color w:val="auto"/>
        </w:rPr>
      </w:pPr>
      <w:r>
        <w:rPr>
          <w:rFonts w:ascii="Arial" w:cs="Arial" w:eastAsia="Arial" w:hAnsi="Arial"/>
          <w:sz w:val="16"/>
          <w:szCs w:val="16"/>
          <w:color w:val="auto"/>
        </w:rPr>
        <w:t>The estimated fair value of the Company’s investment was $35.5 million as of September 30, 2021 and $34.6 million as of December 31, 2020. kaléo’s stock is not publicly traded. The ultimate value of the Company’s ownership interest in kaléo could be materially different from the estimated fair value and will ultimately be determined and realized only if and when a liquidity event occurs. Amounts recognized associated with the Company’s investment in kaléo are included in “Other income (expense), net” in the consolidated statements of income and separately stated in the net sales and earnings before interest, taxes, depreciation and amortization ("EBITDA") from ongoing operations by segment table in Note 11.</w:t>
      </w:r>
    </w:p>
    <w:p>
      <w:pPr>
        <w:spacing w:after="0" w:line="61" w:lineRule="exact"/>
        <w:rPr>
          <w:sz w:val="20"/>
          <w:szCs w:val="20"/>
          <w:color w:val="auto"/>
        </w:rPr>
      </w:pPr>
    </w:p>
    <w:p>
      <w:pPr>
        <w:ind w:left="3" w:right="20" w:firstLine="362"/>
        <w:spacing w:after="0" w:line="257" w:lineRule="auto"/>
        <w:rPr>
          <w:sz w:val="20"/>
          <w:szCs w:val="20"/>
          <w:color w:val="auto"/>
        </w:rPr>
      </w:pPr>
      <w:r>
        <w:rPr>
          <w:rFonts w:ascii="Arial" w:cs="Arial" w:eastAsia="Arial" w:hAnsi="Arial"/>
          <w:sz w:val="16"/>
          <w:szCs w:val="16"/>
          <w:color w:val="auto"/>
        </w:rPr>
        <w:t>The Company estimated the fair value of its investment in kaléo at September 30, 2021 by: (i) computing the weighted average estimated enterprise value (“EV”) utilizing both the discounted cash flow method (the “DCF Method”) and the application of a market multiple to EBITDA (the “EBITDA Multiple Method”), (ii) applying adjustments for any surplus or deficient working capital and estimates of contingent liabilities, (iii) adding cash and cash equivalents, (iv) subtracting interest-bearing debt, (v) subtracting a private company liquidity discount estimated at approximately 20% at September 30, 2021 (consistent with 20% at both December 31, 2020 and September 30, 2020) of the net result of (i) through (iv), and (vi) applying liquidation preferences and fully diluted ownership percentages to the estimated equity value computed in (i) through (v).</w:t>
      </w:r>
    </w:p>
    <w:p>
      <w:pPr>
        <w:spacing w:after="0" w:line="60" w:lineRule="exact"/>
        <w:rPr>
          <w:sz w:val="20"/>
          <w:szCs w:val="20"/>
          <w:color w:val="auto"/>
        </w:rPr>
      </w:pPr>
    </w:p>
    <w:p>
      <w:pPr>
        <w:ind w:left="3" w:right="140" w:firstLine="362"/>
        <w:spacing w:after="0" w:line="258" w:lineRule="auto"/>
        <w:rPr>
          <w:sz w:val="20"/>
          <w:szCs w:val="20"/>
          <w:color w:val="auto"/>
        </w:rPr>
      </w:pPr>
      <w:r>
        <w:rPr>
          <w:rFonts w:ascii="Arial" w:cs="Arial" w:eastAsia="Arial" w:hAnsi="Arial"/>
          <w:sz w:val="16"/>
          <w:szCs w:val="16"/>
          <w:color w:val="auto"/>
        </w:rPr>
        <w:t>The Company’s estimate of kaléo’s EV as of September 30, 2021 and December 31, 2020 was determined by weighting the EBITDA Multiple Method by 20% and the DCF Method by 80%. A heavier weighting towards the DCF Method was used since kaléo’s projections better reflect ongoing pricing pressures and expected changes in market access. The DCF Method projections rely on numerous assumptions and Level 3 inputs. In addition, there are various regulatory and legal enforcement efforts, including an ongoing Department of Justice investigation related to kaléo’s discontinued Evzio business, which could have a material adverse effect on kaléo’s business that require assessment in any valuation method applied.</w:t>
      </w:r>
    </w:p>
    <w:p>
      <w:pPr>
        <w:spacing w:after="0" w:line="45" w:lineRule="exact"/>
        <w:rPr>
          <w:sz w:val="20"/>
          <w:szCs w:val="20"/>
          <w:color w:val="auto"/>
        </w:rPr>
      </w:pPr>
    </w:p>
    <w:p>
      <w:pPr>
        <w:ind w:left="3"/>
        <w:spacing w:after="0"/>
        <w:tabs>
          <w:tab w:leader="none" w:pos="223" w:val="left"/>
        </w:tabs>
        <w:rPr>
          <w:sz w:val="20"/>
          <w:szCs w:val="20"/>
          <w:color w:val="auto"/>
        </w:rPr>
      </w:pPr>
      <w:r>
        <w:rPr>
          <w:rFonts w:ascii="Arial" w:cs="Arial" w:eastAsia="Arial" w:hAnsi="Arial"/>
          <w:sz w:val="16"/>
          <w:szCs w:val="16"/>
          <w:b w:val="1"/>
          <w:bCs w:val="1"/>
          <w:color w:val="auto"/>
        </w:rPr>
        <w:t>8</w:t>
        <w:tab/>
        <w:t>DERIVATIVES</w:t>
      </w:r>
    </w:p>
    <w:p>
      <w:pPr>
        <w:spacing w:after="0" w:line="97" w:lineRule="exact"/>
        <w:rPr>
          <w:sz w:val="20"/>
          <w:szCs w:val="20"/>
          <w:color w:val="auto"/>
        </w:rPr>
      </w:pPr>
    </w:p>
    <w:p>
      <w:pPr>
        <w:ind w:left="3" w:right="60" w:firstLine="362"/>
        <w:spacing w:after="0" w:line="258" w:lineRule="auto"/>
        <w:rPr>
          <w:sz w:val="20"/>
          <w:szCs w:val="20"/>
          <w:color w:val="auto"/>
        </w:rPr>
      </w:pPr>
      <w:r>
        <w:rPr>
          <w:rFonts w:ascii="Arial" w:cs="Arial" w:eastAsia="Arial" w:hAnsi="Arial"/>
          <w:sz w:val="16"/>
          <w:szCs w:val="16"/>
          <w:color w:val="auto"/>
        </w:rPr>
        <w:t>Tredegar uses derivative financial instruments for the purpose of hedging margin exposure from fixed-price forward sales contracts in Aluminum Extrusions and exposure from currency volatility that exists as part of ongoing business operations in Flexible Packaging Films. These derivative financial instruments are designated as and qualify as cash flow hedges and are recognized in the consolidated balance sheet at fair value. The fair value of derivative instruments is recorded on the consolidated balance sheets. If individual derivative instruments with the same counterparty can be settled on a net basis, the Company records the corresponding derivative fair values as a net asset or net liability.</w:t>
      </w:r>
    </w:p>
    <w:p>
      <w:pPr>
        <w:spacing w:after="0" w:line="61" w:lineRule="exact"/>
        <w:rPr>
          <w:sz w:val="20"/>
          <w:szCs w:val="20"/>
          <w:color w:val="auto"/>
        </w:rPr>
      </w:pPr>
    </w:p>
    <w:p>
      <w:pPr>
        <w:ind w:left="3" w:right="280" w:firstLine="362"/>
        <w:spacing w:after="0" w:line="279" w:lineRule="auto"/>
        <w:rPr>
          <w:sz w:val="20"/>
          <w:szCs w:val="20"/>
          <w:color w:val="auto"/>
        </w:rPr>
      </w:pPr>
      <w:r>
        <w:rPr>
          <w:rFonts w:ascii="Arial" w:cs="Arial" w:eastAsia="Arial" w:hAnsi="Arial"/>
          <w:sz w:val="16"/>
          <w:szCs w:val="16"/>
          <w:color w:val="auto"/>
        </w:rPr>
        <w:t>In the normal course of business, Aluminum Extrusions enters into fixed-price forward sales contracts with certain customers for the future sale of fixed quantities of aluminum extrusions at scheduled intervals. In order to hedge margin</w:t>
      </w:r>
    </w:p>
    <w:p>
      <w:pPr>
        <w:spacing w:after="0" w:line="200" w:lineRule="exact"/>
        <w:rPr>
          <w:sz w:val="20"/>
          <w:szCs w:val="20"/>
          <w:color w:val="auto"/>
        </w:rPr>
      </w:pPr>
    </w:p>
    <w:p>
      <w:pPr>
        <w:spacing w:after="0" w:line="2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7232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3"/>
          </w:cols>
          <w:pgMar w:left="317" w:top="911" w:right="319" w:bottom="1440" w:gutter="0" w:footer="0" w:header="0"/>
        </w:sectPr>
      </w:pPr>
    </w:p>
    <w:bookmarkStart w:id="15" w:name="page16"/>
    <w:bookmarkEnd w:id="15"/>
    <w:p>
      <w:pPr>
        <w:ind w:right="60"/>
        <w:spacing w:after="0" w:line="258" w:lineRule="auto"/>
        <w:rPr>
          <w:sz w:val="20"/>
          <w:szCs w:val="20"/>
          <w:color w:val="auto"/>
        </w:rPr>
      </w:pPr>
      <w:r>
        <w:rPr>
          <w:rFonts w:ascii="Arial" w:cs="Arial" w:eastAsia="Arial" w:hAnsi="Arial"/>
          <w:sz w:val="16"/>
          <w:szCs w:val="16"/>
          <w:color w:val="auto"/>
        </w:rPr>
        <w:t>exposure created from the fixing of future sales prices relative to volatile raw material (aluminum) costs, Aluminum Extrusions enters into a combination of forward purchase commitments and futures contracts to acquire or hedge aluminum, based on the scheduled purchases for the firm sales commitments. The fixed-price firm sales commitments and related hedging instruments generally have durations of not more than 12 months. The notional amount of aluminum futures contracts that hedged future purchases of aluminum to meet fixed-price forward sales contract obligations was $18.7 million (13.9 million pounds of aluminum) at September 30, 2021 and $12.1 million (13.0 million pounds of aluminum) at December 31, 2020.</w:t>
      </w:r>
    </w:p>
    <w:p>
      <w:pPr>
        <w:spacing w:after="0" w:line="49" w:lineRule="exact"/>
        <w:rPr>
          <w:sz w:val="20"/>
          <w:szCs w:val="20"/>
          <w:color w:val="auto"/>
        </w:rPr>
      </w:pPr>
    </w:p>
    <w:p>
      <w:pPr>
        <w:ind w:right="240" w:firstLine="362"/>
        <w:spacing w:after="0" w:line="275" w:lineRule="auto"/>
        <w:rPr>
          <w:sz w:val="20"/>
          <w:szCs w:val="20"/>
          <w:color w:val="auto"/>
        </w:rPr>
      </w:pPr>
      <w:r>
        <w:rPr>
          <w:rFonts w:ascii="Arial" w:cs="Arial" w:eastAsia="Arial" w:hAnsi="Arial"/>
          <w:sz w:val="16"/>
          <w:szCs w:val="16"/>
          <w:color w:val="auto"/>
        </w:rPr>
        <w:t>The table below summarizes the location and gross amounts of aluminum futures contract fair values (Level 2) in the consolidated balance sheets as of September 30, 2021 and December 31, 2020:</w:t>
      </w:r>
    </w:p>
    <w:tbl>
      <w:tblPr>
        <w:tblLayout w:type="fixed"/>
        <w:tblInd w:w="0" w:type="dxa"/>
        <w:tblCellMar>
          <w:top w:w="0" w:type="dxa"/>
          <w:left w:w="0" w:type="dxa"/>
          <w:bottom w:w="0" w:type="dxa"/>
          <w:right w:w="0" w:type="dxa"/>
        </w:tblCellMar>
      </w:tblPr>
      <w:tr>
        <w:trPr>
          <w:trHeight w:val="210"/>
        </w:trPr>
        <w:tc>
          <w:tcPr>
            <w:tcW w:w="4660" w:type="dxa"/>
            <w:vAlign w:val="bottom"/>
            <w:tcBorders>
              <w:top w:val="single" w:sz="8" w:color="auto"/>
            </w:tcBorders>
          </w:tcPr>
          <w:p>
            <w:pPr>
              <w:spacing w:after="0"/>
              <w:rPr>
                <w:sz w:val="18"/>
                <w:szCs w:val="18"/>
                <w:color w:val="auto"/>
              </w:rPr>
            </w:pPr>
          </w:p>
        </w:tc>
        <w:tc>
          <w:tcPr>
            <w:tcW w:w="3340" w:type="dxa"/>
            <w:vAlign w:val="bottom"/>
            <w:tcBorders>
              <w:top w:val="single" w:sz="8" w:color="auto"/>
            </w:tcBorders>
            <w:gridSpan w:val="4"/>
          </w:tcPr>
          <w:p>
            <w:pPr>
              <w:ind w:left="1160"/>
              <w:spacing w:after="0"/>
              <w:rPr>
                <w:sz w:val="20"/>
                <w:szCs w:val="20"/>
                <w:color w:val="auto"/>
              </w:rPr>
            </w:pPr>
            <w:r>
              <w:rPr>
                <w:rFonts w:ascii="Arial" w:cs="Arial" w:eastAsia="Arial" w:hAnsi="Arial"/>
                <w:sz w:val="16"/>
                <w:szCs w:val="16"/>
                <w:color w:val="auto"/>
              </w:rPr>
              <w:t>September 30, 2021</w:t>
            </w:r>
          </w:p>
        </w:tc>
        <w:tc>
          <w:tcPr>
            <w:tcW w:w="3260" w:type="dxa"/>
            <w:vAlign w:val="bottom"/>
            <w:tcBorders>
              <w:top w:val="single" w:sz="8" w:color="auto"/>
            </w:tcBorders>
            <w:gridSpan w:val="3"/>
          </w:tcPr>
          <w:p>
            <w:pPr>
              <w:jc w:val="right"/>
              <w:ind w:right="740"/>
              <w:spacing w:after="0"/>
              <w:rPr>
                <w:sz w:val="20"/>
                <w:szCs w:val="20"/>
                <w:color w:val="auto"/>
              </w:rPr>
            </w:pPr>
            <w:r>
              <w:rPr>
                <w:rFonts w:ascii="Arial" w:cs="Arial" w:eastAsia="Arial" w:hAnsi="Arial"/>
                <w:sz w:val="16"/>
                <w:szCs w:val="16"/>
                <w:color w:val="auto"/>
              </w:rPr>
              <w:t>December 31, 2020</w:t>
            </w:r>
          </w:p>
        </w:tc>
        <w:tc>
          <w:tcPr>
            <w:tcW w:w="0" w:type="dxa"/>
            <w:vAlign w:val="bottom"/>
          </w:tcPr>
          <w:p>
            <w:pPr>
              <w:spacing w:after="0"/>
              <w:rPr>
                <w:sz w:val="1"/>
                <w:szCs w:val="1"/>
                <w:color w:val="auto"/>
              </w:rPr>
            </w:pPr>
          </w:p>
        </w:tc>
      </w:tr>
      <w:tr>
        <w:trPr>
          <w:trHeight w:val="149"/>
        </w:trPr>
        <w:tc>
          <w:tcPr>
            <w:tcW w:w="4660" w:type="dxa"/>
            <w:vAlign w:val="bottom"/>
            <w:vMerge w:val="restart"/>
          </w:tcPr>
          <w:p>
            <w:pPr>
              <w:ind w:left="380"/>
              <w:spacing w:after="0"/>
              <w:rPr>
                <w:sz w:val="20"/>
                <w:szCs w:val="20"/>
                <w:color w:val="auto"/>
              </w:rPr>
            </w:pPr>
            <w:r>
              <w:rPr>
                <w:rFonts w:ascii="Arial" w:cs="Arial" w:eastAsia="Arial" w:hAnsi="Arial"/>
                <w:sz w:val="16"/>
                <w:szCs w:val="16"/>
                <w:color w:val="auto"/>
              </w:rPr>
              <w:t>(In thousands)</w:t>
            </w:r>
          </w:p>
        </w:tc>
        <w:tc>
          <w:tcPr>
            <w:tcW w:w="2040" w:type="dxa"/>
            <w:vAlign w:val="bottom"/>
            <w:tcBorders>
              <w:top w:val="single" w:sz="8" w:color="auto"/>
            </w:tcBorders>
          </w:tcPr>
          <w:p>
            <w:pPr>
              <w:jc w:val="center"/>
              <w:ind w:left="40"/>
              <w:spacing w:after="0" w:line="149" w:lineRule="exact"/>
              <w:rPr>
                <w:sz w:val="20"/>
                <w:szCs w:val="20"/>
                <w:color w:val="auto"/>
              </w:rPr>
            </w:pPr>
            <w:r>
              <w:rPr>
                <w:rFonts w:ascii="Arial" w:cs="Arial" w:eastAsia="Arial" w:hAnsi="Arial"/>
                <w:sz w:val="16"/>
                <w:szCs w:val="16"/>
                <w:color w:val="auto"/>
                <w:w w:val="88"/>
              </w:rPr>
              <w:t>Balance Sheet</w:t>
            </w:r>
          </w:p>
        </w:tc>
        <w:tc>
          <w:tcPr>
            <w:tcW w:w="3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80"/>
              <w:spacing w:after="0" w:line="149" w:lineRule="exact"/>
              <w:rPr>
                <w:sz w:val="20"/>
                <w:szCs w:val="20"/>
                <w:color w:val="auto"/>
              </w:rPr>
            </w:pPr>
            <w:r>
              <w:rPr>
                <w:rFonts w:ascii="Arial" w:cs="Arial" w:eastAsia="Arial" w:hAnsi="Arial"/>
                <w:sz w:val="16"/>
                <w:szCs w:val="16"/>
                <w:color w:val="auto"/>
              </w:rPr>
              <w:t>Fair</w:t>
            </w:r>
          </w:p>
        </w:tc>
        <w:tc>
          <w:tcPr>
            <w:tcW w:w="100" w:type="dxa"/>
            <w:vAlign w:val="bottom"/>
          </w:tcPr>
          <w:p>
            <w:pPr>
              <w:spacing w:after="0"/>
              <w:rPr>
                <w:sz w:val="12"/>
                <w:szCs w:val="12"/>
                <w:color w:val="auto"/>
              </w:rPr>
            </w:pPr>
          </w:p>
        </w:tc>
        <w:tc>
          <w:tcPr>
            <w:tcW w:w="2040" w:type="dxa"/>
            <w:vAlign w:val="bottom"/>
            <w:tcBorders>
              <w:top w:val="single" w:sz="8" w:color="auto"/>
            </w:tcBorders>
          </w:tcPr>
          <w:p>
            <w:pPr>
              <w:jc w:val="center"/>
              <w:ind w:left="40"/>
              <w:spacing w:after="0" w:line="149" w:lineRule="exact"/>
              <w:rPr>
                <w:sz w:val="20"/>
                <w:szCs w:val="20"/>
                <w:color w:val="auto"/>
              </w:rPr>
            </w:pPr>
            <w:r>
              <w:rPr>
                <w:rFonts w:ascii="Arial" w:cs="Arial" w:eastAsia="Arial" w:hAnsi="Arial"/>
                <w:sz w:val="16"/>
                <w:szCs w:val="16"/>
                <w:color w:val="auto"/>
                <w:w w:val="88"/>
              </w:rPr>
              <w:t>Balance Sheet</w:t>
            </w:r>
          </w:p>
        </w:tc>
        <w:tc>
          <w:tcPr>
            <w:tcW w:w="3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80"/>
              <w:spacing w:after="0" w:line="149" w:lineRule="exact"/>
              <w:rPr>
                <w:sz w:val="20"/>
                <w:szCs w:val="20"/>
                <w:color w:val="auto"/>
              </w:rPr>
            </w:pPr>
            <w:r>
              <w:rPr>
                <w:rFonts w:ascii="Arial" w:cs="Arial" w:eastAsia="Arial" w:hAnsi="Arial"/>
                <w:sz w:val="16"/>
                <w:szCs w:val="16"/>
                <w:color w:val="auto"/>
              </w:rPr>
              <w:t>Fair</w:t>
            </w:r>
          </w:p>
        </w:tc>
        <w:tc>
          <w:tcPr>
            <w:tcW w:w="0" w:type="dxa"/>
            <w:vAlign w:val="bottom"/>
          </w:tcPr>
          <w:p>
            <w:pPr>
              <w:spacing w:after="0"/>
              <w:rPr>
                <w:sz w:val="1"/>
                <w:szCs w:val="1"/>
                <w:color w:val="auto"/>
              </w:rPr>
            </w:pPr>
          </w:p>
        </w:tc>
      </w:tr>
      <w:tr>
        <w:trPr>
          <w:trHeight w:val="205"/>
        </w:trPr>
        <w:tc>
          <w:tcPr>
            <w:tcW w:w="4660" w:type="dxa"/>
            <w:vAlign w:val="bottom"/>
            <w:tcBorders>
              <w:bottom w:val="single" w:sz="8" w:color="auto"/>
            </w:tcBorders>
            <w:vMerge w:val="continue"/>
          </w:tcPr>
          <w:p>
            <w:pPr>
              <w:spacing w:after="0"/>
              <w:rPr>
                <w:sz w:val="17"/>
                <w:szCs w:val="17"/>
                <w:color w:val="auto"/>
              </w:rPr>
            </w:pPr>
          </w:p>
        </w:tc>
        <w:tc>
          <w:tcPr>
            <w:tcW w:w="204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color w:val="auto"/>
                <w:w w:val="93"/>
              </w:rPr>
              <w:t>Account</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Value</w:t>
            </w:r>
          </w:p>
        </w:tc>
        <w:tc>
          <w:tcPr>
            <w:tcW w:w="204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color w:val="auto"/>
                <w:w w:val="93"/>
              </w:rPr>
              <w:t>Account</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w w:val="87"/>
              </w:rPr>
              <w:t>Value</w:t>
            </w:r>
          </w:p>
        </w:tc>
        <w:tc>
          <w:tcPr>
            <w:tcW w:w="0" w:type="dxa"/>
            <w:vAlign w:val="bottom"/>
          </w:tcPr>
          <w:p>
            <w:pPr>
              <w:spacing w:after="0"/>
              <w:rPr>
                <w:sz w:val="1"/>
                <w:szCs w:val="1"/>
                <w:color w:val="auto"/>
              </w:rPr>
            </w:pPr>
          </w:p>
        </w:tc>
      </w:tr>
      <w:tr>
        <w:trPr>
          <w:trHeight w:val="197"/>
        </w:trPr>
        <w:tc>
          <w:tcPr>
            <w:tcW w:w="4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Derivatives Designated as Hedging Instruments</w:t>
            </w:r>
          </w:p>
        </w:tc>
        <w:tc>
          <w:tcPr>
            <w:tcW w:w="2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660" w:type="dxa"/>
            <w:vAlign w:val="bottom"/>
          </w:tcPr>
          <w:p>
            <w:pPr>
              <w:ind w:left="20"/>
              <w:spacing w:after="0" w:line="157" w:lineRule="exact"/>
              <w:rPr>
                <w:sz w:val="20"/>
                <w:szCs w:val="20"/>
                <w:color w:val="auto"/>
              </w:rPr>
            </w:pPr>
            <w:r>
              <w:rPr>
                <w:rFonts w:ascii="Arial" w:cs="Arial" w:eastAsia="Arial" w:hAnsi="Arial"/>
                <w:sz w:val="16"/>
                <w:szCs w:val="16"/>
                <w:color w:val="auto"/>
              </w:rPr>
              <w:t>Asset derivatives:</w:t>
            </w:r>
          </w:p>
        </w:tc>
        <w:tc>
          <w:tcPr>
            <w:tcW w:w="2040" w:type="dxa"/>
            <w:vAlign w:val="bottom"/>
          </w:tcPr>
          <w:p>
            <w:pPr>
              <w:jc w:val="center"/>
              <w:ind w:left="60"/>
              <w:spacing w:after="0" w:line="157" w:lineRule="exact"/>
              <w:rPr>
                <w:sz w:val="20"/>
                <w:szCs w:val="20"/>
                <w:color w:val="auto"/>
              </w:rPr>
            </w:pPr>
            <w:r>
              <w:rPr>
                <w:rFonts w:ascii="Arial" w:cs="Arial" w:eastAsia="Arial" w:hAnsi="Arial"/>
                <w:sz w:val="16"/>
                <w:szCs w:val="16"/>
                <w:color w:val="auto"/>
                <w:w w:val="86"/>
              </w:rPr>
              <w:t>Prepaid expenses and</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3,996</w:t>
            </w:r>
          </w:p>
        </w:tc>
        <w:tc>
          <w:tcPr>
            <w:tcW w:w="100" w:type="dxa"/>
            <w:vAlign w:val="bottom"/>
          </w:tcPr>
          <w:p>
            <w:pPr>
              <w:spacing w:after="0"/>
              <w:rPr>
                <w:sz w:val="13"/>
                <w:szCs w:val="13"/>
                <w:color w:val="auto"/>
              </w:rPr>
            </w:pPr>
          </w:p>
        </w:tc>
        <w:tc>
          <w:tcPr>
            <w:tcW w:w="2040" w:type="dxa"/>
            <w:vAlign w:val="bottom"/>
          </w:tcPr>
          <w:p>
            <w:pPr>
              <w:jc w:val="center"/>
              <w:ind w:left="60"/>
              <w:spacing w:after="0" w:line="157" w:lineRule="exact"/>
              <w:rPr>
                <w:sz w:val="20"/>
                <w:szCs w:val="20"/>
                <w:color w:val="auto"/>
              </w:rPr>
            </w:pPr>
            <w:r>
              <w:rPr>
                <w:rFonts w:ascii="Arial" w:cs="Arial" w:eastAsia="Arial" w:hAnsi="Arial"/>
                <w:sz w:val="16"/>
                <w:szCs w:val="16"/>
                <w:color w:val="auto"/>
                <w:w w:val="86"/>
              </w:rPr>
              <w:t>Prepaid expenses and</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1,560</w:t>
            </w:r>
          </w:p>
        </w:tc>
        <w:tc>
          <w:tcPr>
            <w:tcW w:w="0" w:type="dxa"/>
            <w:vAlign w:val="bottom"/>
          </w:tcPr>
          <w:p>
            <w:pPr>
              <w:spacing w:after="0"/>
              <w:rPr>
                <w:sz w:val="1"/>
                <w:szCs w:val="1"/>
                <w:color w:val="auto"/>
              </w:rPr>
            </w:pPr>
          </w:p>
        </w:tc>
      </w:tr>
      <w:tr>
        <w:trPr>
          <w:trHeight w:val="205"/>
        </w:trPr>
        <w:tc>
          <w:tcPr>
            <w:tcW w:w="4660" w:type="dxa"/>
            <w:vAlign w:val="bottom"/>
          </w:tcPr>
          <w:p>
            <w:pPr>
              <w:ind w:left="660"/>
              <w:spacing w:after="0"/>
              <w:rPr>
                <w:sz w:val="20"/>
                <w:szCs w:val="20"/>
                <w:color w:val="auto"/>
              </w:rPr>
            </w:pPr>
            <w:r>
              <w:rPr>
                <w:rFonts w:ascii="Arial" w:cs="Arial" w:eastAsia="Arial" w:hAnsi="Arial"/>
                <w:sz w:val="16"/>
                <w:szCs w:val="16"/>
                <w:color w:val="auto"/>
              </w:rPr>
              <w:t>Aluminum futures contracts</w:t>
            </w:r>
          </w:p>
        </w:tc>
        <w:tc>
          <w:tcPr>
            <w:tcW w:w="2040" w:type="dxa"/>
            <w:vAlign w:val="bottom"/>
          </w:tcPr>
          <w:p>
            <w:pPr>
              <w:jc w:val="center"/>
              <w:ind w:right="160"/>
              <w:spacing w:after="0"/>
              <w:rPr>
                <w:sz w:val="20"/>
                <w:szCs w:val="20"/>
                <w:color w:val="auto"/>
              </w:rPr>
            </w:pPr>
            <w:r>
              <w:rPr>
                <w:rFonts w:ascii="Arial" w:cs="Arial" w:eastAsia="Arial" w:hAnsi="Arial"/>
                <w:sz w:val="16"/>
                <w:szCs w:val="16"/>
                <w:color w:val="auto"/>
                <w:w w:val="87"/>
              </w:rPr>
              <w:t>other</w:t>
            </w:r>
          </w:p>
        </w:tc>
        <w:tc>
          <w:tcPr>
            <w:tcW w:w="3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ind w:right="140"/>
              <w:spacing w:after="0"/>
              <w:rPr>
                <w:sz w:val="20"/>
                <w:szCs w:val="20"/>
                <w:color w:val="auto"/>
              </w:rPr>
            </w:pPr>
            <w:r>
              <w:rPr>
                <w:rFonts w:ascii="Arial" w:cs="Arial" w:eastAsia="Arial" w:hAnsi="Arial"/>
                <w:sz w:val="16"/>
                <w:szCs w:val="16"/>
                <w:color w:val="auto"/>
                <w:w w:val="93"/>
              </w:rPr>
              <w:t>other</w:t>
            </w:r>
          </w:p>
        </w:tc>
        <w:tc>
          <w:tcPr>
            <w:tcW w:w="3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66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Liability derivatives:</w:t>
            </w:r>
          </w:p>
        </w:tc>
        <w:tc>
          <w:tcPr>
            <w:tcW w:w="2040" w:type="dxa"/>
            <w:vAlign w:val="bottom"/>
            <w:vMerge w:val="restart"/>
            <w:shd w:val="clear" w:color="auto" w:fill="CCEEFF"/>
          </w:tcPr>
          <w:p>
            <w:pPr>
              <w:jc w:val="center"/>
              <w:ind w:left="40"/>
              <w:spacing w:after="0"/>
              <w:rPr>
                <w:sz w:val="20"/>
                <w:szCs w:val="20"/>
                <w:color w:val="auto"/>
              </w:rPr>
            </w:pPr>
            <w:r>
              <w:rPr>
                <w:rFonts w:ascii="Arial" w:cs="Arial" w:eastAsia="Arial" w:hAnsi="Arial"/>
                <w:sz w:val="16"/>
                <w:szCs w:val="16"/>
                <w:color w:val="auto"/>
                <w:w w:val="88"/>
              </w:rPr>
              <w:t>Accrued expenses</w:t>
            </w:r>
          </w:p>
        </w:tc>
        <w:tc>
          <w:tcPr>
            <w:tcW w:w="3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3"/>
                <w:szCs w:val="13"/>
                <w:color w:val="auto"/>
              </w:rPr>
            </w:pPr>
          </w:p>
        </w:tc>
        <w:tc>
          <w:tcPr>
            <w:tcW w:w="2040" w:type="dxa"/>
            <w:vAlign w:val="bottom"/>
            <w:vMerge w:val="restart"/>
            <w:shd w:val="clear" w:color="auto" w:fill="CCEEFF"/>
          </w:tcPr>
          <w:p>
            <w:pPr>
              <w:jc w:val="center"/>
              <w:ind w:left="40"/>
              <w:spacing w:after="0"/>
              <w:rPr>
                <w:sz w:val="20"/>
                <w:szCs w:val="20"/>
                <w:color w:val="auto"/>
              </w:rPr>
            </w:pPr>
            <w:r>
              <w:rPr>
                <w:rFonts w:ascii="Arial" w:cs="Arial" w:eastAsia="Arial" w:hAnsi="Arial"/>
                <w:sz w:val="16"/>
                <w:szCs w:val="16"/>
                <w:color w:val="auto"/>
                <w:w w:val="88"/>
              </w:rPr>
              <w:t>Accrued expenses</w:t>
            </w:r>
          </w:p>
        </w:tc>
        <w:tc>
          <w:tcPr>
            <w:tcW w:w="3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5"/>
        </w:trPr>
        <w:tc>
          <w:tcPr>
            <w:tcW w:w="46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Aluminum futures contracts</w:t>
            </w:r>
          </w:p>
        </w:tc>
        <w:tc>
          <w:tcPr>
            <w:tcW w:w="2040" w:type="dxa"/>
            <w:vAlign w:val="bottom"/>
            <w:tcBorders>
              <w:bottom w:val="single" w:sz="8" w:color="auto"/>
            </w:tcBorders>
            <w:vMerge w:val="continue"/>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vMerge w:val="continue"/>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asset</w:t>
            </w:r>
          </w:p>
        </w:tc>
        <w:tc>
          <w:tcPr>
            <w:tcW w:w="20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3,995</w:t>
            </w:r>
          </w:p>
        </w:tc>
        <w:tc>
          <w:tcPr>
            <w:tcW w:w="1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1,538</w:t>
            </w:r>
          </w:p>
        </w:tc>
        <w:tc>
          <w:tcPr>
            <w:tcW w:w="0" w:type="dxa"/>
            <w:vAlign w:val="bottom"/>
          </w:tcPr>
          <w:p>
            <w:pPr>
              <w:spacing w:after="0"/>
              <w:rPr>
                <w:sz w:val="1"/>
                <w:szCs w:val="1"/>
                <w:color w:val="auto"/>
              </w:rPr>
            </w:pPr>
          </w:p>
        </w:tc>
      </w:tr>
    </w:tbl>
    <w:p>
      <w:pPr>
        <w:spacing w:after="0" w:line="374" w:lineRule="exact"/>
        <w:rPr>
          <w:sz w:val="20"/>
          <w:szCs w:val="20"/>
          <w:color w:val="auto"/>
        </w:rPr>
      </w:pPr>
    </w:p>
    <w:p>
      <w:pPr>
        <w:ind w:right="120" w:firstLine="362"/>
        <w:spacing w:after="0" w:line="314" w:lineRule="auto"/>
        <w:rPr>
          <w:sz w:val="20"/>
          <w:szCs w:val="20"/>
          <w:color w:val="auto"/>
        </w:rPr>
      </w:pPr>
      <w:r>
        <w:rPr>
          <w:rFonts w:ascii="Arial" w:cs="Arial" w:eastAsia="Arial" w:hAnsi="Arial"/>
          <w:sz w:val="15"/>
          <w:szCs w:val="15"/>
          <w:color w:val="auto"/>
        </w:rPr>
        <w:t>In the event that a counterparty to an aluminum fixed-price forward sales contract chooses not to take delivery of its aluminum extrusions, the customer is contractually obligated to compensate Aluminum Extrusions for any losses on the related aluminum futures and/or forward contracts through the date of cancellation.</w:t>
      </w:r>
    </w:p>
    <w:p>
      <w:pPr>
        <w:spacing w:after="0" w:line="7" w:lineRule="exact"/>
        <w:rPr>
          <w:sz w:val="20"/>
          <w:szCs w:val="20"/>
          <w:color w:val="auto"/>
        </w:rPr>
      </w:pPr>
    </w:p>
    <w:p>
      <w:pPr>
        <w:ind w:right="40" w:firstLine="362"/>
        <w:spacing w:after="0" w:line="261" w:lineRule="auto"/>
        <w:rPr>
          <w:sz w:val="20"/>
          <w:szCs w:val="20"/>
          <w:color w:val="auto"/>
        </w:rPr>
      </w:pPr>
      <w:r>
        <w:rPr>
          <w:rFonts w:ascii="Arial" w:cs="Arial" w:eastAsia="Arial" w:hAnsi="Arial"/>
          <w:sz w:val="16"/>
          <w:szCs w:val="16"/>
          <w:color w:val="auto"/>
        </w:rPr>
        <w:t>The Company's earnings are exposed to foreign currency exchange risk primarily through the translation of the financial statements of subsidiaries that have a functional currency other than the U.S. Dollar. The Company estimates that the net mismatch translation exposure for the Flexible Packaging Film's business unit in Brazil (“Terphane Ltda.”) of its sales and raw materials quoted or priced in U.S. Dollars and its variable conversion, fixed conversion and sales, general and administrative costs (before depreciation and amortization) quoted or priced in Brazilian Real ("R$") is annual net costs of R$150 million.</w:t>
      </w:r>
    </w:p>
    <w:p>
      <w:pPr>
        <w:spacing w:after="0" w:line="5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Terphane Ltda. has the following outstanding foreign exchange average forward rate contracts to purchase Brazilian Real and sell U.S. Dollars: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280" w:type="dxa"/>
            <w:vAlign w:val="bottom"/>
            <w:tcBorders>
              <w:top w:val="single" w:sz="8" w:color="auto"/>
            </w:tcBorders>
            <w:vMerge w:val="restart"/>
          </w:tcPr>
          <w:p>
            <w:pPr>
              <w:ind w:left="540"/>
              <w:spacing w:after="0"/>
              <w:rPr>
                <w:sz w:val="20"/>
                <w:szCs w:val="20"/>
                <w:color w:val="auto"/>
              </w:rPr>
            </w:pPr>
            <w:r>
              <w:rPr>
                <w:rFonts w:ascii="Arial" w:cs="Arial" w:eastAsia="Arial" w:hAnsi="Arial"/>
                <w:sz w:val="16"/>
                <w:szCs w:val="16"/>
                <w:color w:val="auto"/>
              </w:rPr>
              <w:t>USD Notional Amount</w:t>
            </w:r>
          </w:p>
        </w:tc>
        <w:tc>
          <w:tcPr>
            <w:tcW w:w="2340" w:type="dxa"/>
            <w:vAlign w:val="bottom"/>
            <w:tcBorders>
              <w:top w:val="single" w:sz="8" w:color="auto"/>
            </w:tcBorders>
            <w:vMerge w:val="restart"/>
          </w:tcPr>
          <w:p>
            <w:pPr>
              <w:jc w:val="center"/>
              <w:ind w:left="40"/>
              <w:spacing w:after="0"/>
              <w:rPr>
                <w:sz w:val="20"/>
                <w:szCs w:val="20"/>
                <w:color w:val="auto"/>
              </w:rPr>
            </w:pPr>
            <w:r>
              <w:rPr>
                <w:rFonts w:ascii="Arial" w:cs="Arial" w:eastAsia="Arial" w:hAnsi="Arial"/>
                <w:sz w:val="16"/>
                <w:szCs w:val="16"/>
                <w:color w:val="auto"/>
                <w:w w:val="90"/>
              </w:rPr>
              <w:t>Average Forward Rate</w:t>
            </w:r>
          </w:p>
        </w:tc>
        <w:tc>
          <w:tcPr>
            <w:tcW w:w="234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R$ Equivalent Amount</w:t>
            </w:r>
          </w:p>
        </w:tc>
        <w:tc>
          <w:tcPr>
            <w:tcW w:w="1960" w:type="dxa"/>
            <w:vAlign w:val="bottom"/>
            <w:tcBorders>
              <w:top w:val="single" w:sz="8" w:color="auto"/>
            </w:tcBorders>
          </w:tcPr>
          <w:p>
            <w:pPr>
              <w:spacing w:after="0"/>
              <w:rPr>
                <w:sz w:val="14"/>
                <w:szCs w:val="14"/>
                <w:color w:val="auto"/>
              </w:rPr>
            </w:pPr>
          </w:p>
        </w:tc>
        <w:tc>
          <w:tcPr>
            <w:tcW w:w="2260" w:type="dxa"/>
            <w:vAlign w:val="bottom"/>
            <w:tcBorders>
              <w:top w:val="single" w:sz="8" w:color="auto"/>
            </w:tcBorders>
          </w:tcPr>
          <w:p>
            <w:pPr>
              <w:jc w:val="center"/>
              <w:ind w:left="300"/>
              <w:spacing w:after="0" w:line="169" w:lineRule="exact"/>
              <w:rPr>
                <w:sz w:val="20"/>
                <w:szCs w:val="20"/>
                <w:color w:val="auto"/>
              </w:rPr>
            </w:pPr>
            <w:r>
              <w:rPr>
                <w:rFonts w:ascii="Arial" w:cs="Arial" w:eastAsia="Arial" w:hAnsi="Arial"/>
                <w:sz w:val="16"/>
                <w:szCs w:val="16"/>
                <w:color w:val="auto"/>
                <w:w w:val="90"/>
              </w:rPr>
              <w:t>Estimated % of Terphane</w:t>
            </w:r>
          </w:p>
        </w:tc>
        <w:tc>
          <w:tcPr>
            <w:tcW w:w="0" w:type="dxa"/>
            <w:vAlign w:val="bottom"/>
          </w:tcPr>
          <w:p>
            <w:pPr>
              <w:spacing w:after="0"/>
              <w:rPr>
                <w:sz w:val="1"/>
                <w:szCs w:val="1"/>
                <w:color w:val="auto"/>
              </w:rPr>
            </w:pPr>
          </w:p>
        </w:tc>
      </w:tr>
      <w:tr>
        <w:trPr>
          <w:trHeight w:val="157"/>
        </w:trPr>
        <w:tc>
          <w:tcPr>
            <w:tcW w:w="2280" w:type="dxa"/>
            <w:vAlign w:val="bottom"/>
            <w:vMerge w:val="continue"/>
          </w:tcPr>
          <w:p>
            <w:pPr>
              <w:spacing w:after="0"/>
              <w:rPr>
                <w:sz w:val="13"/>
                <w:szCs w:val="13"/>
                <w:color w:val="auto"/>
              </w:rPr>
            </w:pPr>
          </w:p>
        </w:tc>
        <w:tc>
          <w:tcPr>
            <w:tcW w:w="2340" w:type="dxa"/>
            <w:vAlign w:val="bottom"/>
            <w:vMerge w:val="continue"/>
          </w:tcPr>
          <w:p>
            <w:pPr>
              <w:spacing w:after="0"/>
              <w:rPr>
                <w:sz w:val="13"/>
                <w:szCs w:val="13"/>
                <w:color w:val="auto"/>
              </w:rPr>
            </w:pPr>
          </w:p>
        </w:tc>
        <w:tc>
          <w:tcPr>
            <w:tcW w:w="2340" w:type="dxa"/>
            <w:vAlign w:val="bottom"/>
            <w:vMerge w:val="continue"/>
          </w:tcPr>
          <w:p>
            <w:pPr>
              <w:spacing w:after="0"/>
              <w:rPr>
                <w:sz w:val="13"/>
                <w:szCs w:val="13"/>
                <w:color w:val="auto"/>
              </w:rPr>
            </w:pPr>
          </w:p>
        </w:tc>
        <w:tc>
          <w:tcPr>
            <w:tcW w:w="1960" w:type="dxa"/>
            <w:vAlign w:val="bottom"/>
            <w:vMerge w:val="restart"/>
          </w:tcPr>
          <w:p>
            <w:pPr>
              <w:jc w:val="center"/>
              <w:ind w:left="20"/>
              <w:spacing w:after="0"/>
              <w:rPr>
                <w:sz w:val="20"/>
                <w:szCs w:val="20"/>
                <w:color w:val="auto"/>
              </w:rPr>
            </w:pPr>
            <w:r>
              <w:rPr>
                <w:rFonts w:ascii="Arial" w:cs="Arial" w:eastAsia="Arial" w:hAnsi="Arial"/>
                <w:sz w:val="16"/>
                <w:szCs w:val="16"/>
                <w:color w:val="auto"/>
                <w:w w:val="96"/>
              </w:rPr>
              <w:t>Applicable Month</w:t>
            </w:r>
          </w:p>
        </w:tc>
        <w:tc>
          <w:tcPr>
            <w:tcW w:w="2260" w:type="dxa"/>
            <w:vAlign w:val="bottom"/>
          </w:tcPr>
          <w:p>
            <w:pPr>
              <w:jc w:val="center"/>
              <w:spacing w:after="0" w:line="157" w:lineRule="exact"/>
              <w:rPr>
                <w:sz w:val="20"/>
                <w:szCs w:val="20"/>
                <w:color w:val="auto"/>
              </w:rPr>
            </w:pPr>
            <w:r>
              <w:rPr>
                <w:rFonts w:ascii="Arial" w:cs="Arial" w:eastAsia="Arial" w:hAnsi="Arial"/>
                <w:sz w:val="16"/>
                <w:szCs w:val="16"/>
                <w:color w:val="auto"/>
                <w:w w:val="91"/>
              </w:rPr>
              <w:t>Ltda. R$ Operating Cost</w:t>
            </w:r>
          </w:p>
        </w:tc>
        <w:tc>
          <w:tcPr>
            <w:tcW w:w="0" w:type="dxa"/>
            <w:vAlign w:val="bottom"/>
          </w:tcPr>
          <w:p>
            <w:pPr>
              <w:spacing w:after="0"/>
              <w:rPr>
                <w:sz w:val="1"/>
                <w:szCs w:val="1"/>
                <w:color w:val="auto"/>
              </w:rPr>
            </w:pPr>
          </w:p>
        </w:tc>
      </w:tr>
      <w:tr>
        <w:trPr>
          <w:trHeight w:val="205"/>
        </w:trPr>
        <w:tc>
          <w:tcPr>
            <w:tcW w:w="228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(000s)</w:t>
            </w:r>
          </w:p>
        </w:tc>
        <w:tc>
          <w:tcPr>
            <w:tcW w:w="234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Contracted on USD/BRL</w:t>
            </w:r>
          </w:p>
        </w:tc>
        <w:tc>
          <w:tcPr>
            <w:tcW w:w="234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(000s)</w:t>
            </w:r>
          </w:p>
        </w:tc>
        <w:tc>
          <w:tcPr>
            <w:tcW w:w="1960" w:type="dxa"/>
            <w:vAlign w:val="bottom"/>
            <w:tcBorders>
              <w:bottom w:val="single" w:sz="8" w:color="auto"/>
            </w:tcBorders>
            <w:vMerge w:val="continue"/>
          </w:tcPr>
          <w:p>
            <w:pPr>
              <w:spacing w:after="0"/>
              <w:rPr>
                <w:sz w:val="17"/>
                <w:szCs w:val="17"/>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Exposure Hedged</w:t>
            </w:r>
          </w:p>
        </w:tc>
        <w:tc>
          <w:tcPr>
            <w:tcW w:w="0" w:type="dxa"/>
            <w:vAlign w:val="bottom"/>
          </w:tcPr>
          <w:p>
            <w:pPr>
              <w:spacing w:after="0"/>
              <w:rPr>
                <w:sz w:val="1"/>
                <w:szCs w:val="1"/>
                <w:color w:val="auto"/>
              </w:rPr>
            </w:pPr>
          </w:p>
        </w:tc>
      </w:tr>
      <w:tr>
        <w:trPr>
          <w:trHeight w:val="197"/>
        </w:trPr>
        <w:tc>
          <w:tcPr>
            <w:tcW w:w="228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89"/>
              </w:rPr>
              <w:t>$1,400</w:t>
            </w:r>
          </w:p>
        </w:tc>
        <w:tc>
          <w:tcPr>
            <w:tcW w:w="2340" w:type="dxa"/>
            <w:vAlign w:val="bottom"/>
            <w:shd w:val="clear" w:color="auto" w:fill="CCEEFF"/>
          </w:tcPr>
          <w:p>
            <w:pPr>
              <w:jc w:val="center"/>
              <w:ind w:left="60"/>
              <w:spacing w:after="0"/>
              <w:rPr>
                <w:sz w:val="20"/>
                <w:szCs w:val="20"/>
                <w:color w:val="auto"/>
              </w:rPr>
            </w:pPr>
            <w:r>
              <w:rPr>
                <w:rFonts w:ascii="Arial" w:cs="Arial" w:eastAsia="Arial" w:hAnsi="Arial"/>
                <w:sz w:val="16"/>
                <w:szCs w:val="16"/>
                <w:color w:val="auto"/>
                <w:w w:val="89"/>
              </w:rPr>
              <w:t>5.5100</w:t>
            </w:r>
          </w:p>
        </w:tc>
        <w:tc>
          <w:tcPr>
            <w:tcW w:w="2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R$7,714</w:t>
            </w:r>
          </w:p>
        </w:tc>
        <w:tc>
          <w:tcPr>
            <w:tcW w:w="196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91"/>
              </w:rPr>
              <w:t>Oct-21</w:t>
            </w:r>
          </w:p>
        </w:tc>
        <w:tc>
          <w:tcPr>
            <w:tcW w:w="226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auto"/>
                <w:w w:val="87"/>
              </w:rPr>
              <w:t>78%</w:t>
            </w:r>
          </w:p>
        </w:tc>
        <w:tc>
          <w:tcPr>
            <w:tcW w:w="0" w:type="dxa"/>
            <w:vAlign w:val="bottom"/>
          </w:tcPr>
          <w:p>
            <w:pPr>
              <w:spacing w:after="0"/>
              <w:rPr>
                <w:sz w:val="1"/>
                <w:szCs w:val="1"/>
                <w:color w:val="auto"/>
              </w:rPr>
            </w:pPr>
          </w:p>
        </w:tc>
      </w:tr>
      <w:tr>
        <w:trPr>
          <w:trHeight w:val="205"/>
        </w:trPr>
        <w:tc>
          <w:tcPr>
            <w:tcW w:w="2280" w:type="dxa"/>
            <w:vAlign w:val="bottom"/>
          </w:tcPr>
          <w:p>
            <w:pPr>
              <w:jc w:val="center"/>
              <w:ind w:left="200"/>
              <w:spacing w:after="0"/>
              <w:rPr>
                <w:sz w:val="20"/>
                <w:szCs w:val="20"/>
                <w:color w:val="auto"/>
              </w:rPr>
            </w:pPr>
            <w:r>
              <w:rPr>
                <w:rFonts w:ascii="Arial" w:cs="Arial" w:eastAsia="Arial" w:hAnsi="Arial"/>
                <w:sz w:val="16"/>
                <w:szCs w:val="16"/>
                <w:color w:val="auto"/>
                <w:w w:val="89"/>
              </w:rPr>
              <w:t>$1,495</w:t>
            </w:r>
          </w:p>
        </w:tc>
        <w:tc>
          <w:tcPr>
            <w:tcW w:w="2340" w:type="dxa"/>
            <w:vAlign w:val="bottom"/>
          </w:tcPr>
          <w:p>
            <w:pPr>
              <w:jc w:val="center"/>
              <w:ind w:left="60"/>
              <w:spacing w:after="0"/>
              <w:rPr>
                <w:sz w:val="20"/>
                <w:szCs w:val="20"/>
                <w:color w:val="auto"/>
              </w:rPr>
            </w:pPr>
            <w:r>
              <w:rPr>
                <w:rFonts w:ascii="Arial" w:cs="Arial" w:eastAsia="Arial" w:hAnsi="Arial"/>
                <w:sz w:val="16"/>
                <w:szCs w:val="16"/>
                <w:color w:val="auto"/>
                <w:w w:val="89"/>
              </w:rPr>
              <w:t>5.5224</w:t>
            </w:r>
          </w:p>
        </w:tc>
        <w:tc>
          <w:tcPr>
            <w:tcW w:w="2340" w:type="dxa"/>
            <w:vAlign w:val="bottom"/>
          </w:tcPr>
          <w:p>
            <w:pPr>
              <w:jc w:val="center"/>
              <w:spacing w:after="0"/>
              <w:rPr>
                <w:sz w:val="20"/>
                <w:szCs w:val="20"/>
                <w:color w:val="auto"/>
              </w:rPr>
            </w:pPr>
            <w:r>
              <w:rPr>
                <w:rFonts w:ascii="Arial" w:cs="Arial" w:eastAsia="Arial" w:hAnsi="Arial"/>
                <w:sz w:val="16"/>
                <w:szCs w:val="16"/>
                <w:color w:val="auto"/>
                <w:w w:val="89"/>
              </w:rPr>
              <w:t>R$8,256</w:t>
            </w:r>
          </w:p>
        </w:tc>
        <w:tc>
          <w:tcPr>
            <w:tcW w:w="1960" w:type="dxa"/>
            <w:vAlign w:val="bottom"/>
          </w:tcPr>
          <w:p>
            <w:pPr>
              <w:jc w:val="center"/>
              <w:ind w:left="20"/>
              <w:spacing w:after="0"/>
              <w:rPr>
                <w:sz w:val="20"/>
                <w:szCs w:val="20"/>
                <w:color w:val="auto"/>
              </w:rPr>
            </w:pPr>
            <w:r>
              <w:rPr>
                <w:rFonts w:ascii="Arial" w:cs="Arial" w:eastAsia="Arial" w:hAnsi="Arial"/>
                <w:sz w:val="16"/>
                <w:szCs w:val="16"/>
                <w:color w:val="auto"/>
                <w:w w:val="96"/>
              </w:rPr>
              <w:t>Nov-21</w:t>
            </w:r>
          </w:p>
        </w:tc>
        <w:tc>
          <w:tcPr>
            <w:tcW w:w="2260" w:type="dxa"/>
            <w:vAlign w:val="bottom"/>
          </w:tcPr>
          <w:p>
            <w:pPr>
              <w:jc w:val="center"/>
              <w:ind w:left="300"/>
              <w:spacing w:after="0"/>
              <w:rPr>
                <w:sz w:val="20"/>
                <w:szCs w:val="20"/>
                <w:color w:val="auto"/>
              </w:rPr>
            </w:pPr>
            <w:r>
              <w:rPr>
                <w:rFonts w:ascii="Arial" w:cs="Arial" w:eastAsia="Arial" w:hAnsi="Arial"/>
                <w:sz w:val="16"/>
                <w:szCs w:val="16"/>
                <w:color w:val="auto"/>
                <w:w w:val="87"/>
              </w:rPr>
              <w:t>83%</w:t>
            </w:r>
          </w:p>
        </w:tc>
        <w:tc>
          <w:tcPr>
            <w:tcW w:w="0" w:type="dxa"/>
            <w:vAlign w:val="bottom"/>
          </w:tcPr>
          <w:p>
            <w:pPr>
              <w:spacing w:after="0"/>
              <w:rPr>
                <w:sz w:val="1"/>
                <w:szCs w:val="1"/>
                <w:color w:val="auto"/>
              </w:rPr>
            </w:pPr>
          </w:p>
        </w:tc>
      </w:tr>
      <w:tr>
        <w:trPr>
          <w:trHeight w:val="205"/>
        </w:trPr>
        <w:tc>
          <w:tcPr>
            <w:tcW w:w="228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89"/>
              </w:rPr>
              <w:t>$1,170</w:t>
            </w:r>
          </w:p>
        </w:tc>
        <w:tc>
          <w:tcPr>
            <w:tcW w:w="2340" w:type="dxa"/>
            <w:vAlign w:val="bottom"/>
            <w:shd w:val="clear" w:color="auto" w:fill="CCEEFF"/>
          </w:tcPr>
          <w:p>
            <w:pPr>
              <w:jc w:val="center"/>
              <w:ind w:left="60"/>
              <w:spacing w:after="0"/>
              <w:rPr>
                <w:sz w:val="20"/>
                <w:szCs w:val="20"/>
                <w:color w:val="auto"/>
              </w:rPr>
            </w:pPr>
            <w:r>
              <w:rPr>
                <w:rFonts w:ascii="Arial" w:cs="Arial" w:eastAsia="Arial" w:hAnsi="Arial"/>
                <w:sz w:val="16"/>
                <w:szCs w:val="16"/>
                <w:color w:val="auto"/>
                <w:w w:val="89"/>
              </w:rPr>
              <w:t>5.5060</w:t>
            </w:r>
          </w:p>
        </w:tc>
        <w:tc>
          <w:tcPr>
            <w:tcW w:w="2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R$6,442</w:t>
            </w:r>
          </w:p>
        </w:tc>
        <w:tc>
          <w:tcPr>
            <w:tcW w:w="196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92"/>
              </w:rPr>
              <w:t>Dec-21</w:t>
            </w:r>
          </w:p>
        </w:tc>
        <w:tc>
          <w:tcPr>
            <w:tcW w:w="226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auto"/>
                <w:w w:val="87"/>
              </w:rPr>
              <w:t>65%</w:t>
            </w:r>
          </w:p>
        </w:tc>
        <w:tc>
          <w:tcPr>
            <w:tcW w:w="0" w:type="dxa"/>
            <w:vAlign w:val="bottom"/>
          </w:tcPr>
          <w:p>
            <w:pPr>
              <w:spacing w:after="0"/>
              <w:rPr>
                <w:sz w:val="1"/>
                <w:szCs w:val="1"/>
                <w:color w:val="auto"/>
              </w:rPr>
            </w:pPr>
          </w:p>
        </w:tc>
      </w:tr>
      <w:tr>
        <w:trPr>
          <w:trHeight w:val="205"/>
        </w:trPr>
        <w:tc>
          <w:tcPr>
            <w:tcW w:w="2280" w:type="dxa"/>
            <w:vAlign w:val="bottom"/>
          </w:tcPr>
          <w:p>
            <w:pPr>
              <w:jc w:val="center"/>
              <w:ind w:left="200"/>
              <w:spacing w:after="0"/>
              <w:rPr>
                <w:sz w:val="20"/>
                <w:szCs w:val="20"/>
                <w:color w:val="auto"/>
              </w:rPr>
            </w:pPr>
            <w:r>
              <w:rPr>
                <w:rFonts w:ascii="Arial" w:cs="Arial" w:eastAsia="Arial" w:hAnsi="Arial"/>
                <w:sz w:val="16"/>
                <w:szCs w:val="16"/>
                <w:color w:val="auto"/>
                <w:w w:val="89"/>
              </w:rPr>
              <w:t>$1,677</w:t>
            </w:r>
          </w:p>
        </w:tc>
        <w:tc>
          <w:tcPr>
            <w:tcW w:w="2340" w:type="dxa"/>
            <w:vAlign w:val="bottom"/>
          </w:tcPr>
          <w:p>
            <w:pPr>
              <w:jc w:val="center"/>
              <w:ind w:left="60"/>
              <w:spacing w:after="0"/>
              <w:rPr>
                <w:sz w:val="20"/>
                <w:szCs w:val="20"/>
                <w:color w:val="auto"/>
              </w:rPr>
            </w:pPr>
            <w:r>
              <w:rPr>
                <w:rFonts w:ascii="Arial" w:cs="Arial" w:eastAsia="Arial" w:hAnsi="Arial"/>
                <w:sz w:val="16"/>
                <w:szCs w:val="16"/>
                <w:color w:val="auto"/>
                <w:w w:val="89"/>
              </w:rPr>
              <w:t>5.3360</w:t>
            </w:r>
          </w:p>
        </w:tc>
        <w:tc>
          <w:tcPr>
            <w:tcW w:w="2340" w:type="dxa"/>
            <w:vAlign w:val="bottom"/>
          </w:tcPr>
          <w:p>
            <w:pPr>
              <w:jc w:val="center"/>
              <w:spacing w:after="0"/>
              <w:rPr>
                <w:sz w:val="20"/>
                <w:szCs w:val="20"/>
                <w:color w:val="auto"/>
              </w:rPr>
            </w:pPr>
            <w:r>
              <w:rPr>
                <w:rFonts w:ascii="Arial" w:cs="Arial" w:eastAsia="Arial" w:hAnsi="Arial"/>
                <w:sz w:val="16"/>
                <w:szCs w:val="16"/>
                <w:color w:val="auto"/>
                <w:w w:val="89"/>
              </w:rPr>
              <w:t>R$8,948</w:t>
            </w:r>
          </w:p>
        </w:tc>
        <w:tc>
          <w:tcPr>
            <w:tcW w:w="1960" w:type="dxa"/>
            <w:vAlign w:val="bottom"/>
          </w:tcPr>
          <w:p>
            <w:pPr>
              <w:jc w:val="center"/>
              <w:ind w:left="20"/>
              <w:spacing w:after="0"/>
              <w:rPr>
                <w:sz w:val="20"/>
                <w:szCs w:val="20"/>
                <w:color w:val="auto"/>
              </w:rPr>
            </w:pPr>
            <w:r>
              <w:rPr>
                <w:rFonts w:ascii="Arial" w:cs="Arial" w:eastAsia="Arial" w:hAnsi="Arial"/>
                <w:sz w:val="16"/>
                <w:szCs w:val="16"/>
                <w:color w:val="auto"/>
                <w:w w:val="85"/>
              </w:rPr>
              <w:t>Jan-22</w:t>
            </w:r>
          </w:p>
        </w:tc>
        <w:tc>
          <w:tcPr>
            <w:tcW w:w="2260" w:type="dxa"/>
            <w:vAlign w:val="bottom"/>
          </w:tcPr>
          <w:p>
            <w:pPr>
              <w:jc w:val="center"/>
              <w:ind w:left="300"/>
              <w:spacing w:after="0"/>
              <w:rPr>
                <w:sz w:val="20"/>
                <w:szCs w:val="20"/>
                <w:color w:val="auto"/>
              </w:rPr>
            </w:pPr>
            <w:r>
              <w:rPr>
                <w:rFonts w:ascii="Arial" w:cs="Arial" w:eastAsia="Arial" w:hAnsi="Arial"/>
                <w:sz w:val="16"/>
                <w:szCs w:val="16"/>
                <w:color w:val="auto"/>
                <w:w w:val="87"/>
              </w:rPr>
              <w:t>72%</w:t>
            </w:r>
          </w:p>
        </w:tc>
        <w:tc>
          <w:tcPr>
            <w:tcW w:w="0" w:type="dxa"/>
            <w:vAlign w:val="bottom"/>
          </w:tcPr>
          <w:p>
            <w:pPr>
              <w:spacing w:after="0"/>
              <w:rPr>
                <w:sz w:val="1"/>
                <w:szCs w:val="1"/>
                <w:color w:val="auto"/>
              </w:rPr>
            </w:pPr>
          </w:p>
        </w:tc>
      </w:tr>
      <w:tr>
        <w:trPr>
          <w:trHeight w:val="205"/>
        </w:trPr>
        <w:tc>
          <w:tcPr>
            <w:tcW w:w="228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89"/>
              </w:rPr>
              <w:t>$1,751</w:t>
            </w:r>
          </w:p>
        </w:tc>
        <w:tc>
          <w:tcPr>
            <w:tcW w:w="2340" w:type="dxa"/>
            <w:vAlign w:val="bottom"/>
            <w:shd w:val="clear" w:color="auto" w:fill="CCEEFF"/>
          </w:tcPr>
          <w:p>
            <w:pPr>
              <w:jc w:val="center"/>
              <w:ind w:left="60"/>
              <w:spacing w:after="0"/>
              <w:rPr>
                <w:sz w:val="20"/>
                <w:szCs w:val="20"/>
                <w:color w:val="auto"/>
              </w:rPr>
            </w:pPr>
            <w:r>
              <w:rPr>
                <w:rFonts w:ascii="Arial" w:cs="Arial" w:eastAsia="Arial" w:hAnsi="Arial"/>
                <w:sz w:val="16"/>
                <w:szCs w:val="16"/>
                <w:color w:val="auto"/>
                <w:w w:val="89"/>
              </w:rPr>
              <w:t>5.3631</w:t>
            </w:r>
          </w:p>
        </w:tc>
        <w:tc>
          <w:tcPr>
            <w:tcW w:w="2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R$9,391</w:t>
            </w:r>
          </w:p>
        </w:tc>
        <w:tc>
          <w:tcPr>
            <w:tcW w:w="196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0"/>
              </w:rPr>
              <w:t>Feb-22</w:t>
            </w:r>
          </w:p>
        </w:tc>
        <w:tc>
          <w:tcPr>
            <w:tcW w:w="226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auto"/>
                <w:w w:val="87"/>
              </w:rPr>
              <w:t>75%</w:t>
            </w:r>
          </w:p>
        </w:tc>
        <w:tc>
          <w:tcPr>
            <w:tcW w:w="0" w:type="dxa"/>
            <w:vAlign w:val="bottom"/>
          </w:tcPr>
          <w:p>
            <w:pPr>
              <w:spacing w:after="0"/>
              <w:rPr>
                <w:sz w:val="1"/>
                <w:szCs w:val="1"/>
                <w:color w:val="auto"/>
              </w:rPr>
            </w:pPr>
          </w:p>
        </w:tc>
      </w:tr>
      <w:tr>
        <w:trPr>
          <w:trHeight w:val="205"/>
        </w:trPr>
        <w:tc>
          <w:tcPr>
            <w:tcW w:w="2280" w:type="dxa"/>
            <w:vAlign w:val="bottom"/>
          </w:tcPr>
          <w:p>
            <w:pPr>
              <w:jc w:val="center"/>
              <w:ind w:left="200"/>
              <w:spacing w:after="0"/>
              <w:rPr>
                <w:sz w:val="20"/>
                <w:szCs w:val="20"/>
                <w:color w:val="auto"/>
              </w:rPr>
            </w:pPr>
            <w:r>
              <w:rPr>
                <w:rFonts w:ascii="Arial" w:cs="Arial" w:eastAsia="Arial" w:hAnsi="Arial"/>
                <w:sz w:val="16"/>
                <w:szCs w:val="16"/>
                <w:color w:val="auto"/>
                <w:w w:val="89"/>
              </w:rPr>
              <w:t>$1,662</w:t>
            </w:r>
          </w:p>
        </w:tc>
        <w:tc>
          <w:tcPr>
            <w:tcW w:w="2340" w:type="dxa"/>
            <w:vAlign w:val="bottom"/>
          </w:tcPr>
          <w:p>
            <w:pPr>
              <w:jc w:val="center"/>
              <w:ind w:left="60"/>
              <w:spacing w:after="0"/>
              <w:rPr>
                <w:sz w:val="20"/>
                <w:szCs w:val="20"/>
                <w:color w:val="auto"/>
              </w:rPr>
            </w:pPr>
            <w:r>
              <w:rPr>
                <w:rFonts w:ascii="Arial" w:cs="Arial" w:eastAsia="Arial" w:hAnsi="Arial"/>
                <w:sz w:val="16"/>
                <w:szCs w:val="16"/>
                <w:color w:val="auto"/>
                <w:w w:val="89"/>
              </w:rPr>
              <w:t>5.3905</w:t>
            </w:r>
          </w:p>
        </w:tc>
        <w:tc>
          <w:tcPr>
            <w:tcW w:w="2340" w:type="dxa"/>
            <w:vAlign w:val="bottom"/>
          </w:tcPr>
          <w:p>
            <w:pPr>
              <w:jc w:val="center"/>
              <w:spacing w:after="0"/>
              <w:rPr>
                <w:sz w:val="20"/>
                <w:szCs w:val="20"/>
                <w:color w:val="auto"/>
              </w:rPr>
            </w:pPr>
            <w:r>
              <w:rPr>
                <w:rFonts w:ascii="Arial" w:cs="Arial" w:eastAsia="Arial" w:hAnsi="Arial"/>
                <w:sz w:val="16"/>
                <w:szCs w:val="16"/>
                <w:color w:val="auto"/>
                <w:w w:val="89"/>
              </w:rPr>
              <w:t>R$8,959</w:t>
            </w:r>
          </w:p>
        </w:tc>
        <w:tc>
          <w:tcPr>
            <w:tcW w:w="1960" w:type="dxa"/>
            <w:vAlign w:val="bottom"/>
          </w:tcPr>
          <w:p>
            <w:pPr>
              <w:jc w:val="center"/>
              <w:ind w:left="40"/>
              <w:spacing w:after="0"/>
              <w:rPr>
                <w:sz w:val="20"/>
                <w:szCs w:val="20"/>
                <w:color w:val="auto"/>
              </w:rPr>
            </w:pPr>
            <w:r>
              <w:rPr>
                <w:rFonts w:ascii="Arial" w:cs="Arial" w:eastAsia="Arial" w:hAnsi="Arial"/>
                <w:sz w:val="16"/>
                <w:szCs w:val="16"/>
                <w:color w:val="auto"/>
                <w:w w:val="94"/>
              </w:rPr>
              <w:t>Mar-22</w:t>
            </w:r>
          </w:p>
        </w:tc>
        <w:tc>
          <w:tcPr>
            <w:tcW w:w="2260" w:type="dxa"/>
            <w:vAlign w:val="bottom"/>
          </w:tcPr>
          <w:p>
            <w:pPr>
              <w:jc w:val="center"/>
              <w:ind w:left="300"/>
              <w:spacing w:after="0"/>
              <w:rPr>
                <w:sz w:val="20"/>
                <w:szCs w:val="20"/>
                <w:color w:val="auto"/>
              </w:rPr>
            </w:pPr>
            <w:r>
              <w:rPr>
                <w:rFonts w:ascii="Arial" w:cs="Arial" w:eastAsia="Arial" w:hAnsi="Arial"/>
                <w:sz w:val="16"/>
                <w:szCs w:val="16"/>
                <w:color w:val="auto"/>
                <w:w w:val="87"/>
              </w:rPr>
              <w:t>72%</w:t>
            </w:r>
          </w:p>
        </w:tc>
        <w:tc>
          <w:tcPr>
            <w:tcW w:w="0" w:type="dxa"/>
            <w:vAlign w:val="bottom"/>
          </w:tcPr>
          <w:p>
            <w:pPr>
              <w:spacing w:after="0"/>
              <w:rPr>
                <w:sz w:val="1"/>
                <w:szCs w:val="1"/>
                <w:color w:val="auto"/>
              </w:rPr>
            </w:pPr>
          </w:p>
        </w:tc>
      </w:tr>
      <w:tr>
        <w:trPr>
          <w:trHeight w:val="205"/>
        </w:trPr>
        <w:tc>
          <w:tcPr>
            <w:tcW w:w="228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89"/>
              </w:rPr>
              <w:t>$1,615</w:t>
            </w:r>
          </w:p>
        </w:tc>
        <w:tc>
          <w:tcPr>
            <w:tcW w:w="2340" w:type="dxa"/>
            <w:vAlign w:val="bottom"/>
            <w:shd w:val="clear" w:color="auto" w:fill="CCEEFF"/>
          </w:tcPr>
          <w:p>
            <w:pPr>
              <w:jc w:val="center"/>
              <w:ind w:left="60"/>
              <w:spacing w:after="0"/>
              <w:rPr>
                <w:sz w:val="20"/>
                <w:szCs w:val="20"/>
                <w:color w:val="auto"/>
              </w:rPr>
            </w:pPr>
            <w:r>
              <w:rPr>
                <w:rFonts w:ascii="Arial" w:cs="Arial" w:eastAsia="Arial" w:hAnsi="Arial"/>
                <w:sz w:val="16"/>
                <w:szCs w:val="16"/>
                <w:color w:val="auto"/>
                <w:w w:val="89"/>
              </w:rPr>
              <w:t>5.4247</w:t>
            </w:r>
          </w:p>
        </w:tc>
        <w:tc>
          <w:tcPr>
            <w:tcW w:w="2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R$8,761</w:t>
            </w:r>
          </w:p>
        </w:tc>
        <w:tc>
          <w:tcPr>
            <w:tcW w:w="196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5"/>
              </w:rPr>
              <w:t>Apr-22</w:t>
            </w:r>
          </w:p>
        </w:tc>
        <w:tc>
          <w:tcPr>
            <w:tcW w:w="226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auto"/>
                <w:w w:val="87"/>
              </w:rPr>
              <w:t>70%</w:t>
            </w:r>
          </w:p>
        </w:tc>
        <w:tc>
          <w:tcPr>
            <w:tcW w:w="0" w:type="dxa"/>
            <w:vAlign w:val="bottom"/>
          </w:tcPr>
          <w:p>
            <w:pPr>
              <w:spacing w:after="0"/>
              <w:rPr>
                <w:sz w:val="1"/>
                <w:szCs w:val="1"/>
                <w:color w:val="auto"/>
              </w:rPr>
            </w:pPr>
          </w:p>
        </w:tc>
      </w:tr>
      <w:tr>
        <w:trPr>
          <w:trHeight w:val="205"/>
        </w:trPr>
        <w:tc>
          <w:tcPr>
            <w:tcW w:w="2280" w:type="dxa"/>
            <w:vAlign w:val="bottom"/>
          </w:tcPr>
          <w:p>
            <w:pPr>
              <w:jc w:val="center"/>
              <w:ind w:left="200"/>
              <w:spacing w:after="0"/>
              <w:rPr>
                <w:sz w:val="20"/>
                <w:szCs w:val="20"/>
                <w:color w:val="auto"/>
              </w:rPr>
            </w:pPr>
            <w:r>
              <w:rPr>
                <w:rFonts w:ascii="Arial" w:cs="Arial" w:eastAsia="Arial" w:hAnsi="Arial"/>
                <w:sz w:val="16"/>
                <w:szCs w:val="16"/>
                <w:color w:val="auto"/>
                <w:w w:val="89"/>
              </w:rPr>
              <w:t>$1,647</w:t>
            </w:r>
          </w:p>
        </w:tc>
        <w:tc>
          <w:tcPr>
            <w:tcW w:w="2340" w:type="dxa"/>
            <w:vAlign w:val="bottom"/>
          </w:tcPr>
          <w:p>
            <w:pPr>
              <w:jc w:val="center"/>
              <w:ind w:left="60"/>
              <w:spacing w:after="0"/>
              <w:rPr>
                <w:sz w:val="20"/>
                <w:szCs w:val="20"/>
                <w:color w:val="auto"/>
              </w:rPr>
            </w:pPr>
            <w:r>
              <w:rPr>
                <w:rFonts w:ascii="Arial" w:cs="Arial" w:eastAsia="Arial" w:hAnsi="Arial"/>
                <w:sz w:val="16"/>
                <w:szCs w:val="16"/>
                <w:color w:val="auto"/>
                <w:w w:val="89"/>
              </w:rPr>
              <w:t>5.4545</w:t>
            </w:r>
          </w:p>
        </w:tc>
        <w:tc>
          <w:tcPr>
            <w:tcW w:w="2340" w:type="dxa"/>
            <w:vAlign w:val="bottom"/>
          </w:tcPr>
          <w:p>
            <w:pPr>
              <w:jc w:val="center"/>
              <w:spacing w:after="0"/>
              <w:rPr>
                <w:sz w:val="20"/>
                <w:szCs w:val="20"/>
                <w:color w:val="auto"/>
              </w:rPr>
            </w:pPr>
            <w:r>
              <w:rPr>
                <w:rFonts w:ascii="Arial" w:cs="Arial" w:eastAsia="Arial" w:hAnsi="Arial"/>
                <w:sz w:val="16"/>
                <w:szCs w:val="16"/>
                <w:color w:val="auto"/>
                <w:w w:val="89"/>
              </w:rPr>
              <w:t>R$8,984</w:t>
            </w:r>
          </w:p>
        </w:tc>
        <w:tc>
          <w:tcPr>
            <w:tcW w:w="1960" w:type="dxa"/>
            <w:vAlign w:val="bottom"/>
          </w:tcPr>
          <w:p>
            <w:pPr>
              <w:jc w:val="center"/>
              <w:ind w:left="20"/>
              <w:spacing w:after="0"/>
              <w:rPr>
                <w:sz w:val="20"/>
                <w:szCs w:val="20"/>
                <w:color w:val="auto"/>
              </w:rPr>
            </w:pPr>
            <w:r>
              <w:rPr>
                <w:rFonts w:ascii="Arial" w:cs="Arial" w:eastAsia="Arial" w:hAnsi="Arial"/>
                <w:sz w:val="16"/>
                <w:szCs w:val="16"/>
                <w:color w:val="auto"/>
                <w:w w:val="93"/>
              </w:rPr>
              <w:t>May-22</w:t>
            </w:r>
          </w:p>
        </w:tc>
        <w:tc>
          <w:tcPr>
            <w:tcW w:w="2260" w:type="dxa"/>
            <w:vAlign w:val="bottom"/>
          </w:tcPr>
          <w:p>
            <w:pPr>
              <w:jc w:val="center"/>
              <w:ind w:left="300"/>
              <w:spacing w:after="0"/>
              <w:rPr>
                <w:sz w:val="20"/>
                <w:szCs w:val="20"/>
                <w:color w:val="auto"/>
              </w:rPr>
            </w:pPr>
            <w:r>
              <w:rPr>
                <w:rFonts w:ascii="Arial" w:cs="Arial" w:eastAsia="Arial" w:hAnsi="Arial"/>
                <w:sz w:val="16"/>
                <w:szCs w:val="16"/>
                <w:color w:val="auto"/>
                <w:w w:val="87"/>
              </w:rPr>
              <w:t>72%</w:t>
            </w:r>
          </w:p>
        </w:tc>
        <w:tc>
          <w:tcPr>
            <w:tcW w:w="0" w:type="dxa"/>
            <w:vAlign w:val="bottom"/>
          </w:tcPr>
          <w:p>
            <w:pPr>
              <w:spacing w:after="0"/>
              <w:rPr>
                <w:sz w:val="1"/>
                <w:szCs w:val="1"/>
                <w:color w:val="auto"/>
              </w:rPr>
            </w:pPr>
          </w:p>
        </w:tc>
      </w:tr>
      <w:tr>
        <w:trPr>
          <w:trHeight w:val="205"/>
        </w:trPr>
        <w:tc>
          <w:tcPr>
            <w:tcW w:w="228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89"/>
              </w:rPr>
              <w:t>$1,596</w:t>
            </w:r>
          </w:p>
        </w:tc>
        <w:tc>
          <w:tcPr>
            <w:tcW w:w="2340" w:type="dxa"/>
            <w:vAlign w:val="bottom"/>
            <w:shd w:val="clear" w:color="auto" w:fill="CCEEFF"/>
          </w:tcPr>
          <w:p>
            <w:pPr>
              <w:jc w:val="center"/>
              <w:ind w:left="60"/>
              <w:spacing w:after="0"/>
              <w:rPr>
                <w:sz w:val="20"/>
                <w:szCs w:val="20"/>
                <w:color w:val="auto"/>
              </w:rPr>
            </w:pPr>
            <w:r>
              <w:rPr>
                <w:rFonts w:ascii="Arial" w:cs="Arial" w:eastAsia="Arial" w:hAnsi="Arial"/>
                <w:sz w:val="16"/>
                <w:szCs w:val="16"/>
                <w:color w:val="auto"/>
                <w:w w:val="89"/>
              </w:rPr>
              <w:t>5.4890</w:t>
            </w:r>
          </w:p>
        </w:tc>
        <w:tc>
          <w:tcPr>
            <w:tcW w:w="2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R$8,760</w:t>
            </w:r>
          </w:p>
        </w:tc>
        <w:tc>
          <w:tcPr>
            <w:tcW w:w="196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9"/>
              </w:rPr>
              <w:t>Jun-22</w:t>
            </w:r>
          </w:p>
        </w:tc>
        <w:tc>
          <w:tcPr>
            <w:tcW w:w="226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auto"/>
                <w:w w:val="87"/>
              </w:rPr>
              <w:t>70%</w:t>
            </w:r>
          </w:p>
        </w:tc>
        <w:tc>
          <w:tcPr>
            <w:tcW w:w="0" w:type="dxa"/>
            <w:vAlign w:val="bottom"/>
          </w:tcPr>
          <w:p>
            <w:pPr>
              <w:spacing w:after="0"/>
              <w:rPr>
                <w:sz w:val="1"/>
                <w:szCs w:val="1"/>
                <w:color w:val="auto"/>
              </w:rPr>
            </w:pPr>
          </w:p>
        </w:tc>
      </w:tr>
      <w:tr>
        <w:trPr>
          <w:trHeight w:val="205"/>
        </w:trPr>
        <w:tc>
          <w:tcPr>
            <w:tcW w:w="2280" w:type="dxa"/>
            <w:vAlign w:val="bottom"/>
          </w:tcPr>
          <w:p>
            <w:pPr>
              <w:jc w:val="center"/>
              <w:ind w:left="200"/>
              <w:spacing w:after="0"/>
              <w:rPr>
                <w:sz w:val="20"/>
                <w:szCs w:val="20"/>
                <w:color w:val="auto"/>
              </w:rPr>
            </w:pPr>
            <w:r>
              <w:rPr>
                <w:rFonts w:ascii="Arial" w:cs="Arial" w:eastAsia="Arial" w:hAnsi="Arial"/>
                <w:sz w:val="16"/>
                <w:szCs w:val="16"/>
                <w:color w:val="auto"/>
                <w:w w:val="89"/>
              </w:rPr>
              <w:t>$1,719</w:t>
            </w:r>
          </w:p>
        </w:tc>
        <w:tc>
          <w:tcPr>
            <w:tcW w:w="2340" w:type="dxa"/>
            <w:vAlign w:val="bottom"/>
          </w:tcPr>
          <w:p>
            <w:pPr>
              <w:jc w:val="center"/>
              <w:ind w:left="60"/>
              <w:spacing w:after="0"/>
              <w:rPr>
                <w:sz w:val="20"/>
                <w:szCs w:val="20"/>
                <w:color w:val="auto"/>
              </w:rPr>
            </w:pPr>
            <w:r>
              <w:rPr>
                <w:rFonts w:ascii="Arial" w:cs="Arial" w:eastAsia="Arial" w:hAnsi="Arial"/>
                <w:sz w:val="16"/>
                <w:szCs w:val="16"/>
                <w:color w:val="auto"/>
                <w:w w:val="89"/>
              </w:rPr>
              <w:t>5.5200</w:t>
            </w:r>
          </w:p>
        </w:tc>
        <w:tc>
          <w:tcPr>
            <w:tcW w:w="2340" w:type="dxa"/>
            <w:vAlign w:val="bottom"/>
          </w:tcPr>
          <w:p>
            <w:pPr>
              <w:jc w:val="center"/>
              <w:spacing w:after="0"/>
              <w:rPr>
                <w:sz w:val="20"/>
                <w:szCs w:val="20"/>
                <w:color w:val="auto"/>
              </w:rPr>
            </w:pPr>
            <w:r>
              <w:rPr>
                <w:rFonts w:ascii="Arial" w:cs="Arial" w:eastAsia="Arial" w:hAnsi="Arial"/>
                <w:sz w:val="16"/>
                <w:szCs w:val="16"/>
                <w:color w:val="auto"/>
                <w:w w:val="89"/>
              </w:rPr>
              <w:t>R$9,489</w:t>
            </w:r>
          </w:p>
        </w:tc>
        <w:tc>
          <w:tcPr>
            <w:tcW w:w="1960" w:type="dxa"/>
            <w:vAlign w:val="bottom"/>
          </w:tcPr>
          <w:p>
            <w:pPr>
              <w:jc w:val="center"/>
              <w:ind w:left="40"/>
              <w:spacing w:after="0"/>
              <w:rPr>
                <w:sz w:val="20"/>
                <w:szCs w:val="20"/>
                <w:color w:val="auto"/>
              </w:rPr>
            </w:pPr>
            <w:r>
              <w:rPr>
                <w:rFonts w:ascii="Arial" w:cs="Arial" w:eastAsia="Arial" w:hAnsi="Arial"/>
                <w:sz w:val="16"/>
                <w:szCs w:val="16"/>
                <w:color w:val="auto"/>
                <w:w w:val="91"/>
              </w:rPr>
              <w:t>Jul-22</w:t>
            </w:r>
          </w:p>
        </w:tc>
        <w:tc>
          <w:tcPr>
            <w:tcW w:w="2260" w:type="dxa"/>
            <w:vAlign w:val="bottom"/>
          </w:tcPr>
          <w:p>
            <w:pPr>
              <w:jc w:val="center"/>
              <w:ind w:left="300"/>
              <w:spacing w:after="0"/>
              <w:rPr>
                <w:sz w:val="20"/>
                <w:szCs w:val="20"/>
                <w:color w:val="auto"/>
              </w:rPr>
            </w:pPr>
            <w:r>
              <w:rPr>
                <w:rFonts w:ascii="Arial" w:cs="Arial" w:eastAsia="Arial" w:hAnsi="Arial"/>
                <w:sz w:val="16"/>
                <w:szCs w:val="16"/>
                <w:color w:val="auto"/>
                <w:w w:val="87"/>
              </w:rPr>
              <w:t>76%</w:t>
            </w:r>
          </w:p>
        </w:tc>
        <w:tc>
          <w:tcPr>
            <w:tcW w:w="0" w:type="dxa"/>
            <w:vAlign w:val="bottom"/>
          </w:tcPr>
          <w:p>
            <w:pPr>
              <w:spacing w:after="0"/>
              <w:rPr>
                <w:sz w:val="1"/>
                <w:szCs w:val="1"/>
                <w:color w:val="auto"/>
              </w:rPr>
            </w:pPr>
          </w:p>
        </w:tc>
      </w:tr>
      <w:tr>
        <w:trPr>
          <w:trHeight w:val="205"/>
        </w:trPr>
        <w:tc>
          <w:tcPr>
            <w:tcW w:w="228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89"/>
              </w:rPr>
              <w:t>$1,708</w:t>
            </w:r>
          </w:p>
        </w:tc>
        <w:tc>
          <w:tcPr>
            <w:tcW w:w="2340" w:type="dxa"/>
            <w:vAlign w:val="bottom"/>
            <w:shd w:val="clear" w:color="auto" w:fill="CCEEFF"/>
          </w:tcPr>
          <w:p>
            <w:pPr>
              <w:jc w:val="center"/>
              <w:ind w:left="60"/>
              <w:spacing w:after="0"/>
              <w:rPr>
                <w:sz w:val="20"/>
                <w:szCs w:val="20"/>
                <w:color w:val="auto"/>
              </w:rPr>
            </w:pPr>
            <w:r>
              <w:rPr>
                <w:rFonts w:ascii="Arial" w:cs="Arial" w:eastAsia="Arial" w:hAnsi="Arial"/>
                <w:sz w:val="16"/>
                <w:szCs w:val="16"/>
                <w:color w:val="auto"/>
                <w:w w:val="89"/>
              </w:rPr>
              <w:t>5.5560</w:t>
            </w:r>
          </w:p>
        </w:tc>
        <w:tc>
          <w:tcPr>
            <w:tcW w:w="2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R$9,489</w:t>
            </w:r>
          </w:p>
        </w:tc>
        <w:tc>
          <w:tcPr>
            <w:tcW w:w="196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6"/>
              </w:rPr>
              <w:t>Aug-22</w:t>
            </w:r>
          </w:p>
        </w:tc>
        <w:tc>
          <w:tcPr>
            <w:tcW w:w="226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auto"/>
                <w:w w:val="87"/>
              </w:rPr>
              <w:t>76%</w:t>
            </w:r>
          </w:p>
        </w:tc>
        <w:tc>
          <w:tcPr>
            <w:tcW w:w="0" w:type="dxa"/>
            <w:vAlign w:val="bottom"/>
          </w:tcPr>
          <w:p>
            <w:pPr>
              <w:spacing w:after="0"/>
              <w:rPr>
                <w:sz w:val="1"/>
                <w:szCs w:val="1"/>
                <w:color w:val="auto"/>
              </w:rPr>
            </w:pPr>
          </w:p>
        </w:tc>
      </w:tr>
      <w:tr>
        <w:trPr>
          <w:trHeight w:val="205"/>
        </w:trPr>
        <w:tc>
          <w:tcPr>
            <w:tcW w:w="2280" w:type="dxa"/>
            <w:vAlign w:val="bottom"/>
          </w:tcPr>
          <w:p>
            <w:pPr>
              <w:jc w:val="center"/>
              <w:ind w:left="200"/>
              <w:spacing w:after="0"/>
              <w:rPr>
                <w:sz w:val="20"/>
                <w:szCs w:val="20"/>
                <w:color w:val="auto"/>
              </w:rPr>
            </w:pPr>
            <w:r>
              <w:rPr>
                <w:rFonts w:ascii="Arial" w:cs="Arial" w:eastAsia="Arial" w:hAnsi="Arial"/>
                <w:sz w:val="16"/>
                <w:szCs w:val="16"/>
                <w:color w:val="auto"/>
                <w:w w:val="89"/>
              </w:rPr>
              <w:t>$1,780</w:t>
            </w:r>
          </w:p>
        </w:tc>
        <w:tc>
          <w:tcPr>
            <w:tcW w:w="2340" w:type="dxa"/>
            <w:vAlign w:val="bottom"/>
          </w:tcPr>
          <w:p>
            <w:pPr>
              <w:jc w:val="center"/>
              <w:ind w:left="60"/>
              <w:spacing w:after="0"/>
              <w:rPr>
                <w:sz w:val="20"/>
                <w:szCs w:val="20"/>
                <w:color w:val="auto"/>
              </w:rPr>
            </w:pPr>
            <w:r>
              <w:rPr>
                <w:rFonts w:ascii="Arial" w:cs="Arial" w:eastAsia="Arial" w:hAnsi="Arial"/>
                <w:sz w:val="16"/>
                <w:szCs w:val="16"/>
                <w:color w:val="auto"/>
                <w:w w:val="89"/>
              </w:rPr>
              <w:t>5.5915</w:t>
            </w:r>
          </w:p>
        </w:tc>
        <w:tc>
          <w:tcPr>
            <w:tcW w:w="2340" w:type="dxa"/>
            <w:vAlign w:val="bottom"/>
          </w:tcPr>
          <w:p>
            <w:pPr>
              <w:jc w:val="center"/>
              <w:spacing w:after="0"/>
              <w:rPr>
                <w:sz w:val="20"/>
                <w:szCs w:val="20"/>
                <w:color w:val="auto"/>
              </w:rPr>
            </w:pPr>
            <w:r>
              <w:rPr>
                <w:rFonts w:ascii="Arial" w:cs="Arial" w:eastAsia="Arial" w:hAnsi="Arial"/>
                <w:sz w:val="16"/>
                <w:szCs w:val="16"/>
                <w:color w:val="auto"/>
                <w:w w:val="89"/>
              </w:rPr>
              <w:t>R$9,953</w:t>
            </w:r>
          </w:p>
        </w:tc>
        <w:tc>
          <w:tcPr>
            <w:tcW w:w="1960" w:type="dxa"/>
            <w:vAlign w:val="bottom"/>
          </w:tcPr>
          <w:p>
            <w:pPr>
              <w:jc w:val="center"/>
              <w:ind w:left="20"/>
              <w:spacing w:after="0"/>
              <w:rPr>
                <w:sz w:val="20"/>
                <w:szCs w:val="20"/>
                <w:color w:val="auto"/>
              </w:rPr>
            </w:pPr>
            <w:r>
              <w:rPr>
                <w:rFonts w:ascii="Arial" w:cs="Arial" w:eastAsia="Arial" w:hAnsi="Arial"/>
                <w:sz w:val="16"/>
                <w:szCs w:val="16"/>
                <w:color w:val="auto"/>
                <w:w w:val="89"/>
              </w:rPr>
              <w:t>Sep-22</w:t>
            </w:r>
          </w:p>
        </w:tc>
        <w:tc>
          <w:tcPr>
            <w:tcW w:w="2260" w:type="dxa"/>
            <w:vAlign w:val="bottom"/>
          </w:tcPr>
          <w:p>
            <w:pPr>
              <w:jc w:val="center"/>
              <w:ind w:left="300"/>
              <w:spacing w:after="0"/>
              <w:rPr>
                <w:sz w:val="20"/>
                <w:szCs w:val="20"/>
                <w:color w:val="auto"/>
              </w:rPr>
            </w:pPr>
            <w:r>
              <w:rPr>
                <w:rFonts w:ascii="Arial" w:cs="Arial" w:eastAsia="Arial" w:hAnsi="Arial"/>
                <w:sz w:val="16"/>
                <w:szCs w:val="16"/>
                <w:color w:val="auto"/>
                <w:w w:val="87"/>
              </w:rPr>
              <w:t>80%</w:t>
            </w:r>
          </w:p>
        </w:tc>
        <w:tc>
          <w:tcPr>
            <w:tcW w:w="0" w:type="dxa"/>
            <w:vAlign w:val="bottom"/>
          </w:tcPr>
          <w:p>
            <w:pPr>
              <w:spacing w:after="0"/>
              <w:rPr>
                <w:sz w:val="1"/>
                <w:szCs w:val="1"/>
                <w:color w:val="auto"/>
              </w:rPr>
            </w:pPr>
          </w:p>
        </w:tc>
      </w:tr>
      <w:tr>
        <w:trPr>
          <w:trHeight w:val="205"/>
        </w:trPr>
        <w:tc>
          <w:tcPr>
            <w:tcW w:w="228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89"/>
              </w:rPr>
              <w:t>$1,793</w:t>
            </w:r>
          </w:p>
        </w:tc>
        <w:tc>
          <w:tcPr>
            <w:tcW w:w="2340" w:type="dxa"/>
            <w:vAlign w:val="bottom"/>
            <w:shd w:val="clear" w:color="auto" w:fill="CCEEFF"/>
          </w:tcPr>
          <w:p>
            <w:pPr>
              <w:jc w:val="center"/>
              <w:ind w:left="60"/>
              <w:spacing w:after="0"/>
              <w:rPr>
                <w:sz w:val="20"/>
                <w:szCs w:val="20"/>
                <w:color w:val="auto"/>
              </w:rPr>
            </w:pPr>
            <w:r>
              <w:rPr>
                <w:rFonts w:ascii="Arial" w:cs="Arial" w:eastAsia="Arial" w:hAnsi="Arial"/>
                <w:sz w:val="16"/>
                <w:szCs w:val="16"/>
                <w:color w:val="auto"/>
                <w:w w:val="89"/>
              </w:rPr>
              <w:t>5.6264</w:t>
            </w:r>
          </w:p>
        </w:tc>
        <w:tc>
          <w:tcPr>
            <w:tcW w:w="2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R$10,088</w:t>
            </w:r>
          </w:p>
        </w:tc>
        <w:tc>
          <w:tcPr>
            <w:tcW w:w="196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91"/>
              </w:rPr>
              <w:t>Oct-22</w:t>
            </w:r>
          </w:p>
        </w:tc>
        <w:tc>
          <w:tcPr>
            <w:tcW w:w="226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auto"/>
                <w:w w:val="87"/>
              </w:rPr>
              <w:t>81%</w:t>
            </w:r>
          </w:p>
        </w:tc>
        <w:tc>
          <w:tcPr>
            <w:tcW w:w="0" w:type="dxa"/>
            <w:vAlign w:val="bottom"/>
          </w:tcPr>
          <w:p>
            <w:pPr>
              <w:spacing w:after="0"/>
              <w:rPr>
                <w:sz w:val="1"/>
                <w:szCs w:val="1"/>
                <w:color w:val="auto"/>
              </w:rPr>
            </w:pPr>
          </w:p>
        </w:tc>
      </w:tr>
      <w:tr>
        <w:trPr>
          <w:trHeight w:val="205"/>
        </w:trPr>
        <w:tc>
          <w:tcPr>
            <w:tcW w:w="2280" w:type="dxa"/>
            <w:vAlign w:val="bottom"/>
          </w:tcPr>
          <w:p>
            <w:pPr>
              <w:jc w:val="center"/>
              <w:ind w:left="200"/>
              <w:spacing w:after="0"/>
              <w:rPr>
                <w:sz w:val="20"/>
                <w:szCs w:val="20"/>
                <w:color w:val="auto"/>
              </w:rPr>
            </w:pPr>
            <w:r>
              <w:rPr>
                <w:rFonts w:ascii="Arial" w:cs="Arial" w:eastAsia="Arial" w:hAnsi="Arial"/>
                <w:sz w:val="16"/>
                <w:szCs w:val="16"/>
                <w:color w:val="auto"/>
                <w:w w:val="89"/>
              </w:rPr>
              <w:t>$1,784</w:t>
            </w:r>
          </w:p>
        </w:tc>
        <w:tc>
          <w:tcPr>
            <w:tcW w:w="2340" w:type="dxa"/>
            <w:vAlign w:val="bottom"/>
          </w:tcPr>
          <w:p>
            <w:pPr>
              <w:jc w:val="center"/>
              <w:ind w:left="60"/>
              <w:spacing w:after="0"/>
              <w:rPr>
                <w:sz w:val="20"/>
                <w:szCs w:val="20"/>
                <w:color w:val="auto"/>
              </w:rPr>
            </w:pPr>
            <w:r>
              <w:rPr>
                <w:rFonts w:ascii="Arial" w:cs="Arial" w:eastAsia="Arial" w:hAnsi="Arial"/>
                <w:sz w:val="16"/>
                <w:szCs w:val="16"/>
                <w:color w:val="auto"/>
                <w:w w:val="89"/>
              </w:rPr>
              <w:t>5.6597</w:t>
            </w:r>
          </w:p>
        </w:tc>
        <w:tc>
          <w:tcPr>
            <w:tcW w:w="2340" w:type="dxa"/>
            <w:vAlign w:val="bottom"/>
          </w:tcPr>
          <w:p>
            <w:pPr>
              <w:jc w:val="center"/>
              <w:spacing w:after="0"/>
              <w:rPr>
                <w:sz w:val="20"/>
                <w:szCs w:val="20"/>
                <w:color w:val="auto"/>
              </w:rPr>
            </w:pPr>
            <w:r>
              <w:rPr>
                <w:rFonts w:ascii="Arial" w:cs="Arial" w:eastAsia="Arial" w:hAnsi="Arial"/>
                <w:sz w:val="16"/>
                <w:szCs w:val="16"/>
                <w:color w:val="auto"/>
                <w:w w:val="89"/>
              </w:rPr>
              <w:t>R$10,097</w:t>
            </w:r>
          </w:p>
        </w:tc>
        <w:tc>
          <w:tcPr>
            <w:tcW w:w="1960" w:type="dxa"/>
            <w:vAlign w:val="bottom"/>
          </w:tcPr>
          <w:p>
            <w:pPr>
              <w:jc w:val="center"/>
              <w:ind w:left="20"/>
              <w:spacing w:after="0"/>
              <w:rPr>
                <w:sz w:val="20"/>
                <w:szCs w:val="20"/>
                <w:color w:val="auto"/>
              </w:rPr>
            </w:pPr>
            <w:r>
              <w:rPr>
                <w:rFonts w:ascii="Arial" w:cs="Arial" w:eastAsia="Arial" w:hAnsi="Arial"/>
                <w:sz w:val="16"/>
                <w:szCs w:val="16"/>
                <w:color w:val="auto"/>
                <w:w w:val="96"/>
              </w:rPr>
              <w:t>Nov-22</w:t>
            </w:r>
          </w:p>
        </w:tc>
        <w:tc>
          <w:tcPr>
            <w:tcW w:w="2260" w:type="dxa"/>
            <w:vAlign w:val="bottom"/>
          </w:tcPr>
          <w:p>
            <w:pPr>
              <w:jc w:val="center"/>
              <w:ind w:left="300"/>
              <w:spacing w:after="0"/>
              <w:rPr>
                <w:sz w:val="20"/>
                <w:szCs w:val="20"/>
                <w:color w:val="auto"/>
              </w:rPr>
            </w:pPr>
            <w:r>
              <w:rPr>
                <w:rFonts w:ascii="Arial" w:cs="Arial" w:eastAsia="Arial" w:hAnsi="Arial"/>
                <w:sz w:val="16"/>
                <w:szCs w:val="16"/>
                <w:color w:val="auto"/>
                <w:w w:val="87"/>
              </w:rPr>
              <w:t>81%</w:t>
            </w:r>
          </w:p>
        </w:tc>
        <w:tc>
          <w:tcPr>
            <w:tcW w:w="0" w:type="dxa"/>
            <w:vAlign w:val="bottom"/>
          </w:tcPr>
          <w:p>
            <w:pPr>
              <w:spacing w:after="0"/>
              <w:rPr>
                <w:sz w:val="1"/>
                <w:szCs w:val="1"/>
                <w:color w:val="auto"/>
              </w:rPr>
            </w:pPr>
          </w:p>
        </w:tc>
      </w:tr>
      <w:tr>
        <w:trPr>
          <w:trHeight w:val="205"/>
        </w:trPr>
        <w:tc>
          <w:tcPr>
            <w:tcW w:w="2280" w:type="dxa"/>
            <w:vAlign w:val="bottom"/>
            <w:tcBorders>
              <w:bottom w:val="single" w:sz="8" w:color="auto"/>
            </w:tcBorders>
            <w:shd w:val="clear" w:color="auto" w:fill="CCEEFF"/>
          </w:tcPr>
          <w:p>
            <w:pPr>
              <w:jc w:val="center"/>
              <w:ind w:left="200"/>
              <w:spacing w:after="0"/>
              <w:rPr>
                <w:sz w:val="20"/>
                <w:szCs w:val="20"/>
                <w:color w:val="auto"/>
              </w:rPr>
            </w:pPr>
            <w:r>
              <w:rPr>
                <w:rFonts w:ascii="Arial" w:cs="Arial" w:eastAsia="Arial" w:hAnsi="Arial"/>
                <w:sz w:val="16"/>
                <w:szCs w:val="16"/>
                <w:color w:val="auto"/>
                <w:w w:val="89"/>
              </w:rPr>
              <w:t>$1,659</w:t>
            </w:r>
          </w:p>
        </w:tc>
        <w:tc>
          <w:tcPr>
            <w:tcW w:w="2340" w:type="dxa"/>
            <w:vAlign w:val="bottom"/>
            <w:tcBorders>
              <w:bottom w:val="single" w:sz="8" w:color="auto"/>
            </w:tcBorders>
            <w:shd w:val="clear" w:color="auto" w:fill="CCEEFF"/>
          </w:tcPr>
          <w:p>
            <w:pPr>
              <w:jc w:val="center"/>
              <w:ind w:left="60"/>
              <w:spacing w:after="0"/>
              <w:rPr>
                <w:sz w:val="20"/>
                <w:szCs w:val="20"/>
                <w:color w:val="auto"/>
              </w:rPr>
            </w:pPr>
            <w:r>
              <w:rPr>
                <w:rFonts w:ascii="Arial" w:cs="Arial" w:eastAsia="Arial" w:hAnsi="Arial"/>
                <w:sz w:val="16"/>
                <w:szCs w:val="16"/>
                <w:color w:val="auto"/>
                <w:w w:val="89"/>
              </w:rPr>
              <w:t>5.6962</w:t>
            </w:r>
          </w:p>
        </w:tc>
        <w:tc>
          <w:tcPr>
            <w:tcW w:w="2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R$9,450</w:t>
            </w:r>
          </w:p>
        </w:tc>
        <w:tc>
          <w:tcPr>
            <w:tcW w:w="1960" w:type="dxa"/>
            <w:vAlign w:val="bottom"/>
            <w:tcBorders>
              <w:bottom w:val="single" w:sz="8" w:color="auto"/>
            </w:tcBorders>
            <w:shd w:val="clear" w:color="auto" w:fill="CCEEFF"/>
          </w:tcPr>
          <w:p>
            <w:pPr>
              <w:jc w:val="center"/>
              <w:ind w:left="40"/>
              <w:spacing w:after="0"/>
              <w:rPr>
                <w:sz w:val="20"/>
                <w:szCs w:val="20"/>
                <w:color w:val="auto"/>
              </w:rPr>
            </w:pPr>
            <w:r>
              <w:rPr>
                <w:rFonts w:ascii="Arial" w:cs="Arial" w:eastAsia="Arial" w:hAnsi="Arial"/>
                <w:sz w:val="16"/>
                <w:szCs w:val="16"/>
                <w:color w:val="auto"/>
                <w:w w:val="92"/>
              </w:rPr>
              <w:t>Dec-22</w:t>
            </w:r>
          </w:p>
        </w:tc>
        <w:tc>
          <w:tcPr>
            <w:tcW w:w="2260" w:type="dxa"/>
            <w:vAlign w:val="bottom"/>
            <w:tcBorders>
              <w:bottom w:val="single" w:sz="8" w:color="auto"/>
            </w:tcBorders>
            <w:shd w:val="clear" w:color="auto" w:fill="CCEEFF"/>
          </w:tcPr>
          <w:p>
            <w:pPr>
              <w:jc w:val="center"/>
              <w:ind w:left="300"/>
              <w:spacing w:after="0"/>
              <w:rPr>
                <w:sz w:val="20"/>
                <w:szCs w:val="20"/>
                <w:color w:val="auto"/>
              </w:rPr>
            </w:pPr>
            <w:r>
              <w:rPr>
                <w:rFonts w:ascii="Arial" w:cs="Arial" w:eastAsia="Arial" w:hAnsi="Arial"/>
                <w:sz w:val="16"/>
                <w:szCs w:val="16"/>
                <w:color w:val="auto"/>
                <w:w w:val="87"/>
              </w:rPr>
              <w:t>76%</w:t>
            </w:r>
          </w:p>
        </w:tc>
        <w:tc>
          <w:tcPr>
            <w:tcW w:w="0" w:type="dxa"/>
            <w:vAlign w:val="bottom"/>
          </w:tcPr>
          <w:p>
            <w:pPr>
              <w:spacing w:after="0"/>
              <w:rPr>
                <w:sz w:val="1"/>
                <w:szCs w:val="1"/>
                <w:color w:val="auto"/>
              </w:rPr>
            </w:pPr>
          </w:p>
        </w:tc>
      </w:tr>
      <w:tr>
        <w:trPr>
          <w:trHeight w:val="201"/>
        </w:trPr>
        <w:tc>
          <w:tcPr>
            <w:tcW w:w="2280" w:type="dxa"/>
            <w:vAlign w:val="bottom"/>
            <w:tcBorders>
              <w:bottom w:val="single" w:sz="8" w:color="auto"/>
            </w:tcBorders>
          </w:tcPr>
          <w:p>
            <w:pPr>
              <w:jc w:val="center"/>
              <w:ind w:left="200"/>
              <w:spacing w:after="0"/>
              <w:rPr>
                <w:sz w:val="20"/>
                <w:szCs w:val="20"/>
                <w:color w:val="auto"/>
              </w:rPr>
            </w:pPr>
            <w:r>
              <w:rPr>
                <w:rFonts w:ascii="Arial" w:cs="Arial" w:eastAsia="Arial" w:hAnsi="Arial"/>
                <w:sz w:val="16"/>
                <w:szCs w:val="16"/>
                <w:color w:val="auto"/>
                <w:w w:val="89"/>
              </w:rPr>
              <w:t>$24,456</w:t>
            </w:r>
          </w:p>
        </w:tc>
        <w:tc>
          <w:tcPr>
            <w:tcW w:w="2340" w:type="dxa"/>
            <w:vAlign w:val="bottom"/>
            <w:tcBorders>
              <w:bottom w:val="single" w:sz="8" w:color="auto"/>
            </w:tcBorders>
          </w:tcPr>
          <w:p>
            <w:pPr>
              <w:jc w:val="center"/>
              <w:ind w:left="60"/>
              <w:spacing w:after="0"/>
              <w:rPr>
                <w:sz w:val="20"/>
                <w:szCs w:val="20"/>
                <w:color w:val="auto"/>
              </w:rPr>
            </w:pPr>
            <w:r>
              <w:rPr>
                <w:rFonts w:ascii="Arial" w:cs="Arial" w:eastAsia="Arial" w:hAnsi="Arial"/>
                <w:sz w:val="16"/>
                <w:szCs w:val="16"/>
                <w:color w:val="auto"/>
                <w:w w:val="89"/>
              </w:rPr>
              <w:t>5.5112</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R$134,781</w:t>
            </w:r>
          </w:p>
        </w:tc>
        <w:tc>
          <w:tcPr>
            <w:tcW w:w="19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jc w:val="center"/>
              <w:ind w:left="300"/>
              <w:spacing w:after="0"/>
              <w:rPr>
                <w:sz w:val="20"/>
                <w:szCs w:val="20"/>
                <w:color w:val="auto"/>
              </w:rPr>
            </w:pPr>
            <w:r>
              <w:rPr>
                <w:rFonts w:ascii="Arial" w:cs="Arial" w:eastAsia="Arial" w:hAnsi="Arial"/>
                <w:sz w:val="16"/>
                <w:szCs w:val="16"/>
                <w:color w:val="auto"/>
                <w:w w:val="87"/>
              </w:rPr>
              <w:t>75%</w:t>
            </w:r>
          </w:p>
        </w:tc>
        <w:tc>
          <w:tcPr>
            <w:tcW w:w="0" w:type="dxa"/>
            <w:vAlign w:val="bottom"/>
          </w:tcPr>
          <w:p>
            <w:pPr>
              <w:spacing w:after="0"/>
              <w:rPr>
                <w:sz w:val="1"/>
                <w:szCs w:val="1"/>
                <w:color w:val="auto"/>
              </w:rPr>
            </w:pPr>
          </w:p>
        </w:tc>
      </w:tr>
    </w:tbl>
    <w:p>
      <w:pPr>
        <w:spacing w:after="0" w:line="361" w:lineRule="exact"/>
        <w:rPr>
          <w:sz w:val="20"/>
          <w:szCs w:val="20"/>
          <w:color w:val="auto"/>
        </w:rPr>
      </w:pPr>
    </w:p>
    <w:p>
      <w:pPr>
        <w:ind w:right="180" w:firstLine="362"/>
        <w:spacing w:after="0" w:line="279" w:lineRule="auto"/>
        <w:rPr>
          <w:sz w:val="20"/>
          <w:szCs w:val="20"/>
          <w:color w:val="auto"/>
        </w:rPr>
      </w:pPr>
      <w:r>
        <w:rPr>
          <w:rFonts w:ascii="Arial" w:cs="Arial" w:eastAsia="Arial" w:hAnsi="Arial"/>
          <w:sz w:val="16"/>
          <w:szCs w:val="16"/>
          <w:color w:val="auto"/>
        </w:rPr>
        <w:t>These foreign currency exchange contracts have been designated and qualify as cash flow hedges of Terphane Ltda.’s forecasted sales to customers quoted or priced in U.S. Dollars over that period. By changing the currency risk associated with</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sectPr>
      </w:pPr>
    </w:p>
    <w:bookmarkStart w:id="16" w:name="page17"/>
    <w:bookmarkEnd w:id="16"/>
    <w:p>
      <w:pPr>
        <w:ind w:right="120"/>
        <w:spacing w:after="0" w:line="265" w:lineRule="auto"/>
        <w:rPr>
          <w:sz w:val="20"/>
          <w:szCs w:val="20"/>
          <w:color w:val="auto"/>
        </w:rPr>
      </w:pPr>
      <w:r>
        <w:rPr>
          <w:rFonts w:ascii="Arial" w:cs="Arial" w:eastAsia="Arial" w:hAnsi="Arial"/>
          <w:sz w:val="16"/>
          <w:szCs w:val="16"/>
          <w:color w:val="auto"/>
        </w:rPr>
        <w:t>these U.S. Dollar sales, the derivatives have the effect of offsetting operating costs quoted or priced in Brazilian Real and decreasing the net exposure to Brazilian Real in the consolidated statements of income. Pre-tax accumulated gains of $0.9 million related to the net fair value of the open forward contracts is reported in accumulated other comprehensive income (loss) as of September 30, 2021.</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table below summarizes the location and gross amounts of foreign currency forward contract fair values (Level 2) in the consolidated balance sheets as of</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2021 and December 31, 2020:</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60" w:type="dxa"/>
            <w:vAlign w:val="bottom"/>
            <w:tcBorders>
              <w:top w:val="single" w:sz="8" w:color="auto"/>
            </w:tcBorders>
          </w:tcPr>
          <w:p>
            <w:pPr>
              <w:spacing w:after="0"/>
              <w:rPr>
                <w:sz w:val="19"/>
                <w:szCs w:val="19"/>
                <w:color w:val="auto"/>
              </w:rPr>
            </w:pPr>
          </w:p>
        </w:tc>
        <w:tc>
          <w:tcPr>
            <w:tcW w:w="3340" w:type="dxa"/>
            <w:vAlign w:val="bottom"/>
            <w:tcBorders>
              <w:top w:val="single" w:sz="8" w:color="auto"/>
            </w:tcBorders>
            <w:gridSpan w:val="4"/>
          </w:tcPr>
          <w:p>
            <w:pPr>
              <w:ind w:left="1160"/>
              <w:spacing w:after="0"/>
              <w:rPr>
                <w:sz w:val="20"/>
                <w:szCs w:val="20"/>
                <w:color w:val="auto"/>
              </w:rPr>
            </w:pPr>
            <w:r>
              <w:rPr>
                <w:rFonts w:ascii="Arial" w:cs="Arial" w:eastAsia="Arial" w:hAnsi="Arial"/>
                <w:sz w:val="16"/>
                <w:szCs w:val="16"/>
                <w:color w:val="auto"/>
              </w:rPr>
              <w:t>September 30, 2021</w:t>
            </w:r>
          </w:p>
        </w:tc>
        <w:tc>
          <w:tcPr>
            <w:tcW w:w="3260" w:type="dxa"/>
            <w:vAlign w:val="bottom"/>
            <w:tcBorders>
              <w:top w:val="single" w:sz="8" w:color="auto"/>
            </w:tcBorders>
            <w:gridSpan w:val="3"/>
          </w:tcPr>
          <w:p>
            <w:pPr>
              <w:ind w:left="1180"/>
              <w:spacing w:after="0"/>
              <w:rPr>
                <w:sz w:val="20"/>
                <w:szCs w:val="20"/>
                <w:color w:val="auto"/>
              </w:rPr>
            </w:pPr>
            <w:r>
              <w:rPr>
                <w:rFonts w:ascii="Arial" w:cs="Arial" w:eastAsia="Arial" w:hAnsi="Arial"/>
                <w:sz w:val="16"/>
                <w:szCs w:val="16"/>
                <w:color w:val="auto"/>
              </w:rPr>
              <w:t>December 31, 2020</w:t>
            </w:r>
          </w:p>
        </w:tc>
        <w:tc>
          <w:tcPr>
            <w:tcW w:w="0" w:type="dxa"/>
            <w:vAlign w:val="bottom"/>
          </w:tcPr>
          <w:p>
            <w:pPr>
              <w:spacing w:after="0"/>
              <w:rPr>
                <w:sz w:val="1"/>
                <w:szCs w:val="1"/>
                <w:color w:val="auto"/>
              </w:rPr>
            </w:pPr>
          </w:p>
        </w:tc>
      </w:tr>
      <w:tr>
        <w:trPr>
          <w:trHeight w:val="149"/>
        </w:trPr>
        <w:tc>
          <w:tcPr>
            <w:tcW w:w="4660" w:type="dxa"/>
            <w:vAlign w:val="bottom"/>
            <w:vMerge w:val="restart"/>
          </w:tcPr>
          <w:p>
            <w:pPr>
              <w:ind w:left="380"/>
              <w:spacing w:after="0"/>
              <w:rPr>
                <w:sz w:val="20"/>
                <w:szCs w:val="20"/>
                <w:color w:val="auto"/>
              </w:rPr>
            </w:pPr>
            <w:r>
              <w:rPr>
                <w:rFonts w:ascii="Arial" w:cs="Arial" w:eastAsia="Arial" w:hAnsi="Arial"/>
                <w:sz w:val="16"/>
                <w:szCs w:val="16"/>
                <w:color w:val="auto"/>
              </w:rPr>
              <w:t>(In thousands)</w:t>
            </w:r>
          </w:p>
        </w:tc>
        <w:tc>
          <w:tcPr>
            <w:tcW w:w="2040" w:type="dxa"/>
            <w:vAlign w:val="bottom"/>
            <w:tcBorders>
              <w:top w:val="single" w:sz="8" w:color="auto"/>
            </w:tcBorders>
          </w:tcPr>
          <w:p>
            <w:pPr>
              <w:jc w:val="center"/>
              <w:ind w:left="80"/>
              <w:spacing w:after="0" w:line="149" w:lineRule="exact"/>
              <w:rPr>
                <w:sz w:val="20"/>
                <w:szCs w:val="20"/>
                <w:color w:val="auto"/>
              </w:rPr>
            </w:pPr>
            <w:r>
              <w:rPr>
                <w:rFonts w:ascii="Arial" w:cs="Arial" w:eastAsia="Arial" w:hAnsi="Arial"/>
                <w:sz w:val="16"/>
                <w:szCs w:val="16"/>
                <w:color w:val="auto"/>
                <w:w w:val="88"/>
              </w:rPr>
              <w:t>Balance Sheet</w:t>
            </w:r>
          </w:p>
        </w:tc>
        <w:tc>
          <w:tcPr>
            <w:tcW w:w="3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60"/>
              <w:spacing w:after="0" w:line="149" w:lineRule="exact"/>
              <w:rPr>
                <w:sz w:val="20"/>
                <w:szCs w:val="20"/>
                <w:color w:val="auto"/>
              </w:rPr>
            </w:pPr>
            <w:r>
              <w:rPr>
                <w:rFonts w:ascii="Arial" w:cs="Arial" w:eastAsia="Arial" w:hAnsi="Arial"/>
                <w:sz w:val="16"/>
                <w:szCs w:val="16"/>
                <w:color w:val="auto"/>
              </w:rPr>
              <w:t>Fair</w:t>
            </w:r>
          </w:p>
        </w:tc>
        <w:tc>
          <w:tcPr>
            <w:tcW w:w="100" w:type="dxa"/>
            <w:vAlign w:val="bottom"/>
          </w:tcPr>
          <w:p>
            <w:pPr>
              <w:spacing w:after="0"/>
              <w:rPr>
                <w:sz w:val="12"/>
                <w:szCs w:val="12"/>
                <w:color w:val="auto"/>
              </w:rPr>
            </w:pPr>
          </w:p>
        </w:tc>
        <w:tc>
          <w:tcPr>
            <w:tcW w:w="2040" w:type="dxa"/>
            <w:vAlign w:val="bottom"/>
            <w:tcBorders>
              <w:top w:val="single" w:sz="8" w:color="auto"/>
            </w:tcBorders>
          </w:tcPr>
          <w:p>
            <w:pPr>
              <w:jc w:val="center"/>
              <w:ind w:left="80"/>
              <w:spacing w:after="0" w:line="149" w:lineRule="exact"/>
              <w:rPr>
                <w:sz w:val="20"/>
                <w:szCs w:val="20"/>
                <w:color w:val="auto"/>
              </w:rPr>
            </w:pPr>
            <w:r>
              <w:rPr>
                <w:rFonts w:ascii="Arial" w:cs="Arial" w:eastAsia="Arial" w:hAnsi="Arial"/>
                <w:sz w:val="16"/>
                <w:szCs w:val="16"/>
                <w:color w:val="auto"/>
                <w:w w:val="88"/>
              </w:rPr>
              <w:t>Balance Sheet</w:t>
            </w:r>
          </w:p>
        </w:tc>
        <w:tc>
          <w:tcPr>
            <w:tcW w:w="3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240"/>
              <w:spacing w:after="0" w:line="149" w:lineRule="exact"/>
              <w:rPr>
                <w:sz w:val="20"/>
                <w:szCs w:val="20"/>
                <w:color w:val="auto"/>
              </w:rPr>
            </w:pPr>
            <w:r>
              <w:rPr>
                <w:rFonts w:ascii="Arial" w:cs="Arial" w:eastAsia="Arial" w:hAnsi="Arial"/>
                <w:sz w:val="16"/>
                <w:szCs w:val="16"/>
                <w:color w:val="auto"/>
              </w:rPr>
              <w:t>Fair</w:t>
            </w:r>
          </w:p>
        </w:tc>
        <w:tc>
          <w:tcPr>
            <w:tcW w:w="0" w:type="dxa"/>
            <w:vAlign w:val="bottom"/>
          </w:tcPr>
          <w:p>
            <w:pPr>
              <w:spacing w:after="0"/>
              <w:rPr>
                <w:sz w:val="1"/>
                <w:szCs w:val="1"/>
                <w:color w:val="auto"/>
              </w:rPr>
            </w:pPr>
          </w:p>
        </w:tc>
      </w:tr>
      <w:tr>
        <w:trPr>
          <w:trHeight w:val="205"/>
        </w:trPr>
        <w:tc>
          <w:tcPr>
            <w:tcW w:w="4660" w:type="dxa"/>
            <w:vAlign w:val="bottom"/>
            <w:tcBorders>
              <w:bottom w:val="single" w:sz="8" w:color="auto"/>
            </w:tcBorders>
            <w:vMerge w:val="continue"/>
          </w:tcPr>
          <w:p>
            <w:pPr>
              <w:spacing w:after="0"/>
              <w:rPr>
                <w:sz w:val="17"/>
                <w:szCs w:val="17"/>
                <w:color w:val="auto"/>
              </w:rPr>
            </w:pPr>
          </w:p>
        </w:tc>
        <w:tc>
          <w:tcPr>
            <w:tcW w:w="204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color w:val="auto"/>
                <w:w w:val="93"/>
              </w:rPr>
              <w:t>Account</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Value</w:t>
            </w:r>
          </w:p>
        </w:tc>
        <w:tc>
          <w:tcPr>
            <w:tcW w:w="204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color w:val="auto"/>
                <w:w w:val="93"/>
              </w:rPr>
              <w:t>Account</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197"/>
        </w:trPr>
        <w:tc>
          <w:tcPr>
            <w:tcW w:w="4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Derivatives Designated as Hedging Instruments</w:t>
            </w:r>
          </w:p>
        </w:tc>
        <w:tc>
          <w:tcPr>
            <w:tcW w:w="2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660" w:type="dxa"/>
            <w:vAlign w:val="bottom"/>
          </w:tcPr>
          <w:p>
            <w:pPr>
              <w:ind w:left="20"/>
              <w:spacing w:after="0" w:line="157" w:lineRule="exact"/>
              <w:rPr>
                <w:sz w:val="20"/>
                <w:szCs w:val="20"/>
                <w:color w:val="auto"/>
              </w:rPr>
            </w:pPr>
            <w:r>
              <w:rPr>
                <w:rFonts w:ascii="Arial" w:cs="Arial" w:eastAsia="Arial" w:hAnsi="Arial"/>
                <w:sz w:val="16"/>
                <w:szCs w:val="16"/>
                <w:color w:val="auto"/>
              </w:rPr>
              <w:t>Asset derivatives:</w:t>
            </w:r>
          </w:p>
        </w:tc>
        <w:tc>
          <w:tcPr>
            <w:tcW w:w="2040" w:type="dxa"/>
            <w:vAlign w:val="bottom"/>
          </w:tcPr>
          <w:p>
            <w:pPr>
              <w:jc w:val="center"/>
              <w:ind w:left="60"/>
              <w:spacing w:after="0" w:line="157" w:lineRule="exact"/>
              <w:rPr>
                <w:sz w:val="20"/>
                <w:szCs w:val="20"/>
                <w:color w:val="auto"/>
              </w:rPr>
            </w:pPr>
            <w:r>
              <w:rPr>
                <w:rFonts w:ascii="Arial" w:cs="Arial" w:eastAsia="Arial" w:hAnsi="Arial"/>
                <w:sz w:val="16"/>
                <w:szCs w:val="16"/>
                <w:color w:val="auto"/>
                <w:w w:val="86"/>
              </w:rPr>
              <w:t>Prepaid expenses and</w:t>
            </w: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3"/>
                <w:szCs w:val="13"/>
                <w:color w:val="auto"/>
              </w:rPr>
            </w:pPr>
          </w:p>
        </w:tc>
        <w:tc>
          <w:tcPr>
            <w:tcW w:w="2040" w:type="dxa"/>
            <w:vAlign w:val="bottom"/>
          </w:tcPr>
          <w:p>
            <w:pPr>
              <w:jc w:val="center"/>
              <w:ind w:left="80"/>
              <w:spacing w:after="0" w:line="157" w:lineRule="exact"/>
              <w:rPr>
                <w:sz w:val="20"/>
                <w:szCs w:val="20"/>
                <w:color w:val="auto"/>
              </w:rPr>
            </w:pPr>
            <w:r>
              <w:rPr>
                <w:rFonts w:ascii="Arial" w:cs="Arial" w:eastAsia="Arial" w:hAnsi="Arial"/>
                <w:sz w:val="16"/>
                <w:szCs w:val="16"/>
                <w:color w:val="auto"/>
                <w:w w:val="87"/>
              </w:rPr>
              <w:t>Prepaid expenses and</w:t>
            </w: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center"/>
              <w:ind w:left="380"/>
              <w:spacing w:after="0"/>
              <w:rPr>
                <w:sz w:val="20"/>
                <w:szCs w:val="20"/>
                <w:color w:val="auto"/>
              </w:rPr>
            </w:pPr>
            <w:r>
              <w:rPr>
                <w:rFonts w:ascii="Arial" w:cs="Arial" w:eastAsia="Arial" w:hAnsi="Arial"/>
                <w:sz w:val="16"/>
                <w:szCs w:val="16"/>
                <w:color w:val="auto"/>
                <w:w w:val="89"/>
              </w:rPr>
              <w:t>853</w:t>
            </w:r>
          </w:p>
        </w:tc>
        <w:tc>
          <w:tcPr>
            <w:tcW w:w="0" w:type="dxa"/>
            <w:vAlign w:val="bottom"/>
          </w:tcPr>
          <w:p>
            <w:pPr>
              <w:spacing w:after="0"/>
              <w:rPr>
                <w:sz w:val="1"/>
                <w:szCs w:val="1"/>
                <w:color w:val="auto"/>
              </w:rPr>
            </w:pPr>
          </w:p>
        </w:tc>
      </w:tr>
      <w:tr>
        <w:trPr>
          <w:trHeight w:val="205"/>
        </w:trPr>
        <w:tc>
          <w:tcPr>
            <w:tcW w:w="4660" w:type="dxa"/>
            <w:vAlign w:val="bottom"/>
          </w:tcPr>
          <w:p>
            <w:pPr>
              <w:ind w:left="660"/>
              <w:spacing w:after="0"/>
              <w:rPr>
                <w:sz w:val="20"/>
                <w:szCs w:val="20"/>
                <w:color w:val="auto"/>
              </w:rPr>
            </w:pPr>
            <w:r>
              <w:rPr>
                <w:rFonts w:ascii="Arial" w:cs="Arial" w:eastAsia="Arial" w:hAnsi="Arial"/>
                <w:sz w:val="16"/>
                <w:szCs w:val="16"/>
                <w:color w:val="auto"/>
              </w:rPr>
              <w:t>Foreign currency forward contracts</w:t>
            </w:r>
          </w:p>
        </w:tc>
        <w:tc>
          <w:tcPr>
            <w:tcW w:w="2040" w:type="dxa"/>
            <w:vAlign w:val="bottom"/>
          </w:tcPr>
          <w:p>
            <w:pPr>
              <w:jc w:val="center"/>
              <w:ind w:right="120"/>
              <w:spacing w:after="0"/>
              <w:rPr>
                <w:sz w:val="20"/>
                <w:szCs w:val="20"/>
                <w:color w:val="auto"/>
              </w:rPr>
            </w:pPr>
            <w:r>
              <w:rPr>
                <w:rFonts w:ascii="Arial" w:cs="Arial" w:eastAsia="Arial" w:hAnsi="Arial"/>
                <w:sz w:val="16"/>
                <w:szCs w:val="16"/>
                <w:color w:val="auto"/>
                <w:w w:val="87"/>
              </w:rPr>
              <w:t>other</w:t>
            </w:r>
          </w:p>
        </w:tc>
        <w:tc>
          <w:tcPr>
            <w:tcW w:w="3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ind w:right="120"/>
              <w:spacing w:after="0"/>
              <w:rPr>
                <w:sz w:val="20"/>
                <w:szCs w:val="20"/>
                <w:color w:val="auto"/>
              </w:rPr>
            </w:pPr>
            <w:r>
              <w:rPr>
                <w:rFonts w:ascii="Arial" w:cs="Arial" w:eastAsia="Arial" w:hAnsi="Arial"/>
                <w:sz w:val="16"/>
                <w:szCs w:val="16"/>
                <w:color w:val="auto"/>
                <w:w w:val="87"/>
              </w:rPr>
              <w:t>other</w:t>
            </w:r>
          </w:p>
        </w:tc>
        <w:tc>
          <w:tcPr>
            <w:tcW w:w="3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66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Liability derivatives:</w:t>
            </w:r>
          </w:p>
        </w:tc>
        <w:tc>
          <w:tcPr>
            <w:tcW w:w="2040" w:type="dxa"/>
            <w:vAlign w:val="bottom"/>
            <w:vMerge w:val="restart"/>
            <w:shd w:val="clear" w:color="auto" w:fill="CCEEFF"/>
          </w:tcPr>
          <w:p>
            <w:pPr>
              <w:jc w:val="center"/>
              <w:ind w:left="80"/>
              <w:spacing w:after="0"/>
              <w:rPr>
                <w:sz w:val="20"/>
                <w:szCs w:val="20"/>
                <w:color w:val="auto"/>
              </w:rPr>
            </w:pPr>
            <w:r>
              <w:rPr>
                <w:rFonts w:ascii="Arial" w:cs="Arial" w:eastAsia="Arial" w:hAnsi="Arial"/>
                <w:sz w:val="16"/>
                <w:szCs w:val="16"/>
                <w:color w:val="auto"/>
                <w:w w:val="88"/>
              </w:rPr>
              <w:t>Accrued expenses</w:t>
            </w:r>
          </w:p>
        </w:tc>
        <w:tc>
          <w:tcPr>
            <w:tcW w:w="3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100" w:type="dxa"/>
            <w:vAlign w:val="bottom"/>
            <w:shd w:val="clear" w:color="auto" w:fill="CCEEFF"/>
          </w:tcPr>
          <w:p>
            <w:pPr>
              <w:spacing w:after="0"/>
              <w:rPr>
                <w:sz w:val="13"/>
                <w:szCs w:val="13"/>
                <w:color w:val="auto"/>
              </w:rPr>
            </w:pPr>
          </w:p>
        </w:tc>
        <w:tc>
          <w:tcPr>
            <w:tcW w:w="2040" w:type="dxa"/>
            <w:vAlign w:val="bottom"/>
            <w:vMerge w:val="restart"/>
            <w:shd w:val="clear" w:color="auto" w:fill="CCEEFF"/>
          </w:tcPr>
          <w:p>
            <w:pPr>
              <w:jc w:val="center"/>
              <w:ind w:left="80"/>
              <w:spacing w:after="0"/>
              <w:rPr>
                <w:sz w:val="20"/>
                <w:szCs w:val="20"/>
                <w:color w:val="auto"/>
              </w:rPr>
            </w:pPr>
            <w:r>
              <w:rPr>
                <w:rFonts w:ascii="Arial" w:cs="Arial" w:eastAsia="Arial" w:hAnsi="Arial"/>
                <w:sz w:val="16"/>
                <w:szCs w:val="16"/>
                <w:color w:val="auto"/>
                <w:w w:val="88"/>
              </w:rPr>
              <w:t>Accrued expenses</w:t>
            </w:r>
          </w:p>
        </w:tc>
        <w:tc>
          <w:tcPr>
            <w:tcW w:w="3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center"/>
              <w:ind w:left="360"/>
              <w:spacing w:after="0"/>
              <w:rPr>
                <w:sz w:val="20"/>
                <w:szCs w:val="20"/>
                <w:color w:val="auto"/>
              </w:rPr>
            </w:pPr>
            <w:r>
              <w:rPr>
                <w:rFonts w:ascii="Arial" w:cs="Arial" w:eastAsia="Arial" w:hAnsi="Arial"/>
                <w:sz w:val="16"/>
                <w:szCs w:val="16"/>
                <w:color w:val="auto"/>
                <w:w w:val="90"/>
              </w:rPr>
              <w:t>(466)</w:t>
            </w:r>
          </w:p>
        </w:tc>
        <w:tc>
          <w:tcPr>
            <w:tcW w:w="0" w:type="dxa"/>
            <w:vAlign w:val="bottom"/>
          </w:tcPr>
          <w:p>
            <w:pPr>
              <w:spacing w:after="0"/>
              <w:rPr>
                <w:sz w:val="1"/>
                <w:szCs w:val="1"/>
                <w:color w:val="auto"/>
              </w:rPr>
            </w:pPr>
          </w:p>
        </w:tc>
      </w:tr>
      <w:tr>
        <w:trPr>
          <w:trHeight w:val="205"/>
        </w:trPr>
        <w:tc>
          <w:tcPr>
            <w:tcW w:w="46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Foreign currency forward contracts</w:t>
            </w:r>
          </w:p>
        </w:tc>
        <w:tc>
          <w:tcPr>
            <w:tcW w:w="2040" w:type="dxa"/>
            <w:vAlign w:val="bottom"/>
            <w:tcBorders>
              <w:bottom w:val="single" w:sz="8" w:color="auto"/>
            </w:tcBorders>
            <w:vMerge w:val="continue"/>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vMerge w:val="continue"/>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Net asset (liability)</w:t>
            </w:r>
          </w:p>
        </w:tc>
        <w:tc>
          <w:tcPr>
            <w:tcW w:w="20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w:t>
            </w:r>
          </w:p>
        </w:tc>
        <w:tc>
          <w:tcPr>
            <w:tcW w:w="1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center"/>
              <w:ind w:left="380"/>
              <w:spacing w:after="0"/>
              <w:rPr>
                <w:sz w:val="20"/>
                <w:szCs w:val="20"/>
                <w:color w:val="auto"/>
              </w:rPr>
            </w:pPr>
            <w:r>
              <w:rPr>
                <w:rFonts w:ascii="Arial" w:cs="Arial" w:eastAsia="Arial" w:hAnsi="Arial"/>
                <w:sz w:val="16"/>
                <w:szCs w:val="16"/>
                <w:color w:val="auto"/>
                <w:w w:val="89"/>
              </w:rPr>
              <w:t>387</w:t>
            </w:r>
          </w:p>
        </w:tc>
        <w:tc>
          <w:tcPr>
            <w:tcW w:w="0" w:type="dxa"/>
            <w:vAlign w:val="bottom"/>
          </w:tcPr>
          <w:p>
            <w:pPr>
              <w:spacing w:after="0"/>
              <w:rPr>
                <w:sz w:val="1"/>
                <w:szCs w:val="1"/>
                <w:color w:val="auto"/>
              </w:rPr>
            </w:pPr>
          </w:p>
        </w:tc>
      </w:tr>
    </w:tbl>
    <w:p>
      <w:pPr>
        <w:spacing w:after="0" w:line="361" w:lineRule="exact"/>
        <w:rPr>
          <w:sz w:val="20"/>
          <w:szCs w:val="20"/>
          <w:color w:val="auto"/>
        </w:rPr>
      </w:pPr>
    </w:p>
    <w:p>
      <w:pPr>
        <w:jc w:val="both"/>
        <w:ind w:right="40" w:firstLine="362"/>
        <w:spacing w:after="0" w:line="283" w:lineRule="auto"/>
        <w:rPr>
          <w:sz w:val="20"/>
          <w:szCs w:val="20"/>
          <w:color w:val="auto"/>
        </w:rPr>
      </w:pPr>
      <w:r>
        <w:rPr>
          <w:rFonts w:ascii="Arial" w:cs="Arial" w:eastAsia="Arial" w:hAnsi="Arial"/>
          <w:sz w:val="15"/>
          <w:szCs w:val="15"/>
          <w:color w:val="auto"/>
        </w:rPr>
        <w:t>These derivative contracts involve elements of market risk that are not reflected on the consolidated balance sheet, including the risk of dealing with counterparties and their ability to meet the terms of the contracts. The counterparties to any forward purchase commitments are major aluminum brokers and suppliers, and the counterparties to any aluminum futures contracts are major financial institutions. Fixed-price forward sales contracts are only made available to the best and most credit-worthy customers. The counterparties to the Company’s foreign currency cash flow hedge contracts are major financial institutions.</w:t>
      </w:r>
    </w:p>
    <w:p>
      <w:pPr>
        <w:spacing w:after="0" w:line="43" w:lineRule="exact"/>
        <w:rPr>
          <w:sz w:val="20"/>
          <w:szCs w:val="20"/>
          <w:color w:val="auto"/>
        </w:rPr>
      </w:pPr>
    </w:p>
    <w:p>
      <w:pPr>
        <w:ind w:right="340" w:firstLine="362"/>
        <w:spacing w:after="0" w:line="275" w:lineRule="auto"/>
        <w:rPr>
          <w:sz w:val="20"/>
          <w:szCs w:val="20"/>
          <w:color w:val="auto"/>
        </w:rPr>
      </w:pPr>
      <w:r>
        <w:rPr>
          <w:rFonts w:ascii="Arial" w:cs="Arial" w:eastAsia="Arial" w:hAnsi="Arial"/>
          <w:sz w:val="16"/>
          <w:szCs w:val="16"/>
          <w:color w:val="auto"/>
        </w:rPr>
        <w:t>The pretax effect on net income (loss) and other comprehensive income (loss) of derivative instruments classified as cash flow hedges and described in the previous paragraphs for the three and nine month periods ended September 30, 2021 and 2020 is summarized in the table below:</w:t>
      </w:r>
    </w:p>
    <w:tbl>
      <w:tblPr>
        <w:tblLayout w:type="fixed"/>
        <w:tblInd w:w="0" w:type="dxa"/>
        <w:tblCellMar>
          <w:top w:w="0" w:type="dxa"/>
          <w:left w:w="0" w:type="dxa"/>
          <w:bottom w:w="0" w:type="dxa"/>
          <w:right w:w="0" w:type="dxa"/>
        </w:tblCellMar>
      </w:tblPr>
      <w:tr>
        <w:trPr>
          <w:trHeight w:val="210"/>
        </w:trPr>
        <w:tc>
          <w:tcPr>
            <w:tcW w:w="336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4"/>
          </w:tcPr>
          <w:p>
            <w:pPr>
              <w:ind w:left="380"/>
              <w:spacing w:after="0"/>
              <w:rPr>
                <w:sz w:val="20"/>
                <w:szCs w:val="20"/>
                <w:color w:val="auto"/>
              </w:rPr>
            </w:pPr>
            <w:r>
              <w:rPr>
                <w:rFonts w:ascii="Arial" w:cs="Arial" w:eastAsia="Arial" w:hAnsi="Arial"/>
                <w:sz w:val="16"/>
                <w:szCs w:val="16"/>
                <w:color w:val="auto"/>
              </w:rPr>
              <w:t>Cash Flow Derivative Hedges</w:t>
            </w:r>
          </w:p>
        </w:tc>
        <w:tc>
          <w:tcPr>
            <w:tcW w:w="4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3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color w:val="auto"/>
                <w:w w:val="94"/>
              </w:rPr>
              <w:t>Three Months Ended September 30,</w:t>
            </w: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6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Aluminum Futures Contracts</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80" w:type="dxa"/>
            <w:vAlign w:val="bottom"/>
            <w:gridSpan w:val="3"/>
          </w:tcPr>
          <w:p>
            <w:pPr>
              <w:jc w:val="right"/>
              <w:ind w:right="40"/>
              <w:spacing w:after="0"/>
              <w:rPr>
                <w:sz w:val="20"/>
                <w:szCs w:val="20"/>
                <w:color w:val="auto"/>
              </w:rPr>
            </w:pPr>
            <w:r>
              <w:rPr>
                <w:rFonts w:ascii="Arial" w:cs="Arial" w:eastAsia="Arial" w:hAnsi="Arial"/>
                <w:sz w:val="16"/>
                <w:szCs w:val="16"/>
                <w:color w:val="auto"/>
                <w:w w:val="99"/>
              </w:rPr>
              <w:t>Foreign Currency Forwards</w:t>
            </w: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 thousands)</w:t>
            </w: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2021</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jc w:val="right"/>
              <w:ind w:right="340"/>
              <w:spacing w:after="0"/>
              <w:rPr>
                <w:sz w:val="20"/>
                <w:szCs w:val="20"/>
                <w:color w:val="auto"/>
              </w:rPr>
            </w:pPr>
            <w:r>
              <w:rPr>
                <w:rFonts w:ascii="Arial" w:cs="Arial" w:eastAsia="Arial" w:hAnsi="Arial"/>
                <w:sz w:val="16"/>
                <w:szCs w:val="16"/>
                <w:color w:val="auto"/>
              </w:rPr>
              <w:t>2020</w:t>
            </w:r>
          </w:p>
        </w:tc>
        <w:tc>
          <w:tcPr>
            <w:tcW w:w="4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2021</w:t>
            </w:r>
          </w:p>
        </w:tc>
        <w:tc>
          <w:tcPr>
            <w:tcW w:w="9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2020</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ind w:left="380"/>
              <w:spacing w:after="0" w:line="149" w:lineRule="exact"/>
              <w:rPr>
                <w:sz w:val="20"/>
                <w:szCs w:val="20"/>
                <w:color w:val="auto"/>
              </w:rPr>
            </w:pPr>
            <w:r>
              <w:rPr>
                <w:rFonts w:ascii="Arial" w:cs="Arial" w:eastAsia="Arial" w:hAnsi="Arial"/>
                <w:sz w:val="16"/>
                <w:szCs w:val="16"/>
                <w:color w:val="auto"/>
                <w:w w:val="98"/>
              </w:rPr>
              <w:t>Amount of pretax gain (loss) recognized in</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2,919</w:t>
            </w:r>
          </w:p>
        </w:tc>
        <w:tc>
          <w:tcPr>
            <w:tcW w:w="380" w:type="dxa"/>
            <w:vAlign w:val="bottom"/>
            <w:vMerge w:val="restart"/>
            <w:shd w:val="clear" w:color="auto" w:fill="CCEEFF"/>
          </w:tcPr>
          <w:p>
            <w:pPr>
              <w:ind w:left="280"/>
              <w:spacing w:after="0"/>
              <w:rPr>
                <w:sz w:val="20"/>
                <w:szCs w:val="20"/>
                <w:color w:val="auto"/>
              </w:rPr>
            </w:pPr>
            <w:r>
              <w:rPr>
                <w:rFonts w:ascii="Arial" w:cs="Arial" w:eastAsia="Arial" w:hAnsi="Arial"/>
                <w:sz w:val="16"/>
                <w:szCs w:val="16"/>
                <w:color w:val="auto"/>
                <w:w w:val="89"/>
              </w:rPr>
              <w:t>$</w:t>
            </w:r>
          </w:p>
        </w:tc>
        <w:tc>
          <w:tcPr>
            <w:tcW w:w="940" w:type="dxa"/>
            <w:vAlign w:val="bottom"/>
            <w:tcBorders>
              <w:right w:val="single" w:sz="8" w:color="auto"/>
            </w:tcBorders>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1,158</w:t>
            </w:r>
          </w:p>
        </w:tc>
        <w:tc>
          <w:tcPr>
            <w:tcW w:w="480" w:type="dxa"/>
            <w:vAlign w:val="bottom"/>
            <w:vMerge w:val="restart"/>
            <w:shd w:val="clear" w:color="auto" w:fill="CCEEFF"/>
          </w:tcPr>
          <w:p>
            <w:pPr>
              <w:ind w:left="380"/>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(1,670)</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52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940" w:type="dxa"/>
            <w:vAlign w:val="bottom"/>
            <w:tcBorders>
              <w:right w:val="single" w:sz="8" w:color="auto"/>
            </w:tcBorders>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360" w:type="dxa"/>
            <w:vAlign w:val="bottom"/>
          </w:tcPr>
          <w:p>
            <w:pPr>
              <w:ind w:left="380"/>
              <w:spacing w:after="0" w:line="157" w:lineRule="exact"/>
              <w:rPr>
                <w:sz w:val="20"/>
                <w:szCs w:val="20"/>
                <w:color w:val="auto"/>
              </w:rPr>
            </w:pPr>
            <w:r>
              <w:rPr>
                <w:rFonts w:ascii="Arial" w:cs="Arial" w:eastAsia="Arial" w:hAnsi="Arial"/>
                <w:sz w:val="16"/>
                <w:szCs w:val="16"/>
                <w:color w:val="auto"/>
              </w:rPr>
              <w:t>Location of gain (loss) reclassified from</w:t>
            </w:r>
          </w:p>
        </w:tc>
        <w:tc>
          <w:tcPr>
            <w:tcW w:w="520" w:type="dxa"/>
            <w:vAlign w:val="bottom"/>
          </w:tcPr>
          <w:p>
            <w:pPr>
              <w:spacing w:after="0"/>
              <w:rPr>
                <w:sz w:val="13"/>
                <w:szCs w:val="13"/>
                <w:color w:val="auto"/>
              </w:rPr>
            </w:pPr>
          </w:p>
        </w:tc>
        <w:tc>
          <w:tcPr>
            <w:tcW w:w="940" w:type="dxa"/>
            <w:vAlign w:val="bottom"/>
            <w:vMerge w:val="restart"/>
          </w:tcPr>
          <w:p>
            <w:pPr>
              <w:ind w:left="60"/>
              <w:spacing w:after="0"/>
              <w:rPr>
                <w:sz w:val="20"/>
                <w:szCs w:val="20"/>
                <w:color w:val="auto"/>
              </w:rPr>
            </w:pPr>
            <w:r>
              <w:rPr>
                <w:rFonts w:ascii="Arial" w:cs="Arial" w:eastAsia="Arial" w:hAnsi="Arial"/>
                <w:sz w:val="16"/>
                <w:szCs w:val="16"/>
                <w:color w:val="auto"/>
              </w:rPr>
              <w:t>Cost of</w:t>
            </w:r>
          </w:p>
        </w:tc>
        <w:tc>
          <w:tcPr>
            <w:tcW w:w="1320" w:type="dxa"/>
            <w:vAlign w:val="bottom"/>
            <w:tcBorders>
              <w:right w:val="single" w:sz="8" w:color="auto"/>
            </w:tcBorders>
            <w:gridSpan w:val="2"/>
            <w:vMerge w:val="restart"/>
          </w:tcPr>
          <w:p>
            <w:pPr>
              <w:ind w:left="280"/>
              <w:spacing w:after="0"/>
              <w:rPr>
                <w:sz w:val="20"/>
                <w:szCs w:val="20"/>
                <w:color w:val="auto"/>
              </w:rPr>
            </w:pPr>
            <w:r>
              <w:rPr>
                <w:rFonts w:ascii="Arial" w:cs="Arial" w:eastAsia="Arial" w:hAnsi="Arial"/>
                <w:sz w:val="16"/>
                <w:szCs w:val="16"/>
                <w:color w:val="auto"/>
              </w:rPr>
              <w:t>Cost of goods</w:t>
            </w:r>
          </w:p>
        </w:tc>
        <w:tc>
          <w:tcPr>
            <w:tcW w:w="480" w:type="dxa"/>
            <w:vAlign w:val="bottom"/>
          </w:tcPr>
          <w:p>
            <w:pPr>
              <w:spacing w:after="0"/>
              <w:rPr>
                <w:sz w:val="13"/>
                <w:szCs w:val="13"/>
                <w:color w:val="auto"/>
              </w:rPr>
            </w:pPr>
          </w:p>
        </w:tc>
        <w:tc>
          <w:tcPr>
            <w:tcW w:w="680" w:type="dxa"/>
            <w:vAlign w:val="bottom"/>
            <w:vMerge w:val="restart"/>
          </w:tcPr>
          <w:p>
            <w:pPr>
              <w:ind w:left="40"/>
              <w:spacing w:after="0"/>
              <w:rPr>
                <w:sz w:val="20"/>
                <w:szCs w:val="20"/>
                <w:color w:val="auto"/>
              </w:rPr>
            </w:pPr>
            <w:r>
              <w:rPr>
                <w:rFonts w:ascii="Arial" w:cs="Arial" w:eastAsia="Arial" w:hAnsi="Arial"/>
                <w:sz w:val="16"/>
                <w:szCs w:val="16"/>
                <w:color w:val="auto"/>
              </w:rPr>
              <w:t>Cost of</w:t>
            </w:r>
          </w:p>
        </w:tc>
        <w:tc>
          <w:tcPr>
            <w:tcW w:w="500" w:type="dxa"/>
            <w:vAlign w:val="bottom"/>
          </w:tcPr>
          <w:p>
            <w:pPr>
              <w:spacing w:after="0"/>
              <w:rPr>
                <w:sz w:val="13"/>
                <w:szCs w:val="13"/>
                <w:color w:val="auto"/>
              </w:rPr>
            </w:pPr>
          </w:p>
        </w:tc>
        <w:tc>
          <w:tcPr>
            <w:tcW w:w="980" w:type="dxa"/>
            <w:vAlign w:val="bottom"/>
            <w:vMerge w:val="restart"/>
          </w:tcPr>
          <w:p>
            <w:pPr>
              <w:jc w:val="right"/>
              <w:ind w:right="340"/>
              <w:spacing w:after="0"/>
              <w:rPr>
                <w:sz w:val="20"/>
                <w:szCs w:val="20"/>
                <w:color w:val="auto"/>
              </w:rPr>
            </w:pPr>
            <w:r>
              <w:rPr>
                <w:rFonts w:ascii="Arial" w:cs="Arial" w:eastAsia="Arial" w:hAnsi="Arial"/>
                <w:sz w:val="16"/>
                <w:szCs w:val="16"/>
                <w:color w:val="auto"/>
              </w:rPr>
              <w:t>Selling,</w:t>
            </w:r>
          </w:p>
        </w:tc>
        <w:tc>
          <w:tcPr>
            <w:tcW w:w="400" w:type="dxa"/>
            <w:vAlign w:val="bottom"/>
          </w:tcPr>
          <w:p>
            <w:pPr>
              <w:spacing w:after="0"/>
              <w:rPr>
                <w:sz w:val="13"/>
                <w:szCs w:val="13"/>
                <w:color w:val="auto"/>
              </w:rPr>
            </w:pPr>
          </w:p>
        </w:tc>
        <w:tc>
          <w:tcPr>
            <w:tcW w:w="700" w:type="dxa"/>
            <w:vAlign w:val="bottom"/>
            <w:vMerge w:val="restart"/>
          </w:tcPr>
          <w:p>
            <w:pPr>
              <w:jc w:val="right"/>
              <w:ind w:right="120"/>
              <w:spacing w:after="0"/>
              <w:rPr>
                <w:sz w:val="20"/>
                <w:szCs w:val="20"/>
                <w:color w:val="auto"/>
              </w:rPr>
            </w:pPr>
            <w:r>
              <w:rPr>
                <w:rFonts w:ascii="Arial" w:cs="Arial" w:eastAsia="Arial" w:hAnsi="Arial"/>
                <w:sz w:val="16"/>
                <w:szCs w:val="16"/>
                <w:color w:val="auto"/>
                <w:w w:val="94"/>
              </w:rPr>
              <w:t>Cost of</w:t>
            </w:r>
          </w:p>
        </w:tc>
        <w:tc>
          <w:tcPr>
            <w:tcW w:w="580" w:type="dxa"/>
            <w:vAlign w:val="bottom"/>
          </w:tcPr>
          <w:p>
            <w:pPr>
              <w:spacing w:after="0"/>
              <w:rPr>
                <w:sz w:val="13"/>
                <w:szCs w:val="13"/>
                <w:color w:val="auto"/>
              </w:rPr>
            </w:pPr>
          </w:p>
        </w:tc>
        <w:tc>
          <w:tcPr>
            <w:tcW w:w="800" w:type="dxa"/>
            <w:vAlign w:val="bottom"/>
            <w:vMerge w:val="restart"/>
          </w:tcPr>
          <w:p>
            <w:pPr>
              <w:jc w:val="right"/>
              <w:ind w:right="160"/>
              <w:spacing w:after="0"/>
              <w:rPr>
                <w:sz w:val="20"/>
                <w:szCs w:val="20"/>
                <w:color w:val="auto"/>
              </w:rPr>
            </w:pPr>
            <w:r>
              <w:rPr>
                <w:rFonts w:ascii="Arial" w:cs="Arial" w:eastAsia="Arial" w:hAnsi="Arial"/>
                <w:sz w:val="16"/>
                <w:szCs w:val="16"/>
                <w:color w:val="auto"/>
              </w:rPr>
              <w:t>Selling,</w:t>
            </w:r>
          </w:p>
        </w:tc>
        <w:tc>
          <w:tcPr>
            <w:tcW w:w="0" w:type="dxa"/>
            <w:vAlign w:val="bottom"/>
          </w:tcPr>
          <w:p>
            <w:pPr>
              <w:spacing w:after="0"/>
              <w:rPr>
                <w:sz w:val="1"/>
                <w:szCs w:val="1"/>
                <w:color w:val="auto"/>
              </w:rPr>
            </w:pPr>
          </w:p>
        </w:tc>
      </w:tr>
      <w:tr>
        <w:trPr>
          <w:trHeight w:val="157"/>
        </w:trPr>
        <w:tc>
          <w:tcPr>
            <w:tcW w:w="3360" w:type="dxa"/>
            <w:vAlign w:val="bottom"/>
          </w:tcPr>
          <w:p>
            <w:pPr>
              <w:ind w:left="20"/>
              <w:spacing w:after="0" w:line="157" w:lineRule="exact"/>
              <w:rPr>
                <w:sz w:val="20"/>
                <w:szCs w:val="20"/>
                <w:color w:val="auto"/>
              </w:rPr>
            </w:pPr>
            <w:r>
              <w:rPr>
                <w:rFonts w:ascii="Arial" w:cs="Arial" w:eastAsia="Arial" w:hAnsi="Arial"/>
                <w:sz w:val="16"/>
                <w:szCs w:val="16"/>
                <w:color w:val="auto"/>
                <w:w w:val="96"/>
              </w:rPr>
              <w:t>accumulated other comprehensive income (loss)</w:t>
            </w:r>
          </w:p>
        </w:tc>
        <w:tc>
          <w:tcPr>
            <w:tcW w:w="52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320" w:type="dxa"/>
            <w:vAlign w:val="bottom"/>
            <w:tcBorders>
              <w:right w:val="single" w:sz="8" w:color="auto"/>
            </w:tcBorders>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360" w:type="dxa"/>
            <w:vAlign w:val="bottom"/>
          </w:tcPr>
          <w:p>
            <w:pPr>
              <w:ind w:left="20"/>
              <w:spacing w:after="0"/>
              <w:rPr>
                <w:sz w:val="20"/>
                <w:szCs w:val="20"/>
                <w:color w:val="auto"/>
              </w:rPr>
            </w:pPr>
            <w:r>
              <w:rPr>
                <w:rFonts w:ascii="Arial" w:cs="Arial" w:eastAsia="Arial" w:hAnsi="Arial"/>
                <w:sz w:val="16"/>
                <w:szCs w:val="16"/>
                <w:color w:val="auto"/>
              </w:rPr>
              <w:t>into net income (effective portion)</w:t>
            </w:r>
          </w:p>
        </w:tc>
        <w:tc>
          <w:tcPr>
            <w:tcW w:w="1460" w:type="dxa"/>
            <w:vAlign w:val="bottom"/>
            <w:gridSpan w:val="2"/>
          </w:tcPr>
          <w:p>
            <w:pPr>
              <w:jc w:val="right"/>
              <w:ind w:right="400"/>
              <w:spacing w:after="0"/>
              <w:rPr>
                <w:sz w:val="20"/>
                <w:szCs w:val="20"/>
                <w:color w:val="auto"/>
              </w:rPr>
            </w:pPr>
            <w:r>
              <w:rPr>
                <w:rFonts w:ascii="Arial" w:cs="Arial" w:eastAsia="Arial" w:hAnsi="Arial"/>
                <w:sz w:val="16"/>
                <w:szCs w:val="16"/>
                <w:color w:val="auto"/>
              </w:rPr>
              <w:t>goods sold</w:t>
            </w:r>
          </w:p>
        </w:tc>
        <w:tc>
          <w:tcPr>
            <w:tcW w:w="380" w:type="dxa"/>
            <w:vAlign w:val="bottom"/>
          </w:tcPr>
          <w:p>
            <w:pPr>
              <w:spacing w:after="0"/>
              <w:rPr>
                <w:sz w:val="17"/>
                <w:szCs w:val="17"/>
                <w:color w:val="auto"/>
              </w:rPr>
            </w:pPr>
          </w:p>
        </w:tc>
        <w:tc>
          <w:tcPr>
            <w:tcW w:w="940" w:type="dxa"/>
            <w:vAlign w:val="bottom"/>
            <w:tcBorders>
              <w:right w:val="single" w:sz="8" w:color="auto"/>
            </w:tcBorders>
          </w:tcPr>
          <w:p>
            <w:pPr>
              <w:jc w:val="right"/>
              <w:ind w:right="560"/>
              <w:spacing w:after="0"/>
              <w:rPr>
                <w:sz w:val="20"/>
                <w:szCs w:val="20"/>
                <w:color w:val="auto"/>
              </w:rPr>
            </w:pPr>
            <w:r>
              <w:rPr>
                <w:rFonts w:ascii="Arial" w:cs="Arial" w:eastAsia="Arial" w:hAnsi="Arial"/>
                <w:sz w:val="16"/>
                <w:szCs w:val="16"/>
                <w:color w:val="auto"/>
                <w:w w:val="95"/>
              </w:rPr>
              <w:t>sold</w:t>
            </w:r>
          </w:p>
        </w:tc>
        <w:tc>
          <w:tcPr>
            <w:tcW w:w="1160" w:type="dxa"/>
            <w:vAlign w:val="bottom"/>
            <w:gridSpan w:val="2"/>
          </w:tcPr>
          <w:p>
            <w:pPr>
              <w:ind w:left="220"/>
              <w:spacing w:after="0"/>
              <w:rPr>
                <w:sz w:val="20"/>
                <w:szCs w:val="20"/>
                <w:color w:val="auto"/>
              </w:rPr>
            </w:pPr>
            <w:r>
              <w:rPr>
                <w:rFonts w:ascii="Arial" w:cs="Arial" w:eastAsia="Arial" w:hAnsi="Arial"/>
                <w:sz w:val="16"/>
                <w:szCs w:val="16"/>
                <w:color w:val="auto"/>
              </w:rPr>
              <w:t>goods sold</w:t>
            </w:r>
          </w:p>
        </w:tc>
        <w:tc>
          <w:tcPr>
            <w:tcW w:w="1480" w:type="dxa"/>
            <w:vAlign w:val="bottom"/>
            <w:gridSpan w:val="2"/>
          </w:tcPr>
          <w:p>
            <w:pPr>
              <w:ind w:left="100"/>
              <w:spacing w:after="0"/>
              <w:rPr>
                <w:sz w:val="20"/>
                <w:szCs w:val="20"/>
                <w:color w:val="auto"/>
              </w:rPr>
            </w:pPr>
            <w:r>
              <w:rPr>
                <w:rFonts w:ascii="Arial" w:cs="Arial" w:eastAsia="Arial" w:hAnsi="Arial"/>
                <w:sz w:val="16"/>
                <w:szCs w:val="16"/>
                <w:color w:val="auto"/>
              </w:rPr>
              <w:t>general &amp; admin</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goods sold</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general &amp; admin</w:t>
            </w:r>
          </w:p>
        </w:tc>
        <w:tc>
          <w:tcPr>
            <w:tcW w:w="0" w:type="dxa"/>
            <w:vAlign w:val="bottom"/>
          </w:tcPr>
          <w:p>
            <w:pPr>
              <w:spacing w:after="0"/>
              <w:rPr>
                <w:sz w:val="1"/>
                <w:szCs w:val="1"/>
                <w:color w:val="auto"/>
              </w:rPr>
            </w:pPr>
          </w:p>
        </w:tc>
      </w:tr>
      <w:tr>
        <w:trPr>
          <w:trHeight w:val="157"/>
        </w:trPr>
        <w:tc>
          <w:tcPr>
            <w:tcW w:w="3360" w:type="dxa"/>
            <w:vAlign w:val="bottom"/>
            <w:shd w:val="clear" w:color="auto" w:fill="CCEEFF"/>
          </w:tcPr>
          <w:p>
            <w:pPr>
              <w:ind w:left="380"/>
              <w:spacing w:after="0" w:line="157" w:lineRule="exact"/>
              <w:rPr>
                <w:sz w:val="20"/>
                <w:szCs w:val="20"/>
                <w:color w:val="auto"/>
              </w:rPr>
            </w:pPr>
            <w:r>
              <w:rPr>
                <w:rFonts w:ascii="Arial" w:cs="Arial" w:eastAsia="Arial" w:hAnsi="Arial"/>
                <w:sz w:val="16"/>
                <w:szCs w:val="16"/>
                <w:color w:val="auto"/>
              </w:rPr>
              <w:t>Amount of pretax gain (loss) reclassified</w:t>
            </w:r>
          </w:p>
        </w:tc>
        <w:tc>
          <w:tcPr>
            <w:tcW w:w="5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tcBorders>
              <w:right w:val="single" w:sz="8" w:color="auto"/>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36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w w:val="98"/>
              </w:rPr>
              <w:t>from accumulated other comprehensive income</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2,160</w:t>
            </w:r>
          </w:p>
        </w:tc>
        <w:tc>
          <w:tcPr>
            <w:tcW w:w="380" w:type="dxa"/>
            <w:vAlign w:val="bottom"/>
            <w:vMerge w:val="restart"/>
            <w:shd w:val="clear" w:color="auto" w:fill="CCEEFF"/>
          </w:tcPr>
          <w:p>
            <w:pPr>
              <w:ind w:left="280"/>
              <w:spacing w:after="0"/>
              <w:rPr>
                <w:sz w:val="20"/>
                <w:szCs w:val="20"/>
                <w:color w:val="auto"/>
              </w:rPr>
            </w:pPr>
            <w:r>
              <w:rPr>
                <w:rFonts w:ascii="Arial" w:cs="Arial" w:eastAsia="Arial" w:hAnsi="Arial"/>
                <w:sz w:val="16"/>
                <w:szCs w:val="16"/>
                <w:color w:val="auto"/>
                <w:w w:val="89"/>
              </w:rPr>
              <w:t>$</w:t>
            </w:r>
          </w:p>
        </w:tc>
        <w:tc>
          <w:tcPr>
            <w:tcW w:w="940" w:type="dxa"/>
            <w:vAlign w:val="bottom"/>
            <w:tcBorders>
              <w:right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(575)</w:t>
            </w:r>
          </w:p>
        </w:tc>
        <w:tc>
          <w:tcPr>
            <w:tcW w:w="480" w:type="dxa"/>
            <w:vAlign w:val="bottom"/>
            <w:vMerge w:val="restart"/>
            <w:shd w:val="clear" w:color="auto" w:fill="CCEEFF"/>
          </w:tcPr>
          <w:p>
            <w:pPr>
              <w:ind w:left="380"/>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15</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(34)</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(1,767)</w:t>
            </w:r>
          </w:p>
        </w:tc>
        <w:tc>
          <w:tcPr>
            <w:tcW w:w="0" w:type="dxa"/>
            <w:vAlign w:val="bottom"/>
          </w:tcPr>
          <w:p>
            <w:pPr>
              <w:spacing w:after="0"/>
              <w:rPr>
                <w:sz w:val="1"/>
                <w:szCs w:val="1"/>
                <w:color w:val="auto"/>
              </w:rPr>
            </w:pPr>
          </w:p>
        </w:tc>
      </w:tr>
      <w:tr>
        <w:trPr>
          <w:trHeight w:val="205"/>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(loss) to net income (effective portion)</w:t>
            </w: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color w:val="auto"/>
                <w:w w:val="96"/>
              </w:rPr>
              <w:t>Nine Months Ended September 30,</w:t>
            </w: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6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Aluminum Futures Contracts</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80" w:type="dxa"/>
            <w:vAlign w:val="bottom"/>
            <w:gridSpan w:val="3"/>
          </w:tcPr>
          <w:p>
            <w:pPr>
              <w:jc w:val="right"/>
              <w:ind w:right="40"/>
              <w:spacing w:after="0"/>
              <w:rPr>
                <w:sz w:val="20"/>
                <w:szCs w:val="20"/>
                <w:color w:val="auto"/>
              </w:rPr>
            </w:pPr>
            <w:r>
              <w:rPr>
                <w:rFonts w:ascii="Arial" w:cs="Arial" w:eastAsia="Arial" w:hAnsi="Arial"/>
                <w:sz w:val="16"/>
                <w:szCs w:val="16"/>
                <w:color w:val="auto"/>
                <w:w w:val="99"/>
              </w:rPr>
              <w:t>Foreign Currency Forwards</w:t>
            </w: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2021</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jc w:val="right"/>
              <w:ind w:right="340"/>
              <w:spacing w:after="0"/>
              <w:rPr>
                <w:sz w:val="20"/>
                <w:szCs w:val="20"/>
                <w:color w:val="auto"/>
              </w:rPr>
            </w:pPr>
            <w:r>
              <w:rPr>
                <w:rFonts w:ascii="Arial" w:cs="Arial" w:eastAsia="Arial" w:hAnsi="Arial"/>
                <w:sz w:val="16"/>
                <w:szCs w:val="16"/>
                <w:color w:val="auto"/>
              </w:rPr>
              <w:t>2020</w:t>
            </w:r>
          </w:p>
        </w:tc>
        <w:tc>
          <w:tcPr>
            <w:tcW w:w="4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2021</w:t>
            </w:r>
          </w:p>
        </w:tc>
        <w:tc>
          <w:tcPr>
            <w:tcW w:w="9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2020</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ind w:left="20"/>
              <w:spacing w:after="0" w:line="149" w:lineRule="exact"/>
              <w:rPr>
                <w:sz w:val="20"/>
                <w:szCs w:val="20"/>
                <w:color w:val="auto"/>
              </w:rPr>
            </w:pPr>
            <w:r>
              <w:rPr>
                <w:rFonts w:ascii="Arial" w:cs="Arial" w:eastAsia="Arial" w:hAnsi="Arial"/>
                <w:sz w:val="16"/>
                <w:szCs w:val="16"/>
                <w:color w:val="auto"/>
                <w:w w:val="95"/>
              </w:rPr>
              <w:t>Amount of pre-tax gain (loss) recognized in other</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6,629</w:t>
            </w:r>
          </w:p>
        </w:tc>
        <w:tc>
          <w:tcPr>
            <w:tcW w:w="380" w:type="dxa"/>
            <w:vAlign w:val="bottom"/>
            <w:vMerge w:val="restart"/>
            <w:shd w:val="clear" w:color="auto" w:fill="CCEEFF"/>
          </w:tcPr>
          <w:p>
            <w:pPr>
              <w:ind w:left="280"/>
              <w:spacing w:after="0"/>
              <w:rPr>
                <w:sz w:val="20"/>
                <w:szCs w:val="20"/>
                <w:color w:val="auto"/>
              </w:rPr>
            </w:pPr>
            <w:r>
              <w:rPr>
                <w:rFonts w:ascii="Arial" w:cs="Arial" w:eastAsia="Arial" w:hAnsi="Arial"/>
                <w:sz w:val="16"/>
                <w:szCs w:val="16"/>
                <w:color w:val="auto"/>
                <w:w w:val="89"/>
              </w:rPr>
              <w:t>$</w:t>
            </w:r>
          </w:p>
        </w:tc>
        <w:tc>
          <w:tcPr>
            <w:tcW w:w="940" w:type="dxa"/>
            <w:vAlign w:val="bottom"/>
            <w:tcBorders>
              <w:right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(1,637)</w:t>
            </w:r>
          </w:p>
        </w:tc>
        <w:tc>
          <w:tcPr>
            <w:tcW w:w="480" w:type="dxa"/>
            <w:vAlign w:val="bottom"/>
            <w:vMerge w:val="restart"/>
            <w:shd w:val="clear" w:color="auto" w:fill="CCEEFF"/>
          </w:tcPr>
          <w:p>
            <w:pPr>
              <w:ind w:left="380"/>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(1,892)</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(6,015)</w:t>
            </w: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comprehensive income (loss)</w:t>
            </w:r>
          </w:p>
        </w:tc>
        <w:tc>
          <w:tcPr>
            <w:tcW w:w="52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940" w:type="dxa"/>
            <w:vAlign w:val="bottom"/>
            <w:tcBorders>
              <w:right w:val="single" w:sz="8" w:color="auto"/>
            </w:tcBorders>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360" w:type="dxa"/>
            <w:vAlign w:val="bottom"/>
          </w:tcPr>
          <w:p>
            <w:pPr>
              <w:ind w:left="20"/>
              <w:spacing w:after="0" w:line="157" w:lineRule="exact"/>
              <w:rPr>
                <w:sz w:val="20"/>
                <w:szCs w:val="20"/>
                <w:color w:val="auto"/>
              </w:rPr>
            </w:pPr>
            <w:r>
              <w:rPr>
                <w:rFonts w:ascii="Arial" w:cs="Arial" w:eastAsia="Arial" w:hAnsi="Arial"/>
                <w:sz w:val="16"/>
                <w:szCs w:val="16"/>
                <w:color w:val="auto"/>
              </w:rPr>
              <w:t>Location of gain (loss) reclassified from</w:t>
            </w:r>
          </w:p>
        </w:tc>
        <w:tc>
          <w:tcPr>
            <w:tcW w:w="520" w:type="dxa"/>
            <w:vAlign w:val="bottom"/>
          </w:tcPr>
          <w:p>
            <w:pPr>
              <w:spacing w:after="0"/>
              <w:rPr>
                <w:sz w:val="13"/>
                <w:szCs w:val="13"/>
                <w:color w:val="auto"/>
              </w:rPr>
            </w:pPr>
          </w:p>
        </w:tc>
        <w:tc>
          <w:tcPr>
            <w:tcW w:w="940" w:type="dxa"/>
            <w:vAlign w:val="bottom"/>
            <w:vMerge w:val="restart"/>
          </w:tcPr>
          <w:p>
            <w:pPr>
              <w:ind w:left="60"/>
              <w:spacing w:after="0"/>
              <w:rPr>
                <w:sz w:val="20"/>
                <w:szCs w:val="20"/>
                <w:color w:val="auto"/>
              </w:rPr>
            </w:pPr>
            <w:r>
              <w:rPr>
                <w:rFonts w:ascii="Arial" w:cs="Arial" w:eastAsia="Arial" w:hAnsi="Arial"/>
                <w:sz w:val="16"/>
                <w:szCs w:val="16"/>
                <w:color w:val="auto"/>
              </w:rPr>
              <w:t>Cost of</w:t>
            </w:r>
          </w:p>
        </w:tc>
        <w:tc>
          <w:tcPr>
            <w:tcW w:w="1320" w:type="dxa"/>
            <w:vAlign w:val="bottom"/>
            <w:tcBorders>
              <w:right w:val="single" w:sz="8" w:color="auto"/>
            </w:tcBorders>
            <w:gridSpan w:val="2"/>
            <w:vMerge w:val="restart"/>
          </w:tcPr>
          <w:p>
            <w:pPr>
              <w:ind w:left="280"/>
              <w:spacing w:after="0"/>
              <w:rPr>
                <w:sz w:val="20"/>
                <w:szCs w:val="20"/>
                <w:color w:val="auto"/>
              </w:rPr>
            </w:pPr>
            <w:r>
              <w:rPr>
                <w:rFonts w:ascii="Arial" w:cs="Arial" w:eastAsia="Arial" w:hAnsi="Arial"/>
                <w:sz w:val="16"/>
                <w:szCs w:val="16"/>
                <w:color w:val="auto"/>
              </w:rPr>
              <w:t>Cost of goods</w:t>
            </w:r>
          </w:p>
        </w:tc>
        <w:tc>
          <w:tcPr>
            <w:tcW w:w="480" w:type="dxa"/>
            <w:vAlign w:val="bottom"/>
          </w:tcPr>
          <w:p>
            <w:pPr>
              <w:spacing w:after="0"/>
              <w:rPr>
                <w:sz w:val="13"/>
                <w:szCs w:val="13"/>
                <w:color w:val="auto"/>
              </w:rPr>
            </w:pPr>
          </w:p>
        </w:tc>
        <w:tc>
          <w:tcPr>
            <w:tcW w:w="680" w:type="dxa"/>
            <w:vAlign w:val="bottom"/>
            <w:vMerge w:val="restart"/>
          </w:tcPr>
          <w:p>
            <w:pPr>
              <w:ind w:left="40"/>
              <w:spacing w:after="0"/>
              <w:rPr>
                <w:sz w:val="20"/>
                <w:szCs w:val="20"/>
                <w:color w:val="auto"/>
              </w:rPr>
            </w:pPr>
            <w:r>
              <w:rPr>
                <w:rFonts w:ascii="Arial" w:cs="Arial" w:eastAsia="Arial" w:hAnsi="Arial"/>
                <w:sz w:val="16"/>
                <w:szCs w:val="16"/>
                <w:color w:val="auto"/>
              </w:rPr>
              <w:t>Cost of</w:t>
            </w:r>
          </w:p>
        </w:tc>
        <w:tc>
          <w:tcPr>
            <w:tcW w:w="500" w:type="dxa"/>
            <w:vAlign w:val="bottom"/>
          </w:tcPr>
          <w:p>
            <w:pPr>
              <w:spacing w:after="0"/>
              <w:rPr>
                <w:sz w:val="13"/>
                <w:szCs w:val="13"/>
                <w:color w:val="auto"/>
              </w:rPr>
            </w:pPr>
          </w:p>
        </w:tc>
        <w:tc>
          <w:tcPr>
            <w:tcW w:w="980" w:type="dxa"/>
            <w:vAlign w:val="bottom"/>
            <w:vMerge w:val="restart"/>
          </w:tcPr>
          <w:p>
            <w:pPr>
              <w:jc w:val="right"/>
              <w:ind w:right="340"/>
              <w:spacing w:after="0"/>
              <w:rPr>
                <w:sz w:val="20"/>
                <w:szCs w:val="20"/>
                <w:color w:val="auto"/>
              </w:rPr>
            </w:pPr>
            <w:r>
              <w:rPr>
                <w:rFonts w:ascii="Arial" w:cs="Arial" w:eastAsia="Arial" w:hAnsi="Arial"/>
                <w:sz w:val="16"/>
                <w:szCs w:val="16"/>
                <w:color w:val="auto"/>
              </w:rPr>
              <w:t>Selling,</w:t>
            </w:r>
          </w:p>
        </w:tc>
        <w:tc>
          <w:tcPr>
            <w:tcW w:w="400" w:type="dxa"/>
            <w:vAlign w:val="bottom"/>
          </w:tcPr>
          <w:p>
            <w:pPr>
              <w:spacing w:after="0"/>
              <w:rPr>
                <w:sz w:val="13"/>
                <w:szCs w:val="13"/>
                <w:color w:val="auto"/>
              </w:rPr>
            </w:pPr>
          </w:p>
        </w:tc>
        <w:tc>
          <w:tcPr>
            <w:tcW w:w="700" w:type="dxa"/>
            <w:vAlign w:val="bottom"/>
            <w:vMerge w:val="restart"/>
          </w:tcPr>
          <w:p>
            <w:pPr>
              <w:jc w:val="right"/>
              <w:ind w:right="120"/>
              <w:spacing w:after="0"/>
              <w:rPr>
                <w:sz w:val="20"/>
                <w:szCs w:val="20"/>
                <w:color w:val="auto"/>
              </w:rPr>
            </w:pPr>
            <w:r>
              <w:rPr>
                <w:rFonts w:ascii="Arial" w:cs="Arial" w:eastAsia="Arial" w:hAnsi="Arial"/>
                <w:sz w:val="16"/>
                <w:szCs w:val="16"/>
                <w:color w:val="auto"/>
                <w:w w:val="94"/>
              </w:rPr>
              <w:t>Cost of</w:t>
            </w:r>
          </w:p>
        </w:tc>
        <w:tc>
          <w:tcPr>
            <w:tcW w:w="580" w:type="dxa"/>
            <w:vAlign w:val="bottom"/>
          </w:tcPr>
          <w:p>
            <w:pPr>
              <w:spacing w:after="0"/>
              <w:rPr>
                <w:sz w:val="13"/>
                <w:szCs w:val="13"/>
                <w:color w:val="auto"/>
              </w:rPr>
            </w:pPr>
          </w:p>
        </w:tc>
        <w:tc>
          <w:tcPr>
            <w:tcW w:w="800" w:type="dxa"/>
            <w:vAlign w:val="bottom"/>
            <w:vMerge w:val="restart"/>
          </w:tcPr>
          <w:p>
            <w:pPr>
              <w:jc w:val="right"/>
              <w:ind w:right="160"/>
              <w:spacing w:after="0"/>
              <w:rPr>
                <w:sz w:val="20"/>
                <w:szCs w:val="20"/>
                <w:color w:val="auto"/>
              </w:rPr>
            </w:pPr>
            <w:r>
              <w:rPr>
                <w:rFonts w:ascii="Arial" w:cs="Arial" w:eastAsia="Arial" w:hAnsi="Arial"/>
                <w:sz w:val="16"/>
                <w:szCs w:val="16"/>
                <w:color w:val="auto"/>
              </w:rPr>
              <w:t>Selling,</w:t>
            </w:r>
          </w:p>
        </w:tc>
        <w:tc>
          <w:tcPr>
            <w:tcW w:w="0" w:type="dxa"/>
            <w:vAlign w:val="bottom"/>
          </w:tcPr>
          <w:p>
            <w:pPr>
              <w:spacing w:after="0"/>
              <w:rPr>
                <w:sz w:val="1"/>
                <w:szCs w:val="1"/>
                <w:color w:val="auto"/>
              </w:rPr>
            </w:pPr>
          </w:p>
        </w:tc>
      </w:tr>
      <w:tr>
        <w:trPr>
          <w:trHeight w:val="157"/>
        </w:trPr>
        <w:tc>
          <w:tcPr>
            <w:tcW w:w="3360" w:type="dxa"/>
            <w:vAlign w:val="bottom"/>
          </w:tcPr>
          <w:p>
            <w:pPr>
              <w:ind w:left="160"/>
              <w:spacing w:after="0" w:line="157" w:lineRule="exact"/>
              <w:rPr>
                <w:sz w:val="20"/>
                <w:szCs w:val="20"/>
                <w:color w:val="auto"/>
              </w:rPr>
            </w:pPr>
            <w:r>
              <w:rPr>
                <w:rFonts w:ascii="Arial" w:cs="Arial" w:eastAsia="Arial" w:hAnsi="Arial"/>
                <w:sz w:val="16"/>
                <w:szCs w:val="16"/>
                <w:color w:val="auto"/>
                <w:w w:val="92"/>
              </w:rPr>
              <w:t>accumulated other comprehensive income (loss)</w:t>
            </w:r>
          </w:p>
        </w:tc>
        <w:tc>
          <w:tcPr>
            <w:tcW w:w="52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320" w:type="dxa"/>
            <w:vAlign w:val="bottom"/>
            <w:tcBorders>
              <w:right w:val="single" w:sz="8" w:color="auto"/>
            </w:tcBorders>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360" w:type="dxa"/>
            <w:vAlign w:val="bottom"/>
          </w:tcPr>
          <w:p>
            <w:pPr>
              <w:ind w:left="160"/>
              <w:spacing w:after="0"/>
              <w:rPr>
                <w:sz w:val="20"/>
                <w:szCs w:val="20"/>
                <w:color w:val="auto"/>
              </w:rPr>
            </w:pPr>
            <w:r>
              <w:rPr>
                <w:rFonts w:ascii="Arial" w:cs="Arial" w:eastAsia="Arial" w:hAnsi="Arial"/>
                <w:sz w:val="16"/>
                <w:szCs w:val="16"/>
                <w:color w:val="auto"/>
              </w:rPr>
              <w:t>into net income (effective portion)</w:t>
            </w:r>
          </w:p>
        </w:tc>
        <w:tc>
          <w:tcPr>
            <w:tcW w:w="1460" w:type="dxa"/>
            <w:vAlign w:val="bottom"/>
            <w:gridSpan w:val="2"/>
          </w:tcPr>
          <w:p>
            <w:pPr>
              <w:jc w:val="right"/>
              <w:ind w:right="400"/>
              <w:spacing w:after="0"/>
              <w:rPr>
                <w:sz w:val="20"/>
                <w:szCs w:val="20"/>
                <w:color w:val="auto"/>
              </w:rPr>
            </w:pPr>
            <w:r>
              <w:rPr>
                <w:rFonts w:ascii="Arial" w:cs="Arial" w:eastAsia="Arial" w:hAnsi="Arial"/>
                <w:sz w:val="16"/>
                <w:szCs w:val="16"/>
                <w:color w:val="auto"/>
              </w:rPr>
              <w:t>goods sold</w:t>
            </w:r>
          </w:p>
        </w:tc>
        <w:tc>
          <w:tcPr>
            <w:tcW w:w="380" w:type="dxa"/>
            <w:vAlign w:val="bottom"/>
          </w:tcPr>
          <w:p>
            <w:pPr>
              <w:spacing w:after="0"/>
              <w:rPr>
                <w:sz w:val="17"/>
                <w:szCs w:val="17"/>
                <w:color w:val="auto"/>
              </w:rPr>
            </w:pPr>
          </w:p>
        </w:tc>
        <w:tc>
          <w:tcPr>
            <w:tcW w:w="940" w:type="dxa"/>
            <w:vAlign w:val="bottom"/>
            <w:tcBorders>
              <w:right w:val="single" w:sz="8" w:color="auto"/>
            </w:tcBorders>
          </w:tcPr>
          <w:p>
            <w:pPr>
              <w:jc w:val="right"/>
              <w:ind w:right="560"/>
              <w:spacing w:after="0"/>
              <w:rPr>
                <w:sz w:val="20"/>
                <w:szCs w:val="20"/>
                <w:color w:val="auto"/>
              </w:rPr>
            </w:pPr>
            <w:r>
              <w:rPr>
                <w:rFonts w:ascii="Arial" w:cs="Arial" w:eastAsia="Arial" w:hAnsi="Arial"/>
                <w:sz w:val="16"/>
                <w:szCs w:val="16"/>
                <w:color w:val="auto"/>
                <w:w w:val="95"/>
              </w:rPr>
              <w:t>sold</w:t>
            </w:r>
          </w:p>
        </w:tc>
        <w:tc>
          <w:tcPr>
            <w:tcW w:w="1160" w:type="dxa"/>
            <w:vAlign w:val="bottom"/>
            <w:gridSpan w:val="2"/>
          </w:tcPr>
          <w:p>
            <w:pPr>
              <w:ind w:left="220"/>
              <w:spacing w:after="0"/>
              <w:rPr>
                <w:sz w:val="20"/>
                <w:szCs w:val="20"/>
                <w:color w:val="auto"/>
              </w:rPr>
            </w:pPr>
            <w:r>
              <w:rPr>
                <w:rFonts w:ascii="Arial" w:cs="Arial" w:eastAsia="Arial" w:hAnsi="Arial"/>
                <w:sz w:val="16"/>
                <w:szCs w:val="16"/>
                <w:color w:val="auto"/>
              </w:rPr>
              <w:t>goods sold</w:t>
            </w:r>
          </w:p>
        </w:tc>
        <w:tc>
          <w:tcPr>
            <w:tcW w:w="1480" w:type="dxa"/>
            <w:vAlign w:val="bottom"/>
            <w:gridSpan w:val="2"/>
          </w:tcPr>
          <w:p>
            <w:pPr>
              <w:ind w:left="100"/>
              <w:spacing w:after="0"/>
              <w:rPr>
                <w:sz w:val="20"/>
                <w:szCs w:val="20"/>
                <w:color w:val="auto"/>
              </w:rPr>
            </w:pPr>
            <w:r>
              <w:rPr>
                <w:rFonts w:ascii="Arial" w:cs="Arial" w:eastAsia="Arial" w:hAnsi="Arial"/>
                <w:sz w:val="16"/>
                <w:szCs w:val="16"/>
                <w:color w:val="auto"/>
              </w:rPr>
              <w:t>general &amp; admin</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goods sold</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general &amp; admin</w:t>
            </w:r>
          </w:p>
        </w:tc>
        <w:tc>
          <w:tcPr>
            <w:tcW w:w="0" w:type="dxa"/>
            <w:vAlign w:val="bottom"/>
          </w:tcPr>
          <w:p>
            <w:pPr>
              <w:spacing w:after="0"/>
              <w:rPr>
                <w:sz w:val="1"/>
                <w:szCs w:val="1"/>
                <w:color w:val="auto"/>
              </w:rPr>
            </w:pPr>
          </w:p>
        </w:tc>
      </w:tr>
      <w:tr>
        <w:trPr>
          <w:trHeight w:val="157"/>
        </w:trPr>
        <w:tc>
          <w:tcPr>
            <w:tcW w:w="336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Amount of pre-tax gain (loss) reclassified from</w:t>
            </w:r>
          </w:p>
        </w:tc>
        <w:tc>
          <w:tcPr>
            <w:tcW w:w="5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tcBorders>
              <w:right w:val="single" w:sz="8" w:color="auto"/>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360" w:type="dxa"/>
            <w:vAlign w:val="bottom"/>
            <w:shd w:val="clear" w:color="auto" w:fill="CCEEFF"/>
          </w:tcPr>
          <w:p>
            <w:pPr>
              <w:ind w:left="160"/>
              <w:spacing w:after="0" w:line="157" w:lineRule="exact"/>
              <w:rPr>
                <w:sz w:val="20"/>
                <w:szCs w:val="20"/>
                <w:color w:val="auto"/>
              </w:rPr>
            </w:pPr>
            <w:r>
              <w:rPr>
                <w:rFonts w:ascii="Arial" w:cs="Arial" w:eastAsia="Arial" w:hAnsi="Arial"/>
                <w:sz w:val="16"/>
                <w:szCs w:val="16"/>
                <w:color w:val="auto"/>
                <w:w w:val="92"/>
              </w:rPr>
              <w:t>accumulated other comprehensive income (loss)</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4,172</w:t>
            </w:r>
          </w:p>
        </w:tc>
        <w:tc>
          <w:tcPr>
            <w:tcW w:w="380" w:type="dxa"/>
            <w:vAlign w:val="bottom"/>
            <w:vMerge w:val="restart"/>
            <w:shd w:val="clear" w:color="auto" w:fill="CCEEFF"/>
          </w:tcPr>
          <w:p>
            <w:pPr>
              <w:ind w:left="280"/>
              <w:spacing w:after="0"/>
              <w:rPr>
                <w:sz w:val="20"/>
                <w:szCs w:val="20"/>
                <w:color w:val="auto"/>
              </w:rPr>
            </w:pPr>
            <w:r>
              <w:rPr>
                <w:rFonts w:ascii="Arial" w:cs="Arial" w:eastAsia="Arial" w:hAnsi="Arial"/>
                <w:sz w:val="16"/>
                <w:szCs w:val="16"/>
                <w:color w:val="auto"/>
                <w:w w:val="89"/>
              </w:rPr>
              <w:t>$</w:t>
            </w:r>
          </w:p>
        </w:tc>
        <w:tc>
          <w:tcPr>
            <w:tcW w:w="940" w:type="dxa"/>
            <w:vAlign w:val="bottom"/>
            <w:tcBorders>
              <w:right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(2,766)</w:t>
            </w:r>
          </w:p>
        </w:tc>
        <w:tc>
          <w:tcPr>
            <w:tcW w:w="480" w:type="dxa"/>
            <w:vAlign w:val="bottom"/>
            <w:vMerge w:val="restart"/>
            <w:shd w:val="clear" w:color="auto" w:fill="CCEEFF"/>
          </w:tcPr>
          <w:p>
            <w:pPr>
              <w:ind w:left="380"/>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48</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(183)</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46</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(4,359)</w:t>
            </w:r>
          </w:p>
        </w:tc>
        <w:tc>
          <w:tcPr>
            <w:tcW w:w="0" w:type="dxa"/>
            <w:vAlign w:val="bottom"/>
          </w:tcPr>
          <w:p>
            <w:pPr>
              <w:spacing w:after="0"/>
              <w:rPr>
                <w:sz w:val="1"/>
                <w:szCs w:val="1"/>
                <w:color w:val="auto"/>
              </w:rPr>
            </w:pPr>
          </w:p>
        </w:tc>
      </w:tr>
      <w:tr>
        <w:trPr>
          <w:trHeight w:val="209"/>
        </w:trPr>
        <w:tc>
          <w:tcPr>
            <w:tcW w:w="33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to net income (effective portion)</w:t>
            </w: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17" w:name="page18"/>
    <w:bookmarkEnd w:id="17"/>
    <w:p>
      <w:pPr>
        <w:jc w:val="both"/>
        <w:ind w:right="280" w:firstLine="362"/>
        <w:spacing w:after="0" w:line="291" w:lineRule="auto"/>
        <w:rPr>
          <w:sz w:val="20"/>
          <w:szCs w:val="20"/>
          <w:color w:val="auto"/>
        </w:rPr>
      </w:pPr>
      <w:r>
        <w:rPr>
          <w:rFonts w:ascii="Arial" w:cs="Arial" w:eastAsia="Arial" w:hAnsi="Arial"/>
          <w:sz w:val="15"/>
          <w:szCs w:val="15"/>
          <w:color w:val="auto"/>
        </w:rPr>
        <w:t>As of September 30, 2021, the Company expects $2.9 million of unrealized after-tax gains on Aluminum Extrusions derivative instruments reported in accumulated other comprehensive income (loss) to be reclassified to earnings within the next 12 months. For the three and nine month periods ended September 30, 2021 and 2020, net gains or losses realized, from previously unrealized net gains or losses on hedges that had been discontinued, were not material.</w:t>
      </w:r>
    </w:p>
    <w:p>
      <w:pPr>
        <w:spacing w:after="0" w:line="32" w:lineRule="exact"/>
        <w:rPr>
          <w:sz w:val="20"/>
          <w:szCs w:val="20"/>
          <w:color w:val="auto"/>
        </w:rPr>
      </w:pPr>
    </w:p>
    <w:p>
      <w:pPr>
        <w:spacing w:after="0"/>
        <w:tabs>
          <w:tab w:leader="none" w:pos="220" w:val="left"/>
        </w:tabs>
        <w:rPr>
          <w:sz w:val="20"/>
          <w:szCs w:val="20"/>
          <w:color w:val="auto"/>
        </w:rPr>
      </w:pPr>
      <w:r>
        <w:rPr>
          <w:rFonts w:ascii="Arial" w:cs="Arial" w:eastAsia="Arial" w:hAnsi="Arial"/>
          <w:sz w:val="16"/>
          <w:szCs w:val="16"/>
          <w:b w:val="1"/>
          <w:bCs w:val="1"/>
          <w:color w:val="auto"/>
        </w:rPr>
        <w:t>9</w:t>
        <w:tab/>
        <w:t>PENSION AND OTHER POSTRETIREMENT BENEFITS</w:t>
      </w:r>
    </w:p>
    <w:p>
      <w:pPr>
        <w:spacing w:after="0" w:line="85" w:lineRule="exact"/>
        <w:rPr>
          <w:sz w:val="20"/>
          <w:szCs w:val="20"/>
          <w:color w:val="auto"/>
        </w:rPr>
      </w:pPr>
    </w:p>
    <w:p>
      <w:pPr>
        <w:ind w:right="160" w:firstLine="362"/>
        <w:spacing w:after="0" w:line="261" w:lineRule="auto"/>
        <w:rPr>
          <w:sz w:val="20"/>
          <w:szCs w:val="20"/>
          <w:color w:val="auto"/>
        </w:rPr>
      </w:pPr>
      <w:r>
        <w:rPr>
          <w:rFonts w:ascii="Arial" w:cs="Arial" w:eastAsia="Arial" w:hAnsi="Arial"/>
          <w:sz w:val="16"/>
          <w:szCs w:val="16"/>
          <w:color w:val="auto"/>
        </w:rPr>
        <w:t>Tredegar sponsors a noncontributory defined benefit (pension) plan covering certain current and former U.S. employees. As of January 31, 2018, the plan no longer accrued benefits associated with crediting employees for service, thereby freezing all future benefits under the plan. The components of net periodic benefit cost for the pension and other postretirement benefit programs reflected in the consolidated statements of income for the three and nine months ended September 30, 2021 and 2020, are shown below:</w:t>
      </w:r>
    </w:p>
    <w:tbl>
      <w:tblPr>
        <w:tblLayout w:type="fixed"/>
        <w:tblInd w:w="0" w:type="dxa"/>
        <w:tblCellMar>
          <w:top w:w="0" w:type="dxa"/>
          <w:left w:w="0" w:type="dxa"/>
          <w:bottom w:w="0" w:type="dxa"/>
          <w:right w:w="0" w:type="dxa"/>
        </w:tblCellMar>
      </w:tblPr>
      <w:tr>
        <w:trPr>
          <w:trHeight w:val="218"/>
        </w:trPr>
        <w:tc>
          <w:tcPr>
            <w:tcW w:w="548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gridSpan w:val="2"/>
          </w:tcPr>
          <w:p>
            <w:pPr>
              <w:jc w:val="center"/>
              <w:ind w:left="520"/>
              <w:spacing w:after="0"/>
              <w:rPr>
                <w:sz w:val="20"/>
                <w:szCs w:val="20"/>
                <w:color w:val="auto"/>
              </w:rPr>
            </w:pPr>
            <w:r>
              <w:rPr>
                <w:rFonts w:ascii="Arial" w:cs="Arial" w:eastAsia="Arial" w:hAnsi="Arial"/>
                <w:sz w:val="16"/>
                <w:szCs w:val="16"/>
                <w:color w:val="auto"/>
                <w:w w:val="89"/>
              </w:rPr>
              <w:t>Pension Benefits</w:t>
            </w: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2280" w:type="dxa"/>
            <w:vAlign w:val="bottom"/>
            <w:tcBorders>
              <w:top w:val="single" w:sz="8" w:color="auto"/>
              <w:bottom w:val="single" w:sz="8" w:color="auto"/>
            </w:tcBorders>
            <w:gridSpan w:val="3"/>
          </w:tcPr>
          <w:p>
            <w:pPr>
              <w:jc w:val="center"/>
              <w:ind w:right="80"/>
              <w:spacing w:after="0"/>
              <w:rPr>
                <w:sz w:val="20"/>
                <w:szCs w:val="20"/>
                <w:color w:val="auto"/>
              </w:rPr>
            </w:pPr>
            <w:r>
              <w:rPr>
                <w:rFonts w:ascii="Arial" w:cs="Arial" w:eastAsia="Arial" w:hAnsi="Arial"/>
                <w:sz w:val="16"/>
                <w:szCs w:val="16"/>
                <w:color w:val="auto"/>
                <w:w w:val="91"/>
              </w:rPr>
              <w:t>Other Post-Retirement Benefits</w:t>
            </w:r>
          </w:p>
        </w:tc>
      </w:tr>
      <w:tr>
        <w:trPr>
          <w:trHeight w:val="197"/>
        </w:trPr>
        <w:tc>
          <w:tcPr>
            <w:tcW w:w="54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color w:val="auto"/>
                <w:w w:val="89"/>
              </w:rPr>
              <w:t>Three Months Ended September 30,</w:t>
            </w:r>
          </w:p>
        </w:tc>
        <w:tc>
          <w:tcPr>
            <w:tcW w:w="100" w:type="dxa"/>
            <w:vAlign w:val="bottom"/>
          </w:tcPr>
          <w:p>
            <w:pPr>
              <w:spacing w:after="0"/>
              <w:rPr>
                <w:sz w:val="17"/>
                <w:szCs w:val="17"/>
                <w:color w:val="auto"/>
              </w:rPr>
            </w:pPr>
          </w:p>
        </w:tc>
        <w:tc>
          <w:tcPr>
            <w:tcW w:w="2800" w:type="dxa"/>
            <w:vAlign w:val="bottom"/>
            <w:tcBorders>
              <w:bottom w:val="single" w:sz="8" w:color="auto"/>
            </w:tcBorders>
            <w:gridSpan w:val="4"/>
          </w:tcPr>
          <w:p>
            <w:pPr>
              <w:jc w:val="center"/>
              <w:ind w:left="280"/>
              <w:spacing w:after="0"/>
              <w:rPr>
                <w:sz w:val="20"/>
                <w:szCs w:val="20"/>
                <w:color w:val="auto"/>
              </w:rPr>
            </w:pPr>
            <w:r>
              <w:rPr>
                <w:rFonts w:ascii="Arial" w:cs="Arial" w:eastAsia="Arial" w:hAnsi="Arial"/>
                <w:sz w:val="16"/>
                <w:szCs w:val="16"/>
                <w:color w:val="auto"/>
                <w:w w:val="89"/>
              </w:rPr>
              <w:t>Three Months Ended September 30,</w:t>
            </w:r>
          </w:p>
        </w:tc>
      </w:tr>
      <w:tr>
        <w:trPr>
          <w:trHeight w:val="197"/>
        </w:trPr>
        <w:tc>
          <w:tcPr>
            <w:tcW w:w="54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 thousands)</w:t>
            </w: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2021</w:t>
            </w:r>
          </w:p>
        </w:tc>
        <w:tc>
          <w:tcPr>
            <w:tcW w:w="5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w w:val="95"/>
              </w:rPr>
              <w:t>2020</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2021</w:t>
            </w: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2020</w:t>
            </w:r>
          </w:p>
        </w:tc>
      </w:tr>
      <w:tr>
        <w:trPr>
          <w:trHeight w:val="197"/>
        </w:trPr>
        <w:tc>
          <w:tcPr>
            <w:tcW w:w="54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Service cost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9</w:t>
            </w:r>
          </w:p>
        </w:tc>
        <w:tc>
          <w:tcPr>
            <w:tcW w:w="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5"/>
        </w:trPr>
        <w:tc>
          <w:tcPr>
            <w:tcW w:w="5480" w:type="dxa"/>
            <w:vAlign w:val="bottom"/>
          </w:tcPr>
          <w:p>
            <w:pPr>
              <w:ind w:left="380"/>
              <w:spacing w:after="0"/>
              <w:rPr>
                <w:sz w:val="20"/>
                <w:szCs w:val="20"/>
                <w:color w:val="auto"/>
              </w:rPr>
            </w:pPr>
            <w:r>
              <w:rPr>
                <w:rFonts w:ascii="Arial" w:cs="Arial" w:eastAsia="Arial" w:hAnsi="Arial"/>
                <w:sz w:val="16"/>
                <w:szCs w:val="16"/>
                <w:color w:val="auto"/>
              </w:rPr>
              <w:t>Interest cost</w:t>
            </w:r>
          </w:p>
        </w:tc>
        <w:tc>
          <w:tcPr>
            <w:tcW w:w="460" w:type="dxa"/>
            <w:vAlign w:val="bottom"/>
          </w:tcPr>
          <w:p>
            <w:pPr>
              <w:spacing w:after="0"/>
              <w:rPr>
                <w:sz w:val="17"/>
                <w:szCs w:val="17"/>
                <w:color w:val="auto"/>
              </w:rPr>
            </w:pPr>
          </w:p>
        </w:tc>
        <w:tc>
          <w:tcPr>
            <w:tcW w:w="1160" w:type="dxa"/>
            <w:vAlign w:val="bottom"/>
          </w:tcPr>
          <w:p>
            <w:pPr>
              <w:jc w:val="right"/>
              <w:ind w:right="220"/>
              <w:spacing w:after="0"/>
              <w:rPr>
                <w:sz w:val="20"/>
                <w:szCs w:val="20"/>
                <w:color w:val="auto"/>
              </w:rPr>
            </w:pPr>
            <w:r>
              <w:rPr>
                <w:rFonts w:ascii="Arial" w:cs="Arial" w:eastAsia="Arial" w:hAnsi="Arial"/>
                <w:sz w:val="16"/>
                <w:szCs w:val="16"/>
                <w:color w:val="auto"/>
              </w:rPr>
              <w:t>2,101</w:t>
            </w:r>
          </w:p>
        </w:tc>
        <w:tc>
          <w:tcPr>
            <w:tcW w:w="5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2,535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200"/>
              <w:spacing w:after="0"/>
              <w:rPr>
                <w:sz w:val="20"/>
                <w:szCs w:val="20"/>
                <w:color w:val="auto"/>
              </w:rPr>
            </w:pPr>
            <w:r>
              <w:rPr>
                <w:rFonts w:ascii="Arial" w:cs="Arial" w:eastAsia="Arial" w:hAnsi="Arial"/>
                <w:sz w:val="16"/>
                <w:szCs w:val="16"/>
                <w:color w:val="auto"/>
              </w:rPr>
              <w:t>50</w:t>
            </w: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05"/>
        </w:trPr>
        <w:tc>
          <w:tcPr>
            <w:tcW w:w="54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Expected return on plan assets</w:t>
            </w:r>
          </w:p>
        </w:tc>
        <w:tc>
          <w:tcPr>
            <w:tcW w:w="4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(2,862)</w:t>
            </w: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4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w w:val="98"/>
              </w:rPr>
              <w:t>Amortization of prior service costs, (gains) losses and net transition asset</w:t>
            </w: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4,268</w:t>
            </w:r>
          </w:p>
        </w:tc>
        <w:tc>
          <w:tcPr>
            <w:tcW w:w="5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3,814</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(24)</w:t>
            </w: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r>
      <w:tr>
        <w:trPr>
          <w:trHeight w:val="201"/>
        </w:trPr>
        <w:tc>
          <w:tcPr>
            <w:tcW w:w="54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Net periodic benefit cost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3,507</w:t>
            </w:r>
          </w:p>
        </w:tc>
        <w:tc>
          <w:tcPr>
            <w:tcW w:w="5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3,545</w:t>
            </w: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35</w:t>
            </w:r>
          </w:p>
        </w:tc>
        <w:tc>
          <w:tcPr>
            <w:tcW w:w="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89"/>
        </w:trPr>
        <w:tc>
          <w:tcPr>
            <w:tcW w:w="54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20"/>
              <w:spacing w:after="0"/>
              <w:rPr>
                <w:sz w:val="20"/>
                <w:szCs w:val="20"/>
                <w:color w:val="auto"/>
              </w:rPr>
            </w:pPr>
            <w:r>
              <w:rPr>
                <w:rFonts w:ascii="Arial" w:cs="Arial" w:eastAsia="Arial" w:hAnsi="Arial"/>
                <w:sz w:val="16"/>
                <w:szCs w:val="16"/>
                <w:color w:val="auto"/>
                <w:w w:val="89"/>
              </w:rPr>
              <w:t>Pension Benefits</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color w:val="auto"/>
                <w:w w:val="91"/>
              </w:rPr>
              <w:t>Other Post-Retirement Benefits</w:t>
            </w:r>
          </w:p>
        </w:tc>
      </w:tr>
      <w:tr>
        <w:trPr>
          <w:trHeight w:val="197"/>
        </w:trPr>
        <w:tc>
          <w:tcPr>
            <w:tcW w:w="54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color w:val="auto"/>
                <w:w w:val="91"/>
              </w:rPr>
              <w:t>Nine Months Ended September 30,</w:t>
            </w:r>
          </w:p>
        </w:tc>
        <w:tc>
          <w:tcPr>
            <w:tcW w:w="100" w:type="dxa"/>
            <w:vAlign w:val="bottom"/>
          </w:tcPr>
          <w:p>
            <w:pPr>
              <w:spacing w:after="0"/>
              <w:rPr>
                <w:sz w:val="17"/>
                <w:szCs w:val="17"/>
                <w:color w:val="auto"/>
              </w:rPr>
            </w:pPr>
          </w:p>
        </w:tc>
        <w:tc>
          <w:tcPr>
            <w:tcW w:w="2800" w:type="dxa"/>
            <w:vAlign w:val="bottom"/>
            <w:tcBorders>
              <w:bottom w:val="single" w:sz="8" w:color="auto"/>
            </w:tcBorders>
            <w:gridSpan w:val="4"/>
          </w:tcPr>
          <w:p>
            <w:pPr>
              <w:jc w:val="center"/>
              <w:ind w:left="280"/>
              <w:spacing w:after="0"/>
              <w:rPr>
                <w:sz w:val="20"/>
                <w:szCs w:val="20"/>
                <w:color w:val="auto"/>
              </w:rPr>
            </w:pPr>
            <w:r>
              <w:rPr>
                <w:rFonts w:ascii="Arial" w:cs="Arial" w:eastAsia="Arial" w:hAnsi="Arial"/>
                <w:sz w:val="16"/>
                <w:szCs w:val="16"/>
                <w:color w:val="auto"/>
                <w:w w:val="91"/>
              </w:rPr>
              <w:t>Nine Months Ended September 30,</w:t>
            </w:r>
          </w:p>
        </w:tc>
      </w:tr>
      <w:tr>
        <w:trPr>
          <w:trHeight w:val="197"/>
        </w:trPr>
        <w:tc>
          <w:tcPr>
            <w:tcW w:w="54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 thousands)</w:t>
            </w: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2021</w:t>
            </w:r>
          </w:p>
        </w:tc>
        <w:tc>
          <w:tcPr>
            <w:tcW w:w="5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w w:val="95"/>
              </w:rPr>
              <w:t>2020</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2021</w:t>
            </w: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2020</w:t>
            </w:r>
          </w:p>
        </w:tc>
      </w:tr>
      <w:tr>
        <w:trPr>
          <w:trHeight w:val="197"/>
        </w:trPr>
        <w:tc>
          <w:tcPr>
            <w:tcW w:w="5480" w:type="dxa"/>
            <w:vAlign w:val="bottom"/>
          </w:tcPr>
          <w:p>
            <w:pPr>
              <w:ind w:left="380"/>
              <w:spacing w:after="0"/>
              <w:rPr>
                <w:sz w:val="20"/>
                <w:szCs w:val="20"/>
                <w:color w:val="auto"/>
              </w:rPr>
            </w:pPr>
            <w:r>
              <w:rPr>
                <w:rFonts w:ascii="Arial" w:cs="Arial" w:eastAsia="Arial" w:hAnsi="Arial"/>
                <w:sz w:val="16"/>
                <w:szCs w:val="16"/>
                <w:color w:val="auto"/>
              </w:rPr>
              <w:t>Service cost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0"/>
              <w:spacing w:after="0"/>
              <w:rPr>
                <w:sz w:val="20"/>
                <w:szCs w:val="20"/>
                <w:color w:val="auto"/>
              </w:rPr>
            </w:pPr>
            <w:r>
              <w:rPr>
                <w:rFonts w:ascii="Arial" w:cs="Arial" w:eastAsia="Arial" w:hAnsi="Arial"/>
                <w:sz w:val="16"/>
                <w:szCs w:val="16"/>
                <w:color w:val="auto"/>
              </w:rPr>
              <w:t>26</w:t>
            </w: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05"/>
        </w:trPr>
        <w:tc>
          <w:tcPr>
            <w:tcW w:w="54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Interest cost</w:t>
            </w:r>
          </w:p>
        </w:tc>
        <w:tc>
          <w:tcPr>
            <w:tcW w:w="4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6,305</w:t>
            </w: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151</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05"/>
        </w:trPr>
        <w:tc>
          <w:tcPr>
            <w:tcW w:w="5480" w:type="dxa"/>
            <w:vAlign w:val="bottom"/>
          </w:tcPr>
          <w:p>
            <w:pPr>
              <w:ind w:left="380"/>
              <w:spacing w:after="0"/>
              <w:rPr>
                <w:sz w:val="20"/>
                <w:szCs w:val="20"/>
                <w:color w:val="auto"/>
              </w:rPr>
            </w:pPr>
            <w:r>
              <w:rPr>
                <w:rFonts w:ascii="Arial" w:cs="Arial" w:eastAsia="Arial" w:hAnsi="Arial"/>
                <w:sz w:val="16"/>
                <w:szCs w:val="16"/>
                <w:color w:val="auto"/>
              </w:rPr>
              <w:t>Expected return on plan assets</w:t>
            </w:r>
          </w:p>
        </w:tc>
        <w:tc>
          <w:tcPr>
            <w:tcW w:w="460" w:type="dxa"/>
            <w:vAlign w:val="bottom"/>
          </w:tcPr>
          <w:p>
            <w:pPr>
              <w:spacing w:after="0"/>
              <w:rPr>
                <w:sz w:val="17"/>
                <w:szCs w:val="17"/>
                <w:color w:val="auto"/>
              </w:rPr>
            </w:pPr>
          </w:p>
        </w:tc>
        <w:tc>
          <w:tcPr>
            <w:tcW w:w="1160" w:type="dxa"/>
            <w:vAlign w:val="bottom"/>
          </w:tcPr>
          <w:p>
            <w:pPr>
              <w:jc w:val="right"/>
              <w:ind w:right="180"/>
              <w:spacing w:after="0"/>
              <w:rPr>
                <w:sz w:val="20"/>
                <w:szCs w:val="20"/>
                <w:color w:val="auto"/>
              </w:rPr>
            </w:pPr>
            <w:r>
              <w:rPr>
                <w:rFonts w:ascii="Arial" w:cs="Arial" w:eastAsia="Arial" w:hAnsi="Arial"/>
                <w:sz w:val="16"/>
                <w:szCs w:val="16"/>
                <w:color w:val="auto"/>
              </w:rPr>
              <w:t>(8,587)</w:t>
            </w:r>
          </w:p>
        </w:tc>
        <w:tc>
          <w:tcPr>
            <w:tcW w:w="5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(8,412)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costs, (gains) losses and net transition asset</w:t>
            </w:r>
          </w:p>
        </w:tc>
        <w:tc>
          <w:tcPr>
            <w:tcW w:w="4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12,799</w:t>
            </w:r>
          </w:p>
        </w:tc>
        <w:tc>
          <w:tcPr>
            <w:tcW w:w="5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11,441</w:t>
            </w: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(72)</w:t>
            </w:r>
          </w:p>
        </w:tc>
        <w:tc>
          <w:tcPr>
            <w:tcW w:w="4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01"/>
        </w:trPr>
        <w:tc>
          <w:tcPr>
            <w:tcW w:w="54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Net periodic benefit cost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10,517</w:t>
            </w:r>
          </w:p>
        </w:tc>
        <w:tc>
          <w:tcPr>
            <w:tcW w:w="5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10,634</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105</w:t>
            </w:r>
          </w:p>
        </w:tc>
        <w:tc>
          <w:tcPr>
            <w:tcW w:w="4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r>
    </w:tbl>
    <w:p>
      <w:pPr>
        <w:spacing w:after="0" w:line="374" w:lineRule="exact"/>
        <w:rPr>
          <w:sz w:val="20"/>
          <w:szCs w:val="20"/>
          <w:color w:val="auto"/>
        </w:rPr>
      </w:pPr>
    </w:p>
    <w:p>
      <w:pPr>
        <w:ind w:right="20" w:firstLine="362"/>
        <w:spacing w:after="0" w:line="300" w:lineRule="auto"/>
        <w:rPr>
          <w:sz w:val="20"/>
          <w:szCs w:val="20"/>
          <w:color w:val="auto"/>
        </w:rPr>
      </w:pPr>
      <w:r>
        <w:rPr>
          <w:rFonts w:ascii="Arial" w:cs="Arial" w:eastAsia="Arial" w:hAnsi="Arial"/>
          <w:sz w:val="14"/>
          <w:szCs w:val="14"/>
          <w:color w:val="auto"/>
        </w:rPr>
        <w:t>Pension and other postretirement liabilities were $103.7 million and $111.3 million at September 30, 2021 and December 31, 2020, respectively ($0.7 million included in “Accrued expenses” at September 30, 2021 and December 31, 2020, with the remainder included in “Pension and other postretirement benefit obligations, net” in the consolidated balance sheets). As of December 31, 2020, the required minimum pension contributions were $11.7 million for 2021. Contributions to the pension plan during the first nine months of 2021 were $5.1 million. In addition, the United States government enacted the American Rescue Plan Act of 2021 in March 2021, which, among other impacts, has reduced the Company's 2021 required minimum pension contributions to zero as a result of the Company's election of the interest rate relief used in the present value of the pension obligation and extension of the shortfall amortization period that is used to determine the minimum pension funding requirements.</w:t>
      </w:r>
    </w:p>
    <w:p>
      <w:pPr>
        <w:spacing w:after="0" w:line="23" w:lineRule="exact"/>
        <w:rPr>
          <w:sz w:val="20"/>
          <w:szCs w:val="20"/>
          <w:color w:val="auto"/>
        </w:rPr>
      </w:pPr>
    </w:p>
    <w:p>
      <w:pPr>
        <w:ind w:right="80" w:firstLine="362"/>
        <w:spacing w:after="0" w:line="279" w:lineRule="auto"/>
        <w:rPr>
          <w:sz w:val="20"/>
          <w:szCs w:val="20"/>
          <w:color w:val="auto"/>
        </w:rPr>
      </w:pPr>
      <w:r>
        <w:rPr>
          <w:rFonts w:ascii="Arial" w:cs="Arial" w:eastAsia="Arial" w:hAnsi="Arial"/>
          <w:sz w:val="16"/>
          <w:szCs w:val="16"/>
          <w:color w:val="auto"/>
        </w:rPr>
        <w:t>Tredegar funds its other postretirement benefits on a claims-made basis; for 2021, the Company anticipates the amount will be consistent with amounts paid for the year ended December 31, 2020, or approximately $0.5 million.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18" w:name="page19"/>
    <w:bookmarkEnd w:id="18"/>
    <w:p>
      <w:pPr>
        <w:spacing w:after="0"/>
        <w:tabs>
          <w:tab w:leader="none" w:pos="300" w:val="left"/>
        </w:tabs>
        <w:rPr>
          <w:sz w:val="20"/>
          <w:szCs w:val="20"/>
          <w:color w:val="auto"/>
        </w:rPr>
      </w:pPr>
      <w:r>
        <w:rPr>
          <w:rFonts w:ascii="Arial" w:cs="Arial" w:eastAsia="Arial" w:hAnsi="Arial"/>
          <w:sz w:val="16"/>
          <w:szCs w:val="16"/>
          <w:b w:val="1"/>
          <w:bCs w:val="1"/>
          <w:color w:val="auto"/>
        </w:rPr>
        <w:t>10</w:t>
        <w:tab/>
        <w:t>OTHER INCOME (EXPENSE), NET</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Other income (expense), net consists of the following: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3040" w:type="dxa"/>
            <w:vAlign w:val="bottom"/>
            <w:tcBorders>
              <w:top w:val="single" w:sz="8" w:color="auto"/>
              <w:bottom w:val="single" w:sz="8" w:color="auto"/>
            </w:tcBorders>
            <w:gridSpan w:val="3"/>
          </w:tcPr>
          <w:p>
            <w:pPr>
              <w:jc w:val="right"/>
              <w:ind w:right="500"/>
              <w:spacing w:after="0"/>
              <w:rPr>
                <w:sz w:val="20"/>
                <w:szCs w:val="20"/>
                <w:color w:val="auto"/>
              </w:rPr>
            </w:pPr>
            <w:r>
              <w:rPr>
                <w:rFonts w:ascii="Arial" w:cs="Arial" w:eastAsia="Arial" w:hAnsi="Arial"/>
                <w:sz w:val="16"/>
                <w:szCs w:val="16"/>
                <w:color w:val="auto"/>
                <w:w w:val="94"/>
              </w:rPr>
              <w:t>Three Months Ended September 30,</w:t>
            </w:r>
          </w:p>
        </w:tc>
        <w:tc>
          <w:tcPr>
            <w:tcW w:w="460" w:type="dxa"/>
            <w:vAlign w:val="bottom"/>
            <w:tcBorders>
              <w:top w:val="single" w:sz="8" w:color="auto"/>
              <w:bottom w:val="single" w:sz="8" w:color="auto"/>
            </w:tcBorders>
          </w:tcPr>
          <w:p>
            <w:pPr>
              <w:spacing w:after="0"/>
              <w:rPr>
                <w:sz w:val="18"/>
                <w:szCs w:val="18"/>
                <w:color w:val="auto"/>
              </w:rPr>
            </w:pPr>
          </w:p>
        </w:tc>
        <w:tc>
          <w:tcPr>
            <w:tcW w:w="2720" w:type="dxa"/>
            <w:vAlign w:val="bottom"/>
            <w:tcBorders>
              <w:top w:val="single" w:sz="8" w:color="auto"/>
              <w:bottom w:val="single" w:sz="8" w:color="auto"/>
            </w:tcBorders>
            <w:gridSpan w:val="3"/>
          </w:tcPr>
          <w:p>
            <w:pPr>
              <w:jc w:val="right"/>
              <w:ind w:right="260"/>
              <w:spacing w:after="0"/>
              <w:rPr>
                <w:sz w:val="20"/>
                <w:szCs w:val="20"/>
                <w:color w:val="auto"/>
              </w:rPr>
            </w:pPr>
            <w:r>
              <w:rPr>
                <w:rFonts w:ascii="Arial" w:cs="Arial" w:eastAsia="Arial" w:hAnsi="Arial"/>
                <w:sz w:val="16"/>
                <w:szCs w:val="16"/>
                <w:color w:val="auto"/>
                <w:w w:val="94"/>
              </w:rPr>
              <w:t>Nine Months Ended September 30,</w:t>
            </w:r>
          </w:p>
        </w:tc>
        <w:tc>
          <w:tcPr>
            <w:tcW w:w="0" w:type="dxa"/>
            <w:vAlign w:val="bottom"/>
          </w:tcPr>
          <w:p>
            <w:pPr>
              <w:spacing w:after="0"/>
              <w:rPr>
                <w:sz w:val="1"/>
                <w:szCs w:val="1"/>
                <w:color w:val="auto"/>
              </w:rPr>
            </w:pPr>
          </w:p>
        </w:tc>
      </w:tr>
      <w:tr>
        <w:trPr>
          <w:trHeight w:val="197"/>
        </w:trPr>
        <w:tc>
          <w:tcPr>
            <w:tcW w:w="46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 thousands)</w:t>
            </w: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20"/>
              <w:spacing w:after="0"/>
              <w:rPr>
                <w:sz w:val="20"/>
                <w:szCs w:val="20"/>
                <w:color w:val="auto"/>
              </w:rPr>
            </w:pPr>
            <w:r>
              <w:rPr>
                <w:rFonts w:ascii="Arial" w:cs="Arial" w:eastAsia="Arial" w:hAnsi="Arial"/>
                <w:sz w:val="16"/>
                <w:szCs w:val="16"/>
                <w:color w:val="auto"/>
              </w:rPr>
              <w:t>2021</w:t>
            </w:r>
          </w:p>
        </w:tc>
        <w:tc>
          <w:tcPr>
            <w:tcW w:w="5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40"/>
              <w:spacing w:after="0"/>
              <w:rPr>
                <w:sz w:val="20"/>
                <w:szCs w:val="20"/>
                <w:color w:val="auto"/>
              </w:rPr>
            </w:pPr>
            <w:r>
              <w:rPr>
                <w:rFonts w:ascii="Arial" w:cs="Arial" w:eastAsia="Arial" w:hAnsi="Arial"/>
                <w:sz w:val="16"/>
                <w:szCs w:val="16"/>
                <w:color w:val="auto"/>
              </w:rPr>
              <w:t>2020</w:t>
            </w: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00"/>
              <w:spacing w:after="0"/>
              <w:rPr>
                <w:sz w:val="20"/>
                <w:szCs w:val="20"/>
                <w:color w:val="auto"/>
              </w:rPr>
            </w:pPr>
            <w:r>
              <w:rPr>
                <w:rFonts w:ascii="Arial" w:cs="Arial" w:eastAsia="Arial" w:hAnsi="Arial"/>
                <w:sz w:val="16"/>
                <w:szCs w:val="16"/>
                <w:color w:val="auto"/>
              </w:rPr>
              <w:t>2021</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49"/>
        </w:trPr>
        <w:tc>
          <w:tcPr>
            <w:tcW w:w="4620" w:type="dxa"/>
            <w:vAlign w:val="bottom"/>
            <w:shd w:val="clear" w:color="auto" w:fill="CCEEFF"/>
          </w:tcPr>
          <w:p>
            <w:pPr>
              <w:ind w:left="380"/>
              <w:spacing w:after="0" w:line="149" w:lineRule="exact"/>
              <w:rPr>
                <w:sz w:val="20"/>
                <w:szCs w:val="20"/>
                <w:color w:val="auto"/>
              </w:rPr>
            </w:pPr>
            <w:r>
              <w:rPr>
                <w:rFonts w:ascii="Arial" w:cs="Arial" w:eastAsia="Arial" w:hAnsi="Arial"/>
                <w:sz w:val="16"/>
                <w:szCs w:val="16"/>
                <w:color w:val="auto"/>
              </w:rPr>
              <w:t>Gain (loss) on investment in kaléo accounted for under fair</w:t>
            </w:r>
          </w:p>
        </w:tc>
        <w:tc>
          <w:tcPr>
            <w:tcW w:w="42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279</w:t>
            </w:r>
          </w:p>
        </w:tc>
        <w:tc>
          <w:tcPr>
            <w:tcW w:w="54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(36,200)</w:t>
            </w:r>
          </w:p>
        </w:tc>
        <w:tc>
          <w:tcPr>
            <w:tcW w:w="46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1,197</w:t>
            </w:r>
          </w:p>
        </w:tc>
        <w:tc>
          <w:tcPr>
            <w:tcW w:w="50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(61,000)</w:t>
            </w:r>
          </w:p>
        </w:tc>
        <w:tc>
          <w:tcPr>
            <w:tcW w:w="0" w:type="dxa"/>
            <w:vAlign w:val="bottom"/>
          </w:tcPr>
          <w:p>
            <w:pPr>
              <w:spacing w:after="0"/>
              <w:rPr>
                <w:sz w:val="1"/>
                <w:szCs w:val="1"/>
                <w:color w:val="auto"/>
              </w:rPr>
            </w:pPr>
          </w:p>
        </w:tc>
      </w:tr>
      <w:tr>
        <w:trPr>
          <w:trHeight w:val="205"/>
        </w:trPr>
        <w:tc>
          <w:tcPr>
            <w:tcW w:w="4620" w:type="dxa"/>
            <w:vAlign w:val="bottom"/>
            <w:shd w:val="clear" w:color="auto" w:fill="CCEEFF"/>
          </w:tcPr>
          <w:p>
            <w:pPr>
              <w:ind w:left="20"/>
              <w:spacing w:after="0" w:line="206" w:lineRule="exact"/>
              <w:rPr>
                <w:sz w:val="20"/>
                <w:szCs w:val="20"/>
                <w:color w:val="auto"/>
              </w:rPr>
            </w:pPr>
            <w:r>
              <w:rPr>
                <w:rFonts w:ascii="Arial" w:cs="Arial" w:eastAsia="Arial" w:hAnsi="Arial"/>
                <w:sz w:val="16"/>
                <w:szCs w:val="16"/>
                <w:color w:val="auto"/>
              </w:rPr>
              <w:t>value method</w:t>
            </w:r>
            <w:r>
              <w:rPr>
                <w:rFonts w:ascii="Arial" w:cs="Arial" w:eastAsia="Arial" w:hAnsi="Arial"/>
                <w:sz w:val="20"/>
                <w:szCs w:val="20"/>
                <w:color w:val="auto"/>
                <w:vertAlign w:val="superscript"/>
              </w:rPr>
              <w:t>(a)</w:t>
            </w:r>
          </w:p>
        </w:tc>
        <w:tc>
          <w:tcPr>
            <w:tcW w:w="420" w:type="dxa"/>
            <w:vAlign w:val="bottom"/>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620" w:type="dxa"/>
            <w:vAlign w:val="bottom"/>
          </w:tcPr>
          <w:p>
            <w:pPr>
              <w:ind w:left="380"/>
              <w:spacing w:after="0" w:line="157" w:lineRule="exact"/>
              <w:rPr>
                <w:sz w:val="20"/>
                <w:szCs w:val="20"/>
                <w:color w:val="auto"/>
              </w:rPr>
            </w:pPr>
            <w:r>
              <w:rPr>
                <w:rFonts w:ascii="Arial" w:cs="Arial" w:eastAsia="Arial" w:hAnsi="Arial"/>
                <w:sz w:val="16"/>
                <w:szCs w:val="16"/>
                <w:color w:val="auto"/>
                <w:w w:val="97"/>
              </w:rPr>
              <w:t>One-time tax credit in Brazil for unemployment/social security</w:t>
            </w:r>
          </w:p>
        </w:tc>
        <w:tc>
          <w:tcPr>
            <w:tcW w:w="4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20" w:type="dxa"/>
            <w:vAlign w:val="bottom"/>
          </w:tcPr>
          <w:p>
            <w:pPr>
              <w:ind w:left="20"/>
              <w:spacing w:after="0" w:line="157" w:lineRule="exact"/>
              <w:rPr>
                <w:sz w:val="20"/>
                <w:szCs w:val="20"/>
                <w:color w:val="auto"/>
              </w:rPr>
            </w:pPr>
            <w:r>
              <w:rPr>
                <w:rFonts w:ascii="Arial" w:cs="Arial" w:eastAsia="Arial" w:hAnsi="Arial"/>
                <w:sz w:val="16"/>
                <w:szCs w:val="16"/>
                <w:color w:val="auto"/>
                <w:w w:val="97"/>
              </w:rPr>
              <w:t>insurance non-income taxes resulting from a favorable decision by</w:t>
            </w:r>
          </w:p>
        </w:tc>
        <w:tc>
          <w:tcPr>
            <w:tcW w:w="420" w:type="dxa"/>
            <w:vAlign w:val="bottom"/>
          </w:tcPr>
          <w:p>
            <w:pPr>
              <w:spacing w:after="0"/>
              <w:rPr>
                <w:sz w:val="13"/>
                <w:szCs w:val="13"/>
                <w:color w:val="auto"/>
              </w:rPr>
            </w:pPr>
          </w:p>
        </w:tc>
        <w:tc>
          <w:tcPr>
            <w:tcW w:w="1260" w:type="dxa"/>
            <w:vAlign w:val="bottom"/>
            <w:vMerge w:val="restart"/>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3"/>
                <w:szCs w:val="13"/>
                <w:color w:val="auto"/>
              </w:rPr>
            </w:pPr>
          </w:p>
        </w:tc>
        <w:tc>
          <w:tcPr>
            <w:tcW w:w="1240" w:type="dxa"/>
            <w:vAlign w:val="bottom"/>
            <w:vMerge w:val="restart"/>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3"/>
                <w:szCs w:val="13"/>
                <w:color w:val="auto"/>
              </w:rPr>
            </w:pPr>
          </w:p>
        </w:tc>
        <w:tc>
          <w:tcPr>
            <w:tcW w:w="1220" w:type="dxa"/>
            <w:vAlign w:val="bottom"/>
            <w:vMerge w:val="restart"/>
          </w:tcPr>
          <w:p>
            <w:pPr>
              <w:jc w:val="right"/>
              <w:ind w:right="220"/>
              <w:spacing w:after="0"/>
              <w:rPr>
                <w:sz w:val="20"/>
                <w:szCs w:val="20"/>
                <w:color w:val="auto"/>
              </w:rPr>
            </w:pPr>
            <w:r>
              <w:rPr>
                <w:rFonts w:ascii="Arial" w:cs="Arial" w:eastAsia="Arial" w:hAnsi="Arial"/>
                <w:sz w:val="16"/>
                <w:szCs w:val="16"/>
                <w:color w:val="auto"/>
              </w:rPr>
              <w:t>8,486</w:t>
            </w:r>
          </w:p>
        </w:tc>
        <w:tc>
          <w:tcPr>
            <w:tcW w:w="5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620" w:type="dxa"/>
            <w:vAlign w:val="bottom"/>
          </w:tcPr>
          <w:p>
            <w:pPr>
              <w:ind w:left="20"/>
              <w:spacing w:after="0" w:line="206" w:lineRule="exact"/>
              <w:rPr>
                <w:sz w:val="20"/>
                <w:szCs w:val="20"/>
                <w:color w:val="auto"/>
              </w:rPr>
            </w:pPr>
            <w:r>
              <w:rPr>
                <w:rFonts w:ascii="Arial" w:cs="Arial" w:eastAsia="Arial" w:hAnsi="Arial"/>
                <w:sz w:val="16"/>
                <w:szCs w:val="16"/>
                <w:color w:val="auto"/>
              </w:rPr>
              <w:t>Brazil’s Supreme Court regarding the calculation of such tax</w:t>
            </w:r>
            <w:r>
              <w:rPr>
                <w:rFonts w:ascii="Arial" w:cs="Arial" w:eastAsia="Arial" w:hAnsi="Arial"/>
                <w:sz w:val="20"/>
                <w:szCs w:val="20"/>
                <w:color w:val="auto"/>
                <w:vertAlign w:val="superscript"/>
              </w:rPr>
              <w:t>(b)</w:t>
            </w:r>
          </w:p>
        </w:tc>
        <w:tc>
          <w:tcPr>
            <w:tcW w:w="4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620" w:type="dxa"/>
            <w:vAlign w:val="bottom"/>
            <w:shd w:val="clear" w:color="auto" w:fill="CCEEFF"/>
          </w:tcPr>
          <w:p>
            <w:pPr>
              <w:ind w:left="380"/>
              <w:spacing w:after="0" w:line="157" w:lineRule="exact"/>
              <w:rPr>
                <w:sz w:val="20"/>
                <w:szCs w:val="20"/>
                <w:color w:val="auto"/>
              </w:rPr>
            </w:pPr>
            <w:r>
              <w:rPr>
                <w:rFonts w:ascii="Arial" w:cs="Arial" w:eastAsia="Arial" w:hAnsi="Arial"/>
                <w:sz w:val="16"/>
                <w:szCs w:val="16"/>
                <w:color w:val="auto"/>
                <w:w w:val="96"/>
              </w:rPr>
              <w:t>Transition service fees, net of corporate costs associated with</w:t>
            </w:r>
          </w:p>
        </w:tc>
        <w:tc>
          <w:tcPr>
            <w:tcW w:w="42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(85)</w:t>
            </w:r>
          </w:p>
        </w:tc>
        <w:tc>
          <w:tcPr>
            <w:tcW w:w="54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(1,130)</w:t>
            </w:r>
          </w:p>
        </w:tc>
        <w:tc>
          <w:tcPr>
            <w:tcW w:w="46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486</w:t>
            </w:r>
          </w:p>
        </w:tc>
        <w:tc>
          <w:tcPr>
            <w:tcW w:w="5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0" w:type="dxa"/>
            <w:vAlign w:val="bottom"/>
          </w:tcPr>
          <w:p>
            <w:pPr>
              <w:spacing w:after="0"/>
              <w:rPr>
                <w:sz w:val="1"/>
                <w:szCs w:val="1"/>
                <w:color w:val="auto"/>
              </w:rPr>
            </w:pPr>
          </w:p>
        </w:tc>
      </w:tr>
      <w:tr>
        <w:trPr>
          <w:trHeight w:val="205"/>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divested Personal Care business</w:t>
            </w:r>
          </w:p>
        </w:tc>
        <w:tc>
          <w:tcPr>
            <w:tcW w:w="4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620" w:type="dxa"/>
            <w:vAlign w:val="bottom"/>
          </w:tcPr>
          <w:p>
            <w:pPr>
              <w:ind w:left="380"/>
              <w:spacing w:after="0" w:line="206" w:lineRule="exact"/>
              <w:rPr>
                <w:sz w:val="20"/>
                <w:szCs w:val="20"/>
                <w:color w:val="auto"/>
              </w:rPr>
            </w:pPr>
            <w:r>
              <w:rPr>
                <w:rFonts w:ascii="Arial" w:cs="Arial" w:eastAsia="Arial" w:hAnsi="Arial"/>
                <w:sz w:val="16"/>
                <w:szCs w:val="16"/>
                <w:color w:val="auto"/>
              </w:rPr>
              <w:t xml:space="preserve">COVID-19-related expenses, net of relief </w:t>
            </w:r>
            <w:r>
              <w:rPr>
                <w:rFonts w:ascii="Arial" w:cs="Arial" w:eastAsia="Arial" w:hAnsi="Arial"/>
                <w:sz w:val="20"/>
                <w:szCs w:val="20"/>
                <w:color w:val="auto"/>
                <w:vertAlign w:val="superscript"/>
              </w:rPr>
              <w:t>(c)</w:t>
            </w:r>
          </w:p>
        </w:tc>
        <w:tc>
          <w:tcPr>
            <w:tcW w:w="420" w:type="dxa"/>
            <w:vAlign w:val="bottom"/>
          </w:tcPr>
          <w:p>
            <w:pPr>
              <w:spacing w:after="0"/>
              <w:rPr>
                <w:sz w:val="17"/>
                <w:szCs w:val="17"/>
                <w:color w:val="auto"/>
              </w:rPr>
            </w:pPr>
          </w:p>
        </w:tc>
        <w:tc>
          <w:tcPr>
            <w:tcW w:w="1260" w:type="dxa"/>
            <w:vAlign w:val="bottom"/>
          </w:tcPr>
          <w:p>
            <w:pPr>
              <w:jc w:val="right"/>
              <w:ind w:right="160"/>
              <w:spacing w:after="0"/>
              <w:rPr>
                <w:sz w:val="20"/>
                <w:szCs w:val="20"/>
                <w:color w:val="auto"/>
              </w:rPr>
            </w:pPr>
            <w:r>
              <w:rPr>
                <w:rFonts w:ascii="Arial" w:cs="Arial" w:eastAsia="Arial" w:hAnsi="Arial"/>
                <w:sz w:val="16"/>
                <w:szCs w:val="16"/>
                <w:color w:val="auto"/>
              </w:rPr>
              <w:t>(159)</w:t>
            </w:r>
          </w:p>
        </w:tc>
        <w:tc>
          <w:tcPr>
            <w:tcW w:w="540" w:type="dxa"/>
            <w:vAlign w:val="bottom"/>
          </w:tcPr>
          <w:p>
            <w:pPr>
              <w:spacing w:after="0"/>
              <w:rPr>
                <w:sz w:val="17"/>
                <w:szCs w:val="17"/>
                <w:color w:val="auto"/>
              </w:rPr>
            </w:pPr>
          </w:p>
        </w:tc>
        <w:tc>
          <w:tcPr>
            <w:tcW w:w="1240" w:type="dxa"/>
            <w:vAlign w:val="bottom"/>
          </w:tcPr>
          <w:p>
            <w:pPr>
              <w:jc w:val="right"/>
              <w:ind w:right="160"/>
              <w:spacing w:after="0"/>
              <w:rPr>
                <w:sz w:val="20"/>
                <w:szCs w:val="20"/>
                <w:color w:val="auto"/>
              </w:rPr>
            </w:pPr>
            <w:r>
              <w:rPr>
                <w:rFonts w:ascii="Arial" w:cs="Arial" w:eastAsia="Arial" w:hAnsi="Arial"/>
                <w:sz w:val="16"/>
                <w:szCs w:val="16"/>
                <w:color w:val="auto"/>
              </w:rPr>
              <w:t>(494)</w:t>
            </w:r>
          </w:p>
        </w:tc>
        <w:tc>
          <w:tcPr>
            <w:tcW w:w="460" w:type="dxa"/>
            <w:vAlign w:val="bottom"/>
          </w:tcPr>
          <w:p>
            <w:pPr>
              <w:spacing w:after="0"/>
              <w:rPr>
                <w:sz w:val="17"/>
                <w:szCs w:val="17"/>
                <w:color w:val="auto"/>
              </w:rPr>
            </w:pPr>
          </w:p>
        </w:tc>
        <w:tc>
          <w:tcPr>
            <w:tcW w:w="1220" w:type="dxa"/>
            <w:vAlign w:val="bottom"/>
          </w:tcPr>
          <w:p>
            <w:pPr>
              <w:jc w:val="right"/>
              <w:ind w:right="180"/>
              <w:spacing w:after="0"/>
              <w:rPr>
                <w:sz w:val="20"/>
                <w:szCs w:val="20"/>
                <w:color w:val="auto"/>
              </w:rPr>
            </w:pPr>
            <w:r>
              <w:rPr>
                <w:rFonts w:ascii="Arial" w:cs="Arial" w:eastAsia="Arial" w:hAnsi="Arial"/>
                <w:sz w:val="16"/>
                <w:szCs w:val="16"/>
                <w:color w:val="auto"/>
              </w:rPr>
              <w:t>(594)</w:t>
            </w:r>
          </w:p>
        </w:tc>
        <w:tc>
          <w:tcPr>
            <w:tcW w:w="5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(1,594)</w:t>
            </w:r>
          </w:p>
        </w:tc>
        <w:tc>
          <w:tcPr>
            <w:tcW w:w="0" w:type="dxa"/>
            <w:vAlign w:val="bottom"/>
          </w:tcPr>
          <w:p>
            <w:pPr>
              <w:spacing w:after="0"/>
              <w:rPr>
                <w:sz w:val="1"/>
                <w:szCs w:val="1"/>
                <w:color w:val="auto"/>
              </w:rPr>
            </w:pPr>
          </w:p>
        </w:tc>
      </w:tr>
      <w:tr>
        <w:trPr>
          <w:trHeight w:val="157"/>
        </w:trPr>
        <w:tc>
          <w:tcPr>
            <w:tcW w:w="4620" w:type="dxa"/>
            <w:vAlign w:val="bottom"/>
            <w:shd w:val="clear" w:color="auto" w:fill="CCEEFF"/>
          </w:tcPr>
          <w:p>
            <w:pPr>
              <w:ind w:left="380"/>
              <w:spacing w:after="0" w:line="157" w:lineRule="exact"/>
              <w:rPr>
                <w:sz w:val="20"/>
                <w:szCs w:val="20"/>
                <w:color w:val="auto"/>
              </w:rPr>
            </w:pPr>
            <w:r>
              <w:rPr>
                <w:rFonts w:ascii="Arial" w:cs="Arial" w:eastAsia="Arial" w:hAnsi="Arial"/>
                <w:sz w:val="16"/>
                <w:szCs w:val="16"/>
                <w:color w:val="auto"/>
              </w:rPr>
              <w:t>Write-down of investment in Harbinger Capital Partners</w:t>
            </w:r>
          </w:p>
        </w:tc>
        <w:tc>
          <w:tcPr>
            <w:tcW w:w="42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(6)</w:t>
            </w:r>
          </w:p>
        </w:tc>
        <w:tc>
          <w:tcPr>
            <w:tcW w:w="54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(115)</w:t>
            </w:r>
          </w:p>
        </w:tc>
        <w:tc>
          <w:tcPr>
            <w:tcW w:w="46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(517)</w:t>
            </w:r>
          </w:p>
        </w:tc>
        <w:tc>
          <w:tcPr>
            <w:tcW w:w="5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05"/>
        </w:trPr>
        <w:tc>
          <w:tcPr>
            <w:tcW w:w="4620" w:type="dxa"/>
            <w:vAlign w:val="bottom"/>
            <w:shd w:val="clear" w:color="auto" w:fill="CCEEFF"/>
          </w:tcPr>
          <w:p>
            <w:pPr>
              <w:ind w:left="20"/>
              <w:spacing w:after="0" w:line="206" w:lineRule="exact"/>
              <w:rPr>
                <w:sz w:val="20"/>
                <w:szCs w:val="20"/>
                <w:color w:val="auto"/>
              </w:rPr>
            </w:pPr>
            <w:r>
              <w:rPr>
                <w:rFonts w:ascii="Arial" w:cs="Arial" w:eastAsia="Arial" w:hAnsi="Arial"/>
                <w:sz w:val="16"/>
                <w:szCs w:val="16"/>
                <w:color w:val="auto"/>
              </w:rPr>
              <w:t>Special Situations Fund</w:t>
            </w:r>
            <w:r>
              <w:rPr>
                <w:rFonts w:ascii="Arial" w:cs="Arial" w:eastAsia="Arial" w:hAnsi="Arial"/>
                <w:sz w:val="20"/>
                <w:szCs w:val="20"/>
                <w:color w:val="auto"/>
                <w:vertAlign w:val="superscript"/>
              </w:rPr>
              <w:t>(d)</w:t>
            </w:r>
          </w:p>
        </w:tc>
        <w:tc>
          <w:tcPr>
            <w:tcW w:w="4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620" w:type="dxa"/>
            <w:vAlign w:val="bottom"/>
          </w:tcPr>
          <w:p>
            <w:pPr>
              <w:ind w:left="380"/>
              <w:spacing w:after="0" w:line="157" w:lineRule="exact"/>
              <w:rPr>
                <w:sz w:val="20"/>
                <w:szCs w:val="20"/>
                <w:color w:val="auto"/>
              </w:rPr>
            </w:pPr>
            <w:r>
              <w:rPr>
                <w:rFonts w:ascii="Arial" w:cs="Arial" w:eastAsia="Arial" w:hAnsi="Arial"/>
                <w:sz w:val="16"/>
                <w:szCs w:val="16"/>
                <w:color w:val="auto"/>
              </w:rPr>
              <w:t>Gain associated with the sale of Lake Zurich manufacturing</w:t>
            </w:r>
          </w:p>
        </w:tc>
        <w:tc>
          <w:tcPr>
            <w:tcW w:w="420" w:type="dxa"/>
            <w:vAlign w:val="bottom"/>
          </w:tcPr>
          <w:p>
            <w:pPr>
              <w:spacing w:after="0"/>
              <w:rPr>
                <w:sz w:val="13"/>
                <w:szCs w:val="13"/>
                <w:color w:val="auto"/>
              </w:rPr>
            </w:pPr>
          </w:p>
        </w:tc>
        <w:tc>
          <w:tcPr>
            <w:tcW w:w="1260" w:type="dxa"/>
            <w:vAlign w:val="bottom"/>
            <w:vMerge w:val="restart"/>
          </w:tcPr>
          <w:p>
            <w:pPr>
              <w:jc w:val="right"/>
              <w:ind w:right="200"/>
              <w:spacing w:after="0"/>
              <w:rPr>
                <w:sz w:val="20"/>
                <w:szCs w:val="20"/>
                <w:color w:val="auto"/>
              </w:rPr>
            </w:pPr>
            <w:r>
              <w:rPr>
                <w:rFonts w:ascii="Arial" w:cs="Arial" w:eastAsia="Arial" w:hAnsi="Arial"/>
                <w:sz w:val="16"/>
                <w:szCs w:val="16"/>
                <w:color w:val="auto"/>
              </w:rPr>
              <w:t>377</w:t>
            </w:r>
          </w:p>
        </w:tc>
        <w:tc>
          <w:tcPr>
            <w:tcW w:w="540" w:type="dxa"/>
            <w:vAlign w:val="bottom"/>
          </w:tcPr>
          <w:p>
            <w:pPr>
              <w:spacing w:after="0"/>
              <w:rPr>
                <w:sz w:val="13"/>
                <w:szCs w:val="13"/>
                <w:color w:val="auto"/>
              </w:rPr>
            </w:pPr>
          </w:p>
        </w:tc>
        <w:tc>
          <w:tcPr>
            <w:tcW w:w="1240" w:type="dxa"/>
            <w:vAlign w:val="bottom"/>
            <w:vMerge w:val="restart"/>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3"/>
                <w:szCs w:val="13"/>
                <w:color w:val="auto"/>
              </w:rPr>
            </w:pPr>
          </w:p>
        </w:tc>
        <w:tc>
          <w:tcPr>
            <w:tcW w:w="1220" w:type="dxa"/>
            <w:vAlign w:val="bottom"/>
            <w:vMerge w:val="restart"/>
          </w:tcPr>
          <w:p>
            <w:pPr>
              <w:jc w:val="right"/>
              <w:ind w:right="220"/>
              <w:spacing w:after="0"/>
              <w:rPr>
                <w:sz w:val="20"/>
                <w:szCs w:val="20"/>
                <w:color w:val="auto"/>
              </w:rPr>
            </w:pPr>
            <w:r>
              <w:rPr>
                <w:rFonts w:ascii="Arial" w:cs="Arial" w:eastAsia="Arial" w:hAnsi="Arial"/>
                <w:sz w:val="16"/>
                <w:szCs w:val="16"/>
                <w:color w:val="auto"/>
              </w:rPr>
              <w:t>377</w:t>
            </w:r>
          </w:p>
        </w:tc>
        <w:tc>
          <w:tcPr>
            <w:tcW w:w="5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620" w:type="dxa"/>
            <w:vAlign w:val="bottom"/>
          </w:tcPr>
          <w:p>
            <w:pPr>
              <w:ind w:left="20"/>
              <w:spacing w:after="0"/>
              <w:rPr>
                <w:sz w:val="20"/>
                <w:szCs w:val="20"/>
                <w:color w:val="auto"/>
              </w:rPr>
            </w:pPr>
            <w:r>
              <w:rPr>
                <w:rFonts w:ascii="Arial" w:cs="Arial" w:eastAsia="Arial" w:hAnsi="Arial"/>
                <w:sz w:val="16"/>
                <w:szCs w:val="16"/>
                <w:color w:val="auto"/>
              </w:rPr>
              <w:t>facility assets</w:t>
            </w:r>
          </w:p>
        </w:tc>
        <w:tc>
          <w:tcPr>
            <w:tcW w:w="4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4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(15)</w:t>
            </w:r>
          </w:p>
        </w:tc>
        <w:tc>
          <w:tcPr>
            <w:tcW w:w="5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5</w:t>
            </w:r>
          </w:p>
        </w:tc>
        <w:tc>
          <w:tcPr>
            <w:tcW w:w="4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(163)</w:t>
            </w:r>
          </w:p>
        </w:tc>
        <w:tc>
          <w:tcPr>
            <w:tcW w:w="5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97"/>
        </w:trPr>
        <w:tc>
          <w:tcPr>
            <w:tcW w:w="4620" w:type="dxa"/>
            <w:vAlign w:val="bottom"/>
          </w:tcPr>
          <w:p>
            <w:pPr>
              <w:ind w:left="380"/>
              <w:spacing w:after="0"/>
              <w:rPr>
                <w:sz w:val="20"/>
                <w:szCs w:val="20"/>
                <w:color w:val="auto"/>
              </w:rPr>
            </w:pPr>
            <w:r>
              <w:rPr>
                <w:rFonts w:ascii="Arial" w:cs="Arial" w:eastAsia="Arial" w:hAnsi="Arial"/>
                <w:sz w:val="16"/>
                <w:szCs w:val="16"/>
                <w:color w:val="auto"/>
              </w:rPr>
              <w:t>Total</w:t>
            </w:r>
          </w:p>
        </w:tc>
        <w:tc>
          <w:tcPr>
            <w:tcW w:w="4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0"/>
              <w:spacing w:after="0"/>
              <w:rPr>
                <w:sz w:val="20"/>
                <w:szCs w:val="20"/>
                <w:color w:val="auto"/>
              </w:rPr>
            </w:pPr>
            <w:r>
              <w:rPr>
                <w:rFonts w:ascii="Arial" w:cs="Arial" w:eastAsia="Arial" w:hAnsi="Arial"/>
                <w:sz w:val="16"/>
                <w:szCs w:val="16"/>
                <w:color w:val="auto"/>
              </w:rPr>
              <w:t>391</w:t>
            </w:r>
          </w:p>
        </w:tc>
        <w:tc>
          <w:tcPr>
            <w:tcW w:w="5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60"/>
              <w:spacing w:after="0"/>
              <w:rPr>
                <w:sz w:val="20"/>
                <w:szCs w:val="20"/>
                <w:color w:val="auto"/>
              </w:rPr>
            </w:pPr>
            <w:r>
              <w:rPr>
                <w:rFonts w:ascii="Arial" w:cs="Arial" w:eastAsia="Arial" w:hAnsi="Arial"/>
                <w:sz w:val="16"/>
                <w:szCs w:val="16"/>
                <w:color w:val="auto"/>
              </w:rPr>
              <w:t>(37,934)</w:t>
            </w: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20"/>
              <w:spacing w:after="0"/>
              <w:rPr>
                <w:sz w:val="20"/>
                <w:szCs w:val="20"/>
                <w:color w:val="auto"/>
              </w:rPr>
            </w:pPr>
            <w:r>
              <w:rPr>
                <w:rFonts w:ascii="Arial" w:cs="Arial" w:eastAsia="Arial" w:hAnsi="Arial"/>
                <w:sz w:val="16"/>
                <w:szCs w:val="16"/>
                <w:color w:val="auto"/>
              </w:rPr>
              <w:t>9,272</w:t>
            </w:r>
          </w:p>
        </w:tc>
        <w:tc>
          <w:tcPr>
            <w:tcW w:w="5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(63,898)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714692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ind w:left="200" w:hanging="187"/>
        <w:spacing w:after="0"/>
        <w:tabs>
          <w:tab w:leader="none" w:pos="2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gain in the first nine months of 2021 includes a $0.3 million dividend received from kaléo in the first quarter of 2021.</w:t>
      </w:r>
    </w:p>
    <w:p>
      <w:pPr>
        <w:ind w:left="220" w:hanging="207"/>
        <w:spacing w:after="0" w:line="215" w:lineRule="auto"/>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See Note 13 for additional information.</w:t>
      </w:r>
    </w:p>
    <w:p>
      <w:pPr>
        <w:ind w:left="220" w:right="660" w:hanging="207"/>
        <w:spacing w:after="0" w:line="215" w:lineRule="auto"/>
        <w:tabs>
          <w:tab w:leader="none" w:pos="20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Costs associated with operating under COVID-19 conditions include employee overtime expenses associated with absenteeism, personal protective equipment supplies and facility maintenance.</w:t>
      </w:r>
    </w:p>
    <w:p>
      <w:pPr>
        <w:spacing w:after="0" w:line="1" w:lineRule="exact"/>
        <w:rPr>
          <w:rFonts w:ascii="Arial" w:cs="Arial" w:eastAsia="Arial" w:hAnsi="Arial"/>
          <w:sz w:val="14"/>
          <w:szCs w:val="14"/>
          <w:color w:val="auto"/>
        </w:rPr>
      </w:pPr>
    </w:p>
    <w:p>
      <w:pPr>
        <w:ind w:left="220" w:right="80" w:hanging="207"/>
        <w:spacing w:after="0" w:line="235" w:lineRule="auto"/>
        <w:tabs>
          <w:tab w:leader="none" w:pos="208"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the unrealized loss on the Company’s investment in Harbinger Capital Partners Special Situations Fund L.P. that had a fair value of $0.2 million and $0.8 million as of September 30, 2021 and 2020, respectively, and $0.7 million as of December 31, 2020 reported in "Other assets" in the condensed consolidated balance sheet.</w:t>
      </w:r>
    </w:p>
    <w:p>
      <w:pPr>
        <w:spacing w:after="0" w:line="219"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11</w:t>
      </w:r>
      <w:r>
        <w:rPr>
          <w:sz w:val="20"/>
          <w:szCs w:val="20"/>
          <w:color w:val="auto"/>
        </w:rPr>
        <w:tab/>
      </w:r>
      <w:r>
        <w:rPr>
          <w:rFonts w:ascii="Arial" w:cs="Arial" w:eastAsia="Arial" w:hAnsi="Arial"/>
          <w:sz w:val="15"/>
          <w:szCs w:val="15"/>
          <w:b w:val="1"/>
          <w:bCs w:val="1"/>
          <w:color w:val="auto"/>
        </w:rPr>
        <w:t>BUSINESS SEGMENTS</w:t>
      </w:r>
    </w:p>
    <w:p>
      <w:pPr>
        <w:spacing w:after="0" w:line="97" w:lineRule="exact"/>
        <w:rPr>
          <w:sz w:val="20"/>
          <w:szCs w:val="20"/>
          <w:color w:val="auto"/>
        </w:rPr>
      </w:pPr>
    </w:p>
    <w:p>
      <w:pPr>
        <w:ind w:right="40" w:firstLine="362"/>
        <w:spacing w:after="0" w:line="265" w:lineRule="auto"/>
        <w:rPr>
          <w:sz w:val="20"/>
          <w:szCs w:val="20"/>
          <w:color w:val="auto"/>
        </w:rPr>
      </w:pPr>
      <w:r>
        <w:rPr>
          <w:rFonts w:ascii="Arial" w:cs="Arial" w:eastAsia="Arial" w:hAnsi="Arial"/>
          <w:sz w:val="16"/>
          <w:szCs w:val="16"/>
          <w:color w:val="auto"/>
        </w:rPr>
        <w:t>The Company’s business segments are Aluminum Extrusions, PE Films, and Flexible Packaging Films. Information by business segment is reported below. There are no accounting transactions between segments and no allocations to segments. All historical results for Personal Care Films have been presented as discontinued operations. The Surface Protection component of the PE Films segment now includes Pottsville Packaging.</w:t>
      </w:r>
    </w:p>
    <w:p>
      <w:pPr>
        <w:spacing w:after="0" w:line="42" w:lineRule="exact"/>
        <w:rPr>
          <w:sz w:val="20"/>
          <w:szCs w:val="20"/>
          <w:color w:val="auto"/>
        </w:rPr>
      </w:pPr>
    </w:p>
    <w:p>
      <w:pPr>
        <w:ind w:right="260" w:firstLine="362"/>
        <w:spacing w:after="0" w:line="304" w:lineRule="auto"/>
        <w:rPr>
          <w:sz w:val="20"/>
          <w:szCs w:val="20"/>
          <w:color w:val="auto"/>
        </w:rPr>
      </w:pPr>
      <w:r>
        <w:rPr>
          <w:rFonts w:ascii="Arial" w:cs="Arial" w:eastAsia="Arial" w:hAnsi="Arial"/>
          <w:sz w:val="14"/>
          <w:szCs w:val="14"/>
          <w:color w:val="auto"/>
        </w:rPr>
        <w:t>The Company’s reportable segments are based on its method of internal reporting, which is generally segregated by differences in products. Accounting standards for presentation of segments require an approach based on the way the Company organizes the segments for making operating decisions and how the chief operating decision maker (“CODM”) assesses performance. EBITDA from ongoing operations is the key profitability measure used by the CODM (Tredegar’s President and Chief Executive Officer) for purposes of assessing financial performance. The Company uses sales less freight (“net sales”) from continuing operations as its measure of revenues from external customers at the segment level. This measure is separately included in the financial information regularly provided to the CODM.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95" w:right="319" w:bottom="1440" w:gutter="0" w:footer="0" w:header="0"/>
        </w:sectPr>
      </w:pPr>
    </w:p>
    <w:bookmarkStart w:id="19" w:name="page20"/>
    <w:bookmarkEnd w:id="19"/>
    <w:p>
      <w:pPr>
        <w:ind w:left="360"/>
        <w:spacing w:after="0"/>
        <w:rPr>
          <w:sz w:val="20"/>
          <w:szCs w:val="20"/>
          <w:color w:val="auto"/>
        </w:rPr>
      </w:pPr>
      <w:r>
        <w:rPr>
          <w:rFonts w:ascii="Arial" w:cs="Arial" w:eastAsia="Arial" w:hAnsi="Arial"/>
          <w:sz w:val="15"/>
          <w:szCs w:val="15"/>
          <w:color w:val="auto"/>
        </w:rPr>
        <w:t>The following table presents net sales and EBITDA from ongoing operations by segment for the three and nine months ended September 30, 2021 and 2020:</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6"/>
                <w:szCs w:val="16"/>
                <w:color w:val="auto"/>
                <w:w w:val="90"/>
              </w:rPr>
              <w:t>Three Months Ended September 30,</w:t>
            </w:r>
          </w:p>
        </w:tc>
        <w:tc>
          <w:tcPr>
            <w:tcW w:w="240" w:type="dxa"/>
            <w:vAlign w:val="bottom"/>
            <w:tcBorders>
              <w:top w:val="single" w:sz="8" w:color="auto"/>
            </w:tcBorders>
          </w:tcPr>
          <w:p>
            <w:pPr>
              <w:spacing w:after="0"/>
              <w:rPr>
                <w:sz w:val="19"/>
                <w:szCs w:val="19"/>
                <w:color w:val="auto"/>
              </w:rPr>
            </w:pPr>
          </w:p>
        </w:tc>
        <w:tc>
          <w:tcPr>
            <w:tcW w:w="262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6"/>
                <w:szCs w:val="16"/>
                <w:color w:val="auto"/>
                <w:w w:val="92"/>
              </w:rPr>
              <w:t>Nine Months Ended September 30,</w:t>
            </w:r>
          </w:p>
        </w:tc>
      </w:tr>
      <w:tr>
        <w:trPr>
          <w:trHeight w:val="205"/>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thousands)</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2021</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2020</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2021</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2020</w:t>
            </w:r>
          </w:p>
        </w:tc>
      </w:tr>
      <w:tr>
        <w:trPr>
          <w:trHeight w:val="197"/>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5"/>
        </w:trPr>
        <w:tc>
          <w:tcPr>
            <w:tcW w:w="5540" w:type="dxa"/>
            <w:vAlign w:val="bottom"/>
          </w:tcPr>
          <w:p>
            <w:pPr>
              <w:ind w:left="20"/>
              <w:spacing w:after="0"/>
              <w:rPr>
                <w:sz w:val="20"/>
                <w:szCs w:val="20"/>
                <w:color w:val="auto"/>
              </w:rPr>
            </w:pPr>
            <w:r>
              <w:rPr>
                <w:rFonts w:ascii="Arial" w:cs="Arial" w:eastAsia="Arial" w:hAnsi="Arial"/>
                <w:sz w:val="16"/>
                <w:szCs w:val="16"/>
                <w:color w:val="auto"/>
              </w:rPr>
              <w:t>Aluminum Extrusions</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137,086</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115,621</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394,492</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339,566</w:t>
            </w:r>
          </w:p>
        </w:tc>
      </w:tr>
      <w:tr>
        <w:trPr>
          <w:trHeight w:val="205"/>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 Films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28,501</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26,440</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87,885</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103,444</w:t>
            </w:r>
          </w:p>
        </w:tc>
      </w:tr>
      <w:tr>
        <w:trPr>
          <w:trHeight w:val="205"/>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Flexible Packaging Films</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36,666</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35,856</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102,560</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100,534</w:t>
            </w:r>
          </w:p>
        </w:tc>
      </w:tr>
      <w:tr>
        <w:trPr>
          <w:trHeight w:val="197"/>
        </w:trPr>
        <w:tc>
          <w:tcPr>
            <w:tcW w:w="5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net sales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202,253</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177,917</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584,937</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543,544</w:t>
            </w:r>
          </w:p>
        </w:tc>
      </w:tr>
      <w:tr>
        <w:trPr>
          <w:trHeight w:val="205"/>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Add back freight</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7,264</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6,453</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20,531</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19,222</w:t>
            </w:r>
          </w:p>
        </w:tc>
      </w:tr>
      <w:tr>
        <w:trPr>
          <w:trHeight w:val="201"/>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Sales as shown in the consolidated statements of income</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209,517</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184,370</w:t>
            </w:r>
          </w:p>
        </w:tc>
        <w:tc>
          <w:tcPr>
            <w:tcW w:w="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605,468</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562,766</w:t>
            </w:r>
          </w:p>
        </w:tc>
      </w:tr>
      <w:tr>
        <w:trPr>
          <w:trHeight w:val="205"/>
        </w:trPr>
        <w:tc>
          <w:tcPr>
            <w:tcW w:w="5540" w:type="dxa"/>
            <w:vAlign w:val="bottom"/>
          </w:tcPr>
          <w:p>
            <w:pPr>
              <w:ind w:left="20"/>
              <w:spacing w:after="0"/>
              <w:rPr>
                <w:sz w:val="20"/>
                <w:szCs w:val="20"/>
                <w:color w:val="auto"/>
              </w:rPr>
            </w:pPr>
            <w:r>
              <w:rPr>
                <w:rFonts w:ascii="Arial" w:cs="Arial" w:eastAsia="Arial" w:hAnsi="Arial"/>
                <w:sz w:val="16"/>
                <w:szCs w:val="16"/>
                <w:b w:val="1"/>
                <w:bCs w:val="1"/>
                <w:color w:val="auto"/>
              </w:rPr>
              <w:t>EBITDA from Ongoing Operations</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5"/>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Aluminum Extrusions: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5"/>
        </w:trPr>
        <w:tc>
          <w:tcPr>
            <w:tcW w:w="5540" w:type="dxa"/>
            <w:vAlign w:val="bottom"/>
          </w:tcPr>
          <w:p>
            <w:pPr>
              <w:ind w:left="100"/>
              <w:spacing w:after="0"/>
              <w:rPr>
                <w:sz w:val="20"/>
                <w:szCs w:val="20"/>
                <w:color w:val="auto"/>
              </w:rPr>
            </w:pPr>
            <w:r>
              <w:rPr>
                <w:rFonts w:ascii="Arial" w:cs="Arial" w:eastAsia="Arial" w:hAnsi="Arial"/>
                <w:sz w:val="16"/>
                <w:szCs w:val="16"/>
                <w:color w:val="auto"/>
              </w:rPr>
              <w:t>Ongoing operations:</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5"/>
        </w:trPr>
        <w:tc>
          <w:tcPr>
            <w:tcW w:w="5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EBITDA</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12,038</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16,540</w:t>
            </w:r>
          </w:p>
        </w:tc>
        <w:tc>
          <w:tcPr>
            <w:tcW w:w="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45,062</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41,496</w:t>
            </w:r>
          </w:p>
        </w:tc>
      </w:tr>
      <w:tr>
        <w:trPr>
          <w:trHeight w:val="205"/>
        </w:trPr>
        <w:tc>
          <w:tcPr>
            <w:tcW w:w="55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Depreciation &amp; amortization</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(3,900)</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(4,251)</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(12,062)</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(12,632)</w:t>
            </w:r>
          </w:p>
        </w:tc>
      </w:tr>
      <w:tr>
        <w:trPr>
          <w:trHeight w:val="197"/>
        </w:trPr>
        <w:tc>
          <w:tcPr>
            <w:tcW w:w="5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EBIT</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8,138</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12,289</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33,000</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28,864</w:t>
            </w:r>
          </w:p>
        </w:tc>
      </w:tr>
      <w:tr>
        <w:trPr>
          <w:trHeight w:val="205"/>
        </w:trPr>
        <w:tc>
          <w:tcPr>
            <w:tcW w:w="5540" w:type="dxa"/>
            <w:vAlign w:val="bottom"/>
          </w:tcPr>
          <w:p>
            <w:pPr>
              <w:ind w:left="100"/>
              <w:spacing w:after="0"/>
              <w:rPr>
                <w:sz w:val="20"/>
                <w:szCs w:val="20"/>
                <w:color w:val="auto"/>
              </w:rPr>
            </w:pPr>
            <w:r>
              <w:rPr>
                <w:rFonts w:ascii="Arial" w:cs="Arial" w:eastAsia="Arial" w:hAnsi="Arial"/>
                <w:sz w:val="16"/>
                <w:szCs w:val="16"/>
                <w:color w:val="auto"/>
              </w:rPr>
              <w:t>Plant shutdowns, asset impairments, restructurings and other</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(720)</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(223)</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(2,637)</w:t>
            </w:r>
          </w:p>
        </w:tc>
      </w:tr>
      <w:tr>
        <w:trPr>
          <w:trHeight w:val="205"/>
        </w:trPr>
        <w:tc>
          <w:tcPr>
            <w:tcW w:w="5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Goodwill impairment</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(13,696)</w:t>
            </w:r>
          </w:p>
        </w:tc>
      </w:tr>
      <w:tr>
        <w:trPr>
          <w:trHeight w:val="205"/>
        </w:trPr>
        <w:tc>
          <w:tcPr>
            <w:tcW w:w="5540" w:type="dxa"/>
            <w:vAlign w:val="bottom"/>
          </w:tcPr>
          <w:p>
            <w:pPr>
              <w:ind w:left="20"/>
              <w:spacing w:after="0"/>
              <w:rPr>
                <w:sz w:val="20"/>
                <w:szCs w:val="20"/>
                <w:color w:val="auto"/>
              </w:rPr>
            </w:pPr>
            <w:r>
              <w:rPr>
                <w:rFonts w:ascii="Arial" w:cs="Arial" w:eastAsia="Arial" w:hAnsi="Arial"/>
                <w:sz w:val="16"/>
                <w:szCs w:val="16"/>
                <w:color w:val="auto"/>
              </w:rPr>
              <w:t>PE Films:</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5"/>
        </w:trPr>
        <w:tc>
          <w:tcPr>
            <w:tcW w:w="5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Ongoing operations: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5"/>
        </w:trPr>
        <w:tc>
          <w:tcPr>
            <w:tcW w:w="5540" w:type="dxa"/>
            <w:vAlign w:val="bottom"/>
          </w:tcPr>
          <w:p>
            <w:pPr>
              <w:ind w:left="200"/>
              <w:spacing w:after="0"/>
              <w:rPr>
                <w:sz w:val="20"/>
                <w:szCs w:val="20"/>
                <w:color w:val="auto"/>
              </w:rPr>
            </w:pPr>
            <w:r>
              <w:rPr>
                <w:rFonts w:ascii="Arial" w:cs="Arial" w:eastAsia="Arial" w:hAnsi="Arial"/>
                <w:sz w:val="16"/>
                <w:szCs w:val="16"/>
                <w:color w:val="auto"/>
              </w:rPr>
              <w:t>EBITDA</w:t>
            </w:r>
          </w:p>
        </w:tc>
        <w:tc>
          <w:tcPr>
            <w:tcW w:w="200" w:type="dxa"/>
            <w:vAlign w:val="bottom"/>
          </w:tcPr>
          <w:p>
            <w:pPr>
              <w:spacing w:after="0"/>
              <w:rPr>
                <w:sz w:val="17"/>
                <w:szCs w:val="17"/>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4,821</w:t>
            </w:r>
          </w:p>
        </w:tc>
        <w:tc>
          <w:tcPr>
            <w:tcW w:w="3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6,041</w:t>
            </w:r>
          </w:p>
        </w:tc>
        <w:tc>
          <w:tcPr>
            <w:tcW w:w="240" w:type="dxa"/>
            <w:vAlign w:val="bottom"/>
          </w:tcPr>
          <w:p>
            <w:pPr>
              <w:spacing w:after="0"/>
              <w:rPr>
                <w:sz w:val="17"/>
                <w:szCs w:val="17"/>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21,035</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33,928</w:t>
            </w:r>
          </w:p>
        </w:tc>
      </w:tr>
      <w:tr>
        <w:trPr>
          <w:trHeight w:val="205"/>
        </w:trPr>
        <w:tc>
          <w:tcPr>
            <w:tcW w:w="5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&amp; amortization</w:t>
            </w: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(1,591)</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(4,681)</w:t>
            </w: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(4,868)</w:t>
            </w:r>
          </w:p>
        </w:tc>
      </w:tr>
      <w:tr>
        <w:trPr>
          <w:trHeight w:val="197"/>
        </w:trPr>
        <w:tc>
          <w:tcPr>
            <w:tcW w:w="5540" w:type="dxa"/>
            <w:vAlign w:val="bottom"/>
          </w:tcPr>
          <w:p>
            <w:pPr>
              <w:ind w:left="200"/>
              <w:spacing w:after="0"/>
              <w:rPr>
                <w:sz w:val="20"/>
                <w:szCs w:val="20"/>
                <w:color w:val="auto"/>
              </w:rPr>
            </w:pPr>
            <w:r>
              <w:rPr>
                <w:rFonts w:ascii="Arial" w:cs="Arial" w:eastAsia="Arial" w:hAnsi="Arial"/>
                <w:sz w:val="16"/>
                <w:szCs w:val="16"/>
                <w:color w:val="auto"/>
              </w:rPr>
              <w:t>EBIT</w:t>
            </w:r>
          </w:p>
        </w:tc>
        <w:tc>
          <w:tcPr>
            <w:tcW w:w="200" w:type="dxa"/>
            <w:vAlign w:val="bottom"/>
          </w:tcPr>
          <w:p>
            <w:pPr>
              <w:spacing w:after="0"/>
              <w:rPr>
                <w:sz w:val="17"/>
                <w:szCs w:val="17"/>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3,230</w:t>
            </w:r>
          </w:p>
        </w:tc>
        <w:tc>
          <w:tcPr>
            <w:tcW w:w="3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4,256</w:t>
            </w:r>
          </w:p>
        </w:tc>
        <w:tc>
          <w:tcPr>
            <w:tcW w:w="240" w:type="dxa"/>
            <w:vAlign w:val="bottom"/>
          </w:tcPr>
          <w:p>
            <w:pPr>
              <w:spacing w:after="0"/>
              <w:rPr>
                <w:sz w:val="17"/>
                <w:szCs w:val="17"/>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16,354</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29,060</w:t>
            </w:r>
          </w:p>
        </w:tc>
      </w:tr>
      <w:tr>
        <w:trPr>
          <w:trHeight w:val="205"/>
        </w:trPr>
        <w:tc>
          <w:tcPr>
            <w:tcW w:w="5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Plant shutdowns, asset impairments, restructurings and other</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05"/>
        </w:trPr>
        <w:tc>
          <w:tcPr>
            <w:tcW w:w="5540" w:type="dxa"/>
            <w:vAlign w:val="bottom"/>
          </w:tcPr>
          <w:p>
            <w:pPr>
              <w:ind w:left="20"/>
              <w:spacing w:after="0"/>
              <w:rPr>
                <w:sz w:val="20"/>
                <w:szCs w:val="20"/>
                <w:color w:val="auto"/>
              </w:rPr>
            </w:pPr>
            <w:r>
              <w:rPr>
                <w:rFonts w:ascii="Arial" w:cs="Arial" w:eastAsia="Arial" w:hAnsi="Arial"/>
                <w:sz w:val="16"/>
                <w:szCs w:val="16"/>
                <w:color w:val="auto"/>
              </w:rPr>
              <w:t>Flexible Packaging Films:</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5"/>
        </w:trPr>
        <w:tc>
          <w:tcPr>
            <w:tcW w:w="5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Ongoing operations: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5"/>
        </w:trPr>
        <w:tc>
          <w:tcPr>
            <w:tcW w:w="5540" w:type="dxa"/>
            <w:vAlign w:val="bottom"/>
          </w:tcPr>
          <w:p>
            <w:pPr>
              <w:ind w:left="200"/>
              <w:spacing w:after="0"/>
              <w:rPr>
                <w:sz w:val="20"/>
                <w:szCs w:val="20"/>
                <w:color w:val="auto"/>
              </w:rPr>
            </w:pPr>
            <w:r>
              <w:rPr>
                <w:rFonts w:ascii="Arial" w:cs="Arial" w:eastAsia="Arial" w:hAnsi="Arial"/>
                <w:sz w:val="16"/>
                <w:szCs w:val="16"/>
                <w:color w:val="auto"/>
              </w:rPr>
              <w:t>EBITDA</w:t>
            </w:r>
          </w:p>
        </w:tc>
        <w:tc>
          <w:tcPr>
            <w:tcW w:w="200" w:type="dxa"/>
            <w:vAlign w:val="bottom"/>
          </w:tcPr>
          <w:p>
            <w:pPr>
              <w:spacing w:after="0"/>
              <w:rPr>
                <w:sz w:val="17"/>
                <w:szCs w:val="17"/>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7,396</w:t>
            </w:r>
          </w:p>
        </w:tc>
        <w:tc>
          <w:tcPr>
            <w:tcW w:w="3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9,546</w:t>
            </w:r>
          </w:p>
        </w:tc>
        <w:tc>
          <w:tcPr>
            <w:tcW w:w="240" w:type="dxa"/>
            <w:vAlign w:val="bottom"/>
          </w:tcPr>
          <w:p>
            <w:pPr>
              <w:spacing w:after="0"/>
              <w:rPr>
                <w:sz w:val="17"/>
                <w:szCs w:val="17"/>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25,296</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22,594</w:t>
            </w:r>
          </w:p>
        </w:tc>
      </w:tr>
      <w:tr>
        <w:trPr>
          <w:trHeight w:val="205"/>
        </w:trPr>
        <w:tc>
          <w:tcPr>
            <w:tcW w:w="5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&amp; amortization</w:t>
            </w: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(1,466)</w:t>
            </w: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(1,306)</w:t>
            </w:r>
          </w:p>
        </w:tc>
      </w:tr>
      <w:tr>
        <w:trPr>
          <w:trHeight w:val="197"/>
        </w:trPr>
        <w:tc>
          <w:tcPr>
            <w:tcW w:w="5540" w:type="dxa"/>
            <w:vAlign w:val="bottom"/>
          </w:tcPr>
          <w:p>
            <w:pPr>
              <w:ind w:left="200"/>
              <w:spacing w:after="0"/>
              <w:rPr>
                <w:sz w:val="20"/>
                <w:szCs w:val="20"/>
                <w:color w:val="auto"/>
              </w:rPr>
            </w:pPr>
            <w:r>
              <w:rPr>
                <w:rFonts w:ascii="Arial" w:cs="Arial" w:eastAsia="Arial" w:hAnsi="Arial"/>
                <w:sz w:val="16"/>
                <w:szCs w:val="16"/>
                <w:color w:val="auto"/>
              </w:rPr>
              <w:t>EBIT</w:t>
            </w:r>
          </w:p>
        </w:tc>
        <w:tc>
          <w:tcPr>
            <w:tcW w:w="200" w:type="dxa"/>
            <w:vAlign w:val="bottom"/>
          </w:tcPr>
          <w:p>
            <w:pPr>
              <w:spacing w:after="0"/>
              <w:rPr>
                <w:sz w:val="17"/>
                <w:szCs w:val="17"/>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6,903</w:t>
            </w:r>
          </w:p>
        </w:tc>
        <w:tc>
          <w:tcPr>
            <w:tcW w:w="3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9,103</w:t>
            </w:r>
          </w:p>
        </w:tc>
        <w:tc>
          <w:tcPr>
            <w:tcW w:w="240" w:type="dxa"/>
            <w:vAlign w:val="bottom"/>
          </w:tcPr>
          <w:p>
            <w:pPr>
              <w:spacing w:after="0"/>
              <w:rPr>
                <w:sz w:val="17"/>
                <w:szCs w:val="17"/>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23,830</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21,288</w:t>
            </w:r>
          </w:p>
        </w:tc>
      </w:tr>
      <w:tr>
        <w:trPr>
          <w:trHeight w:val="205"/>
        </w:trPr>
        <w:tc>
          <w:tcPr>
            <w:tcW w:w="55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Plant shutdowns, asset impairments, restructurings and other</w:t>
            </w: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8,407</w:t>
            </w: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197"/>
        </w:trPr>
        <w:tc>
          <w:tcPr>
            <w:tcW w:w="5540" w:type="dxa"/>
            <w:vAlign w:val="bottom"/>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17"/>
                <w:szCs w:val="17"/>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17,922</w:t>
            </w:r>
          </w:p>
        </w:tc>
        <w:tc>
          <w:tcPr>
            <w:tcW w:w="3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24,869</w:t>
            </w:r>
          </w:p>
        </w:tc>
        <w:tc>
          <w:tcPr>
            <w:tcW w:w="240" w:type="dxa"/>
            <w:vAlign w:val="bottom"/>
          </w:tcPr>
          <w:p>
            <w:pPr>
              <w:spacing w:after="0"/>
              <w:rPr>
                <w:sz w:val="17"/>
                <w:szCs w:val="17"/>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80,911</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62,640</w:t>
            </w:r>
          </w:p>
        </w:tc>
      </w:tr>
      <w:tr>
        <w:trPr>
          <w:trHeight w:val="205"/>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05"/>
        </w:trPr>
        <w:tc>
          <w:tcPr>
            <w:tcW w:w="55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7"/>
                <w:szCs w:val="17"/>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842</w:t>
            </w:r>
          </w:p>
        </w:tc>
        <w:tc>
          <w:tcPr>
            <w:tcW w:w="3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494</w:t>
            </w:r>
          </w:p>
        </w:tc>
        <w:tc>
          <w:tcPr>
            <w:tcW w:w="240" w:type="dxa"/>
            <w:vAlign w:val="bottom"/>
          </w:tcPr>
          <w:p>
            <w:pPr>
              <w:spacing w:after="0"/>
              <w:rPr>
                <w:sz w:val="17"/>
                <w:szCs w:val="17"/>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2,555</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1,598</w:t>
            </w:r>
          </w:p>
        </w:tc>
      </w:tr>
      <w:tr>
        <w:trPr>
          <w:trHeight w:val="205"/>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(loss) on investment in kaléo accounted for under fair value method</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279</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(36,200)</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1,197</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(61,000)</w:t>
            </w:r>
          </w:p>
        </w:tc>
      </w:tr>
      <w:tr>
        <w:trPr>
          <w:trHeight w:val="205"/>
        </w:trPr>
        <w:tc>
          <w:tcPr>
            <w:tcW w:w="5540" w:type="dxa"/>
            <w:vAlign w:val="bottom"/>
          </w:tcPr>
          <w:p>
            <w:pPr>
              <w:ind w:left="20"/>
              <w:spacing w:after="0"/>
              <w:rPr>
                <w:sz w:val="20"/>
                <w:szCs w:val="20"/>
                <w:color w:val="auto"/>
              </w:rPr>
            </w:pPr>
            <w:r>
              <w:rPr>
                <w:rFonts w:ascii="Arial" w:cs="Arial" w:eastAsia="Arial" w:hAnsi="Arial"/>
                <w:sz w:val="16"/>
                <w:szCs w:val="16"/>
                <w:color w:val="auto"/>
              </w:rPr>
              <w:t>Stock option-based compensation costs</w:t>
            </w:r>
          </w:p>
        </w:tc>
        <w:tc>
          <w:tcPr>
            <w:tcW w:w="200" w:type="dxa"/>
            <w:vAlign w:val="bottom"/>
          </w:tcPr>
          <w:p>
            <w:pPr>
              <w:spacing w:after="0"/>
              <w:rPr>
                <w:sz w:val="17"/>
                <w:szCs w:val="17"/>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675</w:t>
            </w:r>
          </w:p>
        </w:tc>
        <w:tc>
          <w:tcPr>
            <w:tcW w:w="3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518</w:t>
            </w:r>
          </w:p>
        </w:tc>
        <w:tc>
          <w:tcPr>
            <w:tcW w:w="240" w:type="dxa"/>
            <w:vAlign w:val="bottom"/>
          </w:tcPr>
          <w:p>
            <w:pPr>
              <w:spacing w:after="0"/>
              <w:rPr>
                <w:sz w:val="17"/>
                <w:szCs w:val="17"/>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1,819</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1,786</w:t>
            </w:r>
          </w:p>
        </w:tc>
      </w:tr>
      <w:tr>
        <w:trPr>
          <w:trHeight w:val="205"/>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 net</w:t>
            </w: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8,555</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10,586</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30,470</w:t>
            </w: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29,915</w:t>
            </w:r>
          </w:p>
        </w:tc>
      </w:tr>
      <w:tr>
        <w:trPr>
          <w:trHeight w:val="197"/>
        </w:trPr>
        <w:tc>
          <w:tcPr>
            <w:tcW w:w="5540" w:type="dxa"/>
            <w:vAlign w:val="bottom"/>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200" w:type="dxa"/>
            <w:vAlign w:val="bottom"/>
          </w:tcPr>
          <w:p>
            <w:pPr>
              <w:spacing w:after="0"/>
              <w:rPr>
                <w:sz w:val="17"/>
                <w:szCs w:val="17"/>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8,137</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(22,918)</w:t>
            </w:r>
          </w:p>
        </w:tc>
        <w:tc>
          <w:tcPr>
            <w:tcW w:w="240" w:type="dxa"/>
            <w:vAlign w:val="bottom"/>
          </w:tcPr>
          <w:p>
            <w:pPr>
              <w:spacing w:after="0"/>
              <w:rPr>
                <w:sz w:val="17"/>
                <w:szCs w:val="17"/>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47,304</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(31,616)</w:t>
            </w:r>
          </w:p>
        </w:tc>
      </w:tr>
      <w:tr>
        <w:trPr>
          <w:trHeight w:val="205"/>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1,908</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(5,942)</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10,728</w:t>
            </w: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(8,308)</w:t>
            </w:r>
          </w:p>
        </w:tc>
      </w:tr>
      <w:tr>
        <w:trPr>
          <w:trHeight w:val="197"/>
        </w:trPr>
        <w:tc>
          <w:tcPr>
            <w:tcW w:w="5540" w:type="dxa"/>
            <w:vAlign w:val="bottom"/>
          </w:tcPr>
          <w:p>
            <w:pPr>
              <w:ind w:left="20"/>
              <w:spacing w:after="0"/>
              <w:rPr>
                <w:sz w:val="20"/>
                <w:szCs w:val="20"/>
                <w:color w:val="auto"/>
              </w:rPr>
            </w:pPr>
            <w:r>
              <w:rPr>
                <w:rFonts w:ascii="Arial" w:cs="Arial" w:eastAsia="Arial" w:hAnsi="Arial"/>
                <w:sz w:val="16"/>
                <w:szCs w:val="16"/>
                <w:color w:val="auto"/>
              </w:rPr>
              <w:t>Income (loss) from continuing operations</w:t>
            </w:r>
          </w:p>
        </w:tc>
        <w:tc>
          <w:tcPr>
            <w:tcW w:w="200" w:type="dxa"/>
            <w:vAlign w:val="bottom"/>
          </w:tcPr>
          <w:p>
            <w:pPr>
              <w:spacing w:after="0"/>
              <w:rPr>
                <w:sz w:val="17"/>
                <w:szCs w:val="17"/>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6,229</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(16,976)</w:t>
            </w:r>
          </w:p>
        </w:tc>
        <w:tc>
          <w:tcPr>
            <w:tcW w:w="240" w:type="dxa"/>
            <w:vAlign w:val="bottom"/>
          </w:tcPr>
          <w:p>
            <w:pPr>
              <w:spacing w:after="0"/>
              <w:rPr>
                <w:sz w:val="17"/>
                <w:szCs w:val="17"/>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36,576</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(23,308)</w:t>
            </w:r>
          </w:p>
        </w:tc>
      </w:tr>
      <w:tr>
        <w:trPr>
          <w:trHeight w:val="205"/>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(loss) from discontinued operations, net of tax</w:t>
            </w: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(48,237)</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(53,031)</w:t>
            </w:r>
          </w:p>
        </w:tc>
      </w:tr>
      <w:tr>
        <w:trPr>
          <w:trHeight w:val="197"/>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6,203</w:t>
            </w:r>
          </w:p>
        </w:tc>
        <w:tc>
          <w:tcPr>
            <w:tcW w:w="3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(65,213)</w:t>
            </w:r>
          </w:p>
        </w:tc>
        <w:tc>
          <w:tcPr>
            <w:tcW w:w="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36,472</w:t>
            </w:r>
          </w:p>
        </w:tc>
        <w:tc>
          <w:tcPr>
            <w:tcW w:w="3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(76,339)</w:t>
            </w:r>
          </w:p>
        </w:tc>
      </w:tr>
      <w:tr>
        <w:trPr>
          <w:trHeight w:val="20"/>
        </w:trPr>
        <w:tc>
          <w:tcPr>
            <w:tcW w:w="5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748"/>
        </w:trPr>
        <w:tc>
          <w:tcPr>
            <w:tcW w:w="55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20</w:t>
            </w: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01"/>
        </w:trPr>
        <w:tc>
          <w:tcPr>
            <w:tcW w:w="55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-27305</wp:posOffset>
            </wp:positionV>
            <wp:extent cx="33020"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sectPr>
      </w:pPr>
    </w:p>
    <w:bookmarkStart w:id="20" w:name="page21"/>
    <w:bookmarkEnd w:id="20"/>
    <w:p>
      <w:pPr>
        <w:ind w:left="360"/>
        <w:spacing w:after="0"/>
        <w:rPr>
          <w:sz w:val="20"/>
          <w:szCs w:val="20"/>
          <w:color w:val="auto"/>
        </w:rPr>
      </w:pPr>
      <w:r>
        <w:rPr>
          <w:rFonts w:ascii="Arial" w:cs="Arial" w:eastAsia="Arial" w:hAnsi="Arial"/>
          <w:sz w:val="16"/>
          <w:szCs w:val="16"/>
          <w:color w:val="auto"/>
        </w:rPr>
        <w:t>The following table presents identifiable assets by segment at September 30, 2021 and December 31,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color w:val="auto"/>
              </w:rPr>
              <w:t>(In thousands)</w:t>
            </w:r>
          </w:p>
        </w:tc>
        <w:tc>
          <w:tcPr>
            <w:tcW w:w="272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6"/>
                <w:szCs w:val="16"/>
                <w:color w:val="auto"/>
                <w:w w:val="95"/>
              </w:rPr>
              <w:t>September 30, 2021</w:t>
            </w:r>
          </w:p>
        </w:tc>
        <w:tc>
          <w:tcPr>
            <w:tcW w:w="42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color w:val="auto"/>
                <w:w w:val="93"/>
              </w:rPr>
              <w:t>December 31, 2020</w:t>
            </w:r>
          </w:p>
        </w:tc>
      </w:tr>
      <w:tr>
        <w:trPr>
          <w:trHeight w:val="197"/>
        </w:trPr>
        <w:tc>
          <w:tcPr>
            <w:tcW w:w="4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Aluminum Extrusions</w:t>
            </w:r>
          </w:p>
        </w:tc>
        <w:tc>
          <w:tcPr>
            <w:tcW w:w="2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274,183</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244,560</w:t>
            </w:r>
          </w:p>
        </w:tc>
      </w:tr>
      <w:tr>
        <w:trPr>
          <w:trHeight w:val="205"/>
        </w:trPr>
        <w:tc>
          <w:tcPr>
            <w:tcW w:w="4620" w:type="dxa"/>
            <w:vAlign w:val="bottom"/>
          </w:tcPr>
          <w:p>
            <w:pPr>
              <w:ind w:left="380"/>
              <w:spacing w:after="0"/>
              <w:rPr>
                <w:sz w:val="20"/>
                <w:szCs w:val="20"/>
                <w:color w:val="auto"/>
              </w:rPr>
            </w:pPr>
            <w:r>
              <w:rPr>
                <w:rFonts w:ascii="Arial" w:cs="Arial" w:eastAsia="Arial" w:hAnsi="Arial"/>
                <w:sz w:val="16"/>
                <w:szCs w:val="16"/>
                <w:color w:val="auto"/>
              </w:rPr>
              <w:t>PE Films</w:t>
            </w:r>
          </w:p>
        </w:tc>
        <w:tc>
          <w:tcPr>
            <w:tcW w:w="2720" w:type="dxa"/>
            <w:vAlign w:val="bottom"/>
          </w:tcPr>
          <w:p>
            <w:pPr>
              <w:spacing w:after="0"/>
              <w:rPr>
                <w:sz w:val="17"/>
                <w:szCs w:val="17"/>
                <w:color w:val="auto"/>
              </w:rPr>
            </w:pPr>
          </w:p>
        </w:tc>
        <w:tc>
          <w:tcPr>
            <w:tcW w:w="1900" w:type="dxa"/>
            <w:vAlign w:val="bottom"/>
          </w:tcPr>
          <w:p>
            <w:pPr>
              <w:jc w:val="right"/>
              <w:ind w:right="200"/>
              <w:spacing w:after="0"/>
              <w:rPr>
                <w:sz w:val="20"/>
                <w:szCs w:val="20"/>
                <w:color w:val="auto"/>
              </w:rPr>
            </w:pPr>
            <w:r>
              <w:rPr>
                <w:rFonts w:ascii="Arial" w:cs="Arial" w:eastAsia="Arial" w:hAnsi="Arial"/>
                <w:sz w:val="16"/>
                <w:szCs w:val="16"/>
                <w:color w:val="auto"/>
              </w:rPr>
              <w:t>111,690</w:t>
            </w:r>
          </w:p>
        </w:tc>
        <w:tc>
          <w:tcPr>
            <w:tcW w:w="4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119,013</w:t>
            </w:r>
          </w:p>
        </w:tc>
      </w:tr>
      <w:tr>
        <w:trPr>
          <w:trHeight w:val="205"/>
        </w:trPr>
        <w:tc>
          <w:tcPr>
            <w:tcW w:w="4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Flexible Packaging Films</w:t>
            </w:r>
          </w:p>
        </w:tc>
        <w:tc>
          <w:tcPr>
            <w:tcW w:w="272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72,626</w:t>
            </w:r>
          </w:p>
        </w:tc>
        <w:tc>
          <w:tcPr>
            <w:tcW w:w="4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66,453</w:t>
            </w:r>
          </w:p>
        </w:tc>
      </w:tr>
      <w:tr>
        <w:trPr>
          <w:trHeight w:val="197"/>
        </w:trPr>
        <w:tc>
          <w:tcPr>
            <w:tcW w:w="4620" w:type="dxa"/>
            <w:vAlign w:val="bottom"/>
          </w:tcPr>
          <w:p>
            <w:pPr>
              <w:ind w:left="660"/>
              <w:spacing w:after="0"/>
              <w:rPr>
                <w:sz w:val="20"/>
                <w:szCs w:val="20"/>
                <w:color w:val="auto"/>
              </w:rPr>
            </w:pPr>
            <w:r>
              <w:rPr>
                <w:rFonts w:ascii="Arial" w:cs="Arial" w:eastAsia="Arial" w:hAnsi="Arial"/>
                <w:sz w:val="16"/>
                <w:szCs w:val="16"/>
                <w:color w:val="auto"/>
              </w:rPr>
              <w:t>Subtotal</w:t>
            </w:r>
          </w:p>
        </w:tc>
        <w:tc>
          <w:tcPr>
            <w:tcW w:w="2720" w:type="dxa"/>
            <w:vAlign w:val="bottom"/>
          </w:tcPr>
          <w:p>
            <w:pPr>
              <w:spacing w:after="0"/>
              <w:rPr>
                <w:sz w:val="17"/>
                <w:szCs w:val="17"/>
                <w:color w:val="auto"/>
              </w:rPr>
            </w:pPr>
          </w:p>
        </w:tc>
        <w:tc>
          <w:tcPr>
            <w:tcW w:w="1900" w:type="dxa"/>
            <w:vAlign w:val="bottom"/>
          </w:tcPr>
          <w:p>
            <w:pPr>
              <w:jc w:val="right"/>
              <w:ind w:right="200"/>
              <w:spacing w:after="0"/>
              <w:rPr>
                <w:sz w:val="20"/>
                <w:szCs w:val="20"/>
                <w:color w:val="auto"/>
              </w:rPr>
            </w:pPr>
            <w:r>
              <w:rPr>
                <w:rFonts w:ascii="Arial" w:cs="Arial" w:eastAsia="Arial" w:hAnsi="Arial"/>
                <w:sz w:val="16"/>
                <w:szCs w:val="16"/>
                <w:color w:val="auto"/>
              </w:rPr>
              <w:t>458,499</w:t>
            </w:r>
          </w:p>
        </w:tc>
        <w:tc>
          <w:tcPr>
            <w:tcW w:w="4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430,026</w:t>
            </w:r>
          </w:p>
        </w:tc>
      </w:tr>
      <w:tr>
        <w:trPr>
          <w:trHeight w:val="205"/>
        </w:trPr>
        <w:tc>
          <w:tcPr>
            <w:tcW w:w="4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General corporate</w:t>
            </w:r>
          </w:p>
        </w:tc>
        <w:tc>
          <w:tcPr>
            <w:tcW w:w="272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56,780</w:t>
            </w:r>
          </w:p>
        </w:tc>
        <w:tc>
          <w:tcPr>
            <w:tcW w:w="4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71,508</w:t>
            </w:r>
          </w:p>
        </w:tc>
      </w:tr>
      <w:tr>
        <w:trPr>
          <w:trHeight w:val="205"/>
        </w:trPr>
        <w:tc>
          <w:tcPr>
            <w:tcW w:w="462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2720" w:type="dxa"/>
            <w:vAlign w:val="bottom"/>
          </w:tcPr>
          <w:p>
            <w:pPr>
              <w:spacing w:after="0"/>
              <w:rPr>
                <w:sz w:val="17"/>
                <w:szCs w:val="17"/>
                <w:color w:val="auto"/>
              </w:rPr>
            </w:pPr>
          </w:p>
        </w:tc>
        <w:tc>
          <w:tcPr>
            <w:tcW w:w="1900" w:type="dxa"/>
            <w:vAlign w:val="bottom"/>
          </w:tcPr>
          <w:p>
            <w:pPr>
              <w:jc w:val="right"/>
              <w:ind w:right="200"/>
              <w:spacing w:after="0"/>
              <w:rPr>
                <w:sz w:val="20"/>
                <w:szCs w:val="20"/>
                <w:color w:val="auto"/>
              </w:rPr>
            </w:pPr>
            <w:r>
              <w:rPr>
                <w:rFonts w:ascii="Arial" w:cs="Arial" w:eastAsia="Arial" w:hAnsi="Arial"/>
                <w:sz w:val="16"/>
                <w:szCs w:val="16"/>
                <w:color w:val="auto"/>
              </w:rPr>
              <w:t>30,253</w:t>
            </w:r>
          </w:p>
        </w:tc>
        <w:tc>
          <w:tcPr>
            <w:tcW w:w="4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11,846</w:t>
            </w:r>
          </w:p>
        </w:tc>
      </w:tr>
      <w:tr>
        <w:trPr>
          <w:trHeight w:val="205"/>
        </w:trPr>
        <w:tc>
          <w:tcPr>
            <w:tcW w:w="4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Discontinued operations</w:t>
            </w:r>
          </w:p>
        </w:tc>
        <w:tc>
          <w:tcPr>
            <w:tcW w:w="272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302</w:t>
            </w:r>
          </w:p>
        </w:tc>
        <w:tc>
          <w:tcPr>
            <w:tcW w:w="4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1,490</w:t>
            </w:r>
          </w:p>
        </w:tc>
      </w:tr>
      <w:tr>
        <w:trPr>
          <w:trHeight w:val="201"/>
        </w:trPr>
        <w:tc>
          <w:tcPr>
            <w:tcW w:w="46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Total</w:t>
            </w:r>
          </w:p>
        </w:tc>
        <w:tc>
          <w:tcPr>
            <w:tcW w:w="2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545,834</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514,870</w:t>
            </w:r>
          </w:p>
        </w:tc>
      </w:tr>
    </w:tbl>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The following tables disaggregate the Company’s revenue by geographic area and product group for the three and nine months ended 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36195</wp:posOffset>
            </wp:positionV>
            <wp:extent cx="714692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pacing w:after="0" w:line="61" w:lineRule="exact"/>
        <w:rPr>
          <w:sz w:val="20"/>
          <w:szCs w:val="20"/>
          <w:color w:val="auto"/>
        </w:rPr>
      </w:pPr>
    </w:p>
    <w:p>
      <w:pPr>
        <w:jc w:val="center"/>
        <w:ind w:left="360"/>
        <w:spacing w:after="0"/>
        <w:rPr>
          <w:sz w:val="20"/>
          <w:szCs w:val="20"/>
          <w:color w:val="auto"/>
        </w:rPr>
      </w:pPr>
      <w:r>
        <w:rPr>
          <w:rFonts w:ascii="Arial" w:cs="Arial" w:eastAsia="Arial" w:hAnsi="Arial"/>
          <w:sz w:val="16"/>
          <w:szCs w:val="16"/>
          <w:b w:val="1"/>
          <w:bCs w:val="1"/>
          <w:i w:val="1"/>
          <w:iCs w:val="1"/>
          <w:color w:val="auto"/>
        </w:rPr>
        <w:t>Net Sales by Geographic Area (a)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gridSpan w:val="3"/>
          </w:tcPr>
          <w:p>
            <w:pPr>
              <w:jc w:val="right"/>
              <w:ind w:right="520"/>
              <w:spacing w:after="0"/>
              <w:rPr>
                <w:sz w:val="20"/>
                <w:szCs w:val="20"/>
                <w:color w:val="auto"/>
              </w:rPr>
            </w:pPr>
            <w:r>
              <w:rPr>
                <w:rFonts w:ascii="Arial" w:cs="Arial" w:eastAsia="Arial" w:hAnsi="Arial"/>
                <w:sz w:val="16"/>
                <w:szCs w:val="16"/>
                <w:color w:val="auto"/>
                <w:w w:val="95"/>
              </w:rPr>
              <w:t>Three Months Ended September 30,</w:t>
            </w:r>
          </w:p>
        </w:tc>
        <w:tc>
          <w:tcPr>
            <w:tcW w:w="48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gridSpan w:val="3"/>
          </w:tcPr>
          <w:p>
            <w:pPr>
              <w:jc w:val="right"/>
              <w:ind w:right="300"/>
              <w:spacing w:after="0"/>
              <w:rPr>
                <w:sz w:val="20"/>
                <w:szCs w:val="20"/>
                <w:color w:val="auto"/>
              </w:rPr>
            </w:pPr>
            <w:r>
              <w:rPr>
                <w:rFonts w:ascii="Arial" w:cs="Arial" w:eastAsia="Arial" w:hAnsi="Arial"/>
                <w:sz w:val="16"/>
                <w:szCs w:val="16"/>
                <w:color w:val="auto"/>
                <w:w w:val="95"/>
              </w:rPr>
              <w:t>Nine Months Ended September 30,</w:t>
            </w:r>
          </w:p>
        </w:tc>
      </w:tr>
      <w:tr>
        <w:trPr>
          <w:trHeight w:val="205"/>
        </w:trPr>
        <w:tc>
          <w:tcPr>
            <w:tcW w:w="37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 thousands)</w:t>
            </w:r>
          </w:p>
        </w:tc>
        <w:tc>
          <w:tcPr>
            <w:tcW w:w="1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0"/>
              <w:spacing w:after="0"/>
              <w:rPr>
                <w:sz w:val="20"/>
                <w:szCs w:val="20"/>
                <w:color w:val="auto"/>
              </w:rPr>
            </w:pPr>
            <w:r>
              <w:rPr>
                <w:rFonts w:ascii="Arial" w:cs="Arial" w:eastAsia="Arial" w:hAnsi="Arial"/>
                <w:sz w:val="16"/>
                <w:szCs w:val="16"/>
                <w:color w:val="auto"/>
              </w:rPr>
              <w:t>2021</w:t>
            </w:r>
          </w:p>
        </w:tc>
        <w:tc>
          <w:tcPr>
            <w:tcW w:w="5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40"/>
              <w:spacing w:after="0"/>
              <w:rPr>
                <w:sz w:val="20"/>
                <w:szCs w:val="20"/>
                <w:color w:val="auto"/>
              </w:rPr>
            </w:pPr>
            <w:r>
              <w:rPr>
                <w:rFonts w:ascii="Arial" w:cs="Arial" w:eastAsia="Arial" w:hAnsi="Arial"/>
                <w:sz w:val="16"/>
                <w:szCs w:val="16"/>
                <w:color w:val="auto"/>
              </w:rPr>
              <w:t>2020</w:t>
            </w:r>
          </w:p>
        </w:tc>
        <w:tc>
          <w:tcPr>
            <w:tcW w:w="4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20"/>
              <w:spacing w:after="0"/>
              <w:rPr>
                <w:sz w:val="20"/>
                <w:szCs w:val="20"/>
                <w:color w:val="auto"/>
              </w:rPr>
            </w:pPr>
            <w:r>
              <w:rPr>
                <w:rFonts w:ascii="Arial" w:cs="Arial" w:eastAsia="Arial" w:hAnsi="Arial"/>
                <w:sz w:val="16"/>
                <w:szCs w:val="16"/>
                <w:color w:val="auto"/>
              </w:rPr>
              <w:t>2021</w:t>
            </w: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2020</w:t>
            </w:r>
          </w:p>
        </w:tc>
      </w:tr>
      <w:tr>
        <w:trPr>
          <w:trHeight w:val="197"/>
        </w:trPr>
        <w:tc>
          <w:tcPr>
            <w:tcW w:w="3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United States</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157,969</w:t>
            </w:r>
          </w:p>
        </w:tc>
        <w:tc>
          <w:tcPr>
            <w:tcW w:w="5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129,654</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447,585</w:t>
            </w:r>
          </w:p>
        </w:tc>
        <w:tc>
          <w:tcPr>
            <w:tcW w:w="5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395,207</w:t>
            </w:r>
          </w:p>
        </w:tc>
      </w:tr>
      <w:tr>
        <w:trPr>
          <w:trHeight w:val="205"/>
        </w:trPr>
        <w:tc>
          <w:tcPr>
            <w:tcW w:w="3740" w:type="dxa"/>
            <w:vAlign w:val="bottom"/>
          </w:tcPr>
          <w:p>
            <w:pPr>
              <w:ind w:left="380"/>
              <w:spacing w:after="0"/>
              <w:rPr>
                <w:sz w:val="20"/>
                <w:szCs w:val="20"/>
                <w:color w:val="auto"/>
              </w:rPr>
            </w:pPr>
            <w:r>
              <w:rPr>
                <w:rFonts w:ascii="Arial" w:cs="Arial" w:eastAsia="Arial" w:hAnsi="Arial"/>
                <w:sz w:val="16"/>
                <w:szCs w:val="16"/>
                <w:color w:val="auto"/>
              </w:rPr>
              <w:t>Exports from the United States to:</w:t>
            </w: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5"/>
        </w:trPr>
        <w:tc>
          <w:tcPr>
            <w:tcW w:w="37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Asia</w:t>
            </w:r>
          </w:p>
        </w:tc>
        <w:tc>
          <w:tcPr>
            <w:tcW w:w="1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12,609</w:t>
            </w: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14,255</w:t>
            </w:r>
          </w:p>
        </w:tc>
        <w:tc>
          <w:tcPr>
            <w:tcW w:w="4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43,129</w:t>
            </w: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59,816</w:t>
            </w:r>
          </w:p>
        </w:tc>
      </w:tr>
      <w:tr>
        <w:trPr>
          <w:trHeight w:val="205"/>
        </w:trPr>
        <w:tc>
          <w:tcPr>
            <w:tcW w:w="3740" w:type="dxa"/>
            <w:vAlign w:val="bottom"/>
          </w:tcPr>
          <w:p>
            <w:pPr>
              <w:ind w:left="660"/>
              <w:spacing w:after="0"/>
              <w:rPr>
                <w:sz w:val="20"/>
                <w:szCs w:val="20"/>
                <w:color w:val="auto"/>
              </w:rPr>
            </w:pPr>
            <w:r>
              <w:rPr>
                <w:rFonts w:ascii="Arial" w:cs="Arial" w:eastAsia="Arial" w:hAnsi="Arial"/>
                <w:sz w:val="16"/>
                <w:szCs w:val="16"/>
                <w:color w:val="auto"/>
              </w:rPr>
              <w:t>Latin America</w:t>
            </w:r>
          </w:p>
        </w:tc>
        <w:tc>
          <w:tcPr>
            <w:tcW w:w="1180" w:type="dxa"/>
            <w:vAlign w:val="bottom"/>
          </w:tcPr>
          <w:p>
            <w:pPr>
              <w:spacing w:after="0"/>
              <w:rPr>
                <w:sz w:val="17"/>
                <w:szCs w:val="17"/>
                <w:color w:val="auto"/>
              </w:rPr>
            </w:pPr>
          </w:p>
        </w:tc>
        <w:tc>
          <w:tcPr>
            <w:tcW w:w="1280" w:type="dxa"/>
            <w:vAlign w:val="bottom"/>
          </w:tcPr>
          <w:p>
            <w:pPr>
              <w:jc w:val="right"/>
              <w:ind w:right="180"/>
              <w:spacing w:after="0"/>
              <w:rPr>
                <w:sz w:val="20"/>
                <w:szCs w:val="20"/>
                <w:color w:val="auto"/>
              </w:rPr>
            </w:pPr>
            <w:r>
              <w:rPr>
                <w:rFonts w:ascii="Arial" w:cs="Arial" w:eastAsia="Arial" w:hAnsi="Arial"/>
                <w:sz w:val="16"/>
                <w:szCs w:val="16"/>
                <w:color w:val="auto"/>
              </w:rPr>
              <w:t>1,170</w:t>
            </w:r>
          </w:p>
        </w:tc>
        <w:tc>
          <w:tcPr>
            <w:tcW w:w="560" w:type="dxa"/>
            <w:vAlign w:val="bottom"/>
          </w:tcPr>
          <w:p>
            <w:pPr>
              <w:spacing w:after="0"/>
              <w:rPr>
                <w:sz w:val="17"/>
                <w:szCs w:val="17"/>
                <w:color w:val="auto"/>
              </w:rPr>
            </w:pP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465</w:t>
            </w:r>
          </w:p>
        </w:tc>
        <w:tc>
          <w:tcPr>
            <w:tcW w:w="480" w:type="dxa"/>
            <w:vAlign w:val="bottom"/>
          </w:tcPr>
          <w:p>
            <w:pPr>
              <w:spacing w:after="0"/>
              <w:rPr>
                <w:sz w:val="17"/>
                <w:szCs w:val="17"/>
                <w:color w:val="auto"/>
              </w:rPr>
            </w:pPr>
          </w:p>
        </w:tc>
        <w:tc>
          <w:tcPr>
            <w:tcW w:w="1260" w:type="dxa"/>
            <w:vAlign w:val="bottom"/>
          </w:tcPr>
          <w:p>
            <w:pPr>
              <w:jc w:val="right"/>
              <w:ind w:right="200"/>
              <w:spacing w:after="0"/>
              <w:rPr>
                <w:sz w:val="20"/>
                <w:szCs w:val="20"/>
                <w:color w:val="auto"/>
              </w:rPr>
            </w:pPr>
            <w:r>
              <w:rPr>
                <w:rFonts w:ascii="Arial" w:cs="Arial" w:eastAsia="Arial" w:hAnsi="Arial"/>
                <w:sz w:val="16"/>
                <w:szCs w:val="16"/>
                <w:color w:val="auto"/>
              </w:rPr>
              <w:t>3,630</w:t>
            </w: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1,953</w:t>
            </w:r>
          </w:p>
        </w:tc>
      </w:tr>
      <w:tr>
        <w:trPr>
          <w:trHeight w:val="205"/>
        </w:trPr>
        <w:tc>
          <w:tcPr>
            <w:tcW w:w="37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Canada</w:t>
            </w:r>
          </w:p>
        </w:tc>
        <w:tc>
          <w:tcPr>
            <w:tcW w:w="1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4,107</w:t>
            </w: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7,200</w:t>
            </w:r>
          </w:p>
        </w:tc>
        <w:tc>
          <w:tcPr>
            <w:tcW w:w="4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14,145</w:t>
            </w: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13,359</w:t>
            </w:r>
          </w:p>
        </w:tc>
      </w:tr>
      <w:tr>
        <w:trPr>
          <w:trHeight w:val="205"/>
        </w:trPr>
        <w:tc>
          <w:tcPr>
            <w:tcW w:w="3740" w:type="dxa"/>
            <w:vAlign w:val="bottom"/>
          </w:tcPr>
          <w:p>
            <w:pPr>
              <w:ind w:left="660"/>
              <w:spacing w:after="0"/>
              <w:rPr>
                <w:sz w:val="20"/>
                <w:szCs w:val="20"/>
                <w:color w:val="auto"/>
              </w:rPr>
            </w:pPr>
            <w:r>
              <w:rPr>
                <w:rFonts w:ascii="Arial" w:cs="Arial" w:eastAsia="Arial" w:hAnsi="Arial"/>
                <w:sz w:val="16"/>
                <w:szCs w:val="16"/>
                <w:color w:val="auto"/>
              </w:rPr>
              <w:t>Europe</w:t>
            </w:r>
          </w:p>
        </w:tc>
        <w:tc>
          <w:tcPr>
            <w:tcW w:w="1180" w:type="dxa"/>
            <w:vAlign w:val="bottom"/>
          </w:tcPr>
          <w:p>
            <w:pPr>
              <w:spacing w:after="0"/>
              <w:rPr>
                <w:sz w:val="17"/>
                <w:szCs w:val="17"/>
                <w:color w:val="auto"/>
              </w:rPr>
            </w:pPr>
          </w:p>
        </w:tc>
        <w:tc>
          <w:tcPr>
            <w:tcW w:w="1280" w:type="dxa"/>
            <w:vAlign w:val="bottom"/>
          </w:tcPr>
          <w:p>
            <w:pPr>
              <w:jc w:val="right"/>
              <w:ind w:right="180"/>
              <w:spacing w:after="0"/>
              <w:rPr>
                <w:sz w:val="20"/>
                <w:szCs w:val="20"/>
                <w:color w:val="auto"/>
              </w:rPr>
            </w:pPr>
            <w:r>
              <w:rPr>
                <w:rFonts w:ascii="Arial" w:cs="Arial" w:eastAsia="Arial" w:hAnsi="Arial"/>
                <w:sz w:val="16"/>
                <w:szCs w:val="16"/>
                <w:color w:val="auto"/>
              </w:rPr>
              <w:t>1,343</w:t>
            </w:r>
          </w:p>
        </w:tc>
        <w:tc>
          <w:tcPr>
            <w:tcW w:w="560" w:type="dxa"/>
            <w:vAlign w:val="bottom"/>
          </w:tcPr>
          <w:p>
            <w:pPr>
              <w:spacing w:after="0"/>
              <w:rPr>
                <w:sz w:val="17"/>
                <w:szCs w:val="17"/>
                <w:color w:val="auto"/>
              </w:rPr>
            </w:pP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1,468</w:t>
            </w:r>
          </w:p>
        </w:tc>
        <w:tc>
          <w:tcPr>
            <w:tcW w:w="480" w:type="dxa"/>
            <w:vAlign w:val="bottom"/>
          </w:tcPr>
          <w:p>
            <w:pPr>
              <w:spacing w:after="0"/>
              <w:rPr>
                <w:sz w:val="17"/>
                <w:szCs w:val="17"/>
                <w:color w:val="auto"/>
              </w:rPr>
            </w:pPr>
          </w:p>
        </w:tc>
        <w:tc>
          <w:tcPr>
            <w:tcW w:w="1260" w:type="dxa"/>
            <w:vAlign w:val="bottom"/>
          </w:tcPr>
          <w:p>
            <w:pPr>
              <w:jc w:val="right"/>
              <w:ind w:right="200"/>
              <w:spacing w:after="0"/>
              <w:rPr>
                <w:sz w:val="20"/>
                <w:szCs w:val="20"/>
                <w:color w:val="auto"/>
              </w:rPr>
            </w:pPr>
            <w:r>
              <w:rPr>
                <w:rFonts w:ascii="Arial" w:cs="Arial" w:eastAsia="Arial" w:hAnsi="Arial"/>
                <w:sz w:val="16"/>
                <w:szCs w:val="16"/>
                <w:color w:val="auto"/>
              </w:rPr>
              <w:t>3,323</w:t>
            </w: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4,272</w:t>
            </w:r>
          </w:p>
        </w:tc>
      </w:tr>
      <w:tr>
        <w:trPr>
          <w:trHeight w:val="205"/>
        </w:trPr>
        <w:tc>
          <w:tcPr>
            <w:tcW w:w="3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Operations outside the United States:</w:t>
            </w:r>
          </w:p>
        </w:tc>
        <w:tc>
          <w:tcPr>
            <w:tcW w:w="1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5"/>
        </w:trPr>
        <w:tc>
          <w:tcPr>
            <w:tcW w:w="374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Brazil</w:t>
            </w:r>
          </w:p>
        </w:tc>
        <w:tc>
          <w:tcPr>
            <w:tcW w:w="1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25,055</w:t>
            </w:r>
          </w:p>
        </w:tc>
        <w:tc>
          <w:tcPr>
            <w:tcW w:w="5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24,875</w:t>
            </w:r>
          </w:p>
        </w:tc>
        <w:tc>
          <w:tcPr>
            <w:tcW w:w="4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73,125</w:t>
            </w: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68,937</w:t>
            </w:r>
          </w:p>
        </w:tc>
      </w:tr>
      <w:tr>
        <w:trPr>
          <w:trHeight w:val="201"/>
        </w:trPr>
        <w:tc>
          <w:tcPr>
            <w:tcW w:w="37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Total</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202,253</w:t>
            </w:r>
          </w:p>
        </w:tc>
        <w:tc>
          <w:tcPr>
            <w:tcW w:w="5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177,917</w:t>
            </w:r>
          </w:p>
        </w:tc>
        <w:tc>
          <w:tcPr>
            <w:tcW w:w="4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584,937</w:t>
            </w:r>
          </w:p>
        </w:tc>
        <w:tc>
          <w:tcPr>
            <w:tcW w:w="5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543,544</w:t>
            </w:r>
          </w:p>
        </w:tc>
      </w:tr>
    </w:tbl>
    <w:p>
      <w:pPr>
        <w:spacing w:after="0" w:line="9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 Export sales relate entirely to PE Films. Operations in Brazil are related to Flexible Packaging Films.</w:t>
      </w:r>
    </w:p>
    <w:p>
      <w:pPr>
        <w:spacing w:after="0" w:line="168" w:lineRule="exact"/>
        <w:rPr>
          <w:sz w:val="20"/>
          <w:szCs w:val="20"/>
          <w:color w:val="auto"/>
        </w:rPr>
      </w:pPr>
    </w:p>
    <w:p>
      <w:pPr>
        <w:ind w:right="80" w:firstLine="362"/>
        <w:spacing w:after="0" w:line="309" w:lineRule="auto"/>
        <w:rPr>
          <w:sz w:val="20"/>
          <w:szCs w:val="20"/>
          <w:color w:val="auto"/>
        </w:rPr>
      </w:pPr>
      <w:r>
        <w:rPr>
          <w:rFonts w:ascii="Arial" w:cs="Arial" w:eastAsia="Arial" w:hAnsi="Arial"/>
          <w:sz w:val="14"/>
          <w:szCs w:val="14"/>
          <w:color w:val="auto"/>
        </w:rPr>
        <w:t>The Company’s facilities in Pottsville, PA (“PV”) and Guangzhou, China (“GZ”) have a tolling arrangement whereby certain surface protection films are manufactured in GZ for a fee with raw materials supplied from PV that are then shipped by GZ directly to customers principally in the Asian market, but paid by customers directly to PV. Amounts associated with this intercompany tolling arrangement are reported in the table above as export sales from the U.S. to Asia, and include net sales of $7.4 million and $5.9 million in the third quarters of 2021 and 2020, respectively, and $25.0 million and $25.1 million in the first nine months of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201295</wp:posOffset>
            </wp:positionH>
            <wp:positionV relativeFrom="page">
              <wp:posOffset>594360</wp:posOffset>
            </wp:positionV>
            <wp:extent cx="714692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6925" cy="15240"/>
                    </a:xfrm>
                    <a:prstGeom prst="rect">
                      <a:avLst/>
                    </a:prstGeom>
                    <a:noFill/>
                  </pic:spPr>
                </pic:pic>
              </a:graphicData>
            </a:graphic>
          </wp:anchor>
        </w:drawing>
        <w:t>Net Sales by Product Group</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268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6"/>
                <w:szCs w:val="16"/>
                <w:color w:val="auto"/>
                <w:w w:val="91"/>
              </w:rPr>
              <w:t>Three Months Ended September 30,</w:t>
            </w:r>
          </w:p>
        </w:tc>
        <w:tc>
          <w:tcPr>
            <w:tcW w:w="260" w:type="dxa"/>
            <w:vAlign w:val="bottom"/>
            <w:tcBorders>
              <w:top w:val="single" w:sz="8" w:color="auto"/>
            </w:tcBorders>
          </w:tcPr>
          <w:p>
            <w:pPr>
              <w:spacing w:after="0"/>
              <w:rPr>
                <w:sz w:val="17"/>
                <w:szCs w:val="17"/>
                <w:color w:val="auto"/>
              </w:rPr>
            </w:pPr>
          </w:p>
        </w:tc>
        <w:tc>
          <w:tcPr>
            <w:tcW w:w="262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6"/>
                <w:szCs w:val="16"/>
                <w:color w:val="auto"/>
                <w:w w:val="92"/>
              </w:rPr>
              <w:t>Nine Months Ended September 30,</w:t>
            </w:r>
          </w:p>
        </w:tc>
      </w:tr>
      <w:tr>
        <w:trPr>
          <w:trHeight w:val="205"/>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thousands)</w:t>
            </w:r>
          </w:p>
        </w:tc>
        <w:tc>
          <w:tcPr>
            <w:tcW w:w="15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2021</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2020</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2021</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2020</w:t>
            </w:r>
          </w:p>
        </w:tc>
      </w:tr>
      <w:tr>
        <w:trPr>
          <w:trHeight w:val="197"/>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Aluminum Extrusions:</w:t>
            </w:r>
          </w:p>
        </w:tc>
        <w:tc>
          <w:tcPr>
            <w:tcW w:w="15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5"/>
        </w:trPr>
        <w:tc>
          <w:tcPr>
            <w:tcW w:w="4180" w:type="dxa"/>
            <w:vAlign w:val="bottom"/>
          </w:tcPr>
          <w:p>
            <w:pPr>
              <w:ind w:left="300"/>
              <w:spacing w:after="0"/>
              <w:rPr>
                <w:sz w:val="20"/>
                <w:szCs w:val="20"/>
                <w:color w:val="auto"/>
              </w:rPr>
            </w:pPr>
            <w:r>
              <w:rPr>
                <w:rFonts w:ascii="Arial" w:cs="Arial" w:eastAsia="Arial" w:hAnsi="Arial"/>
                <w:sz w:val="16"/>
                <w:szCs w:val="16"/>
                <w:color w:val="auto"/>
              </w:rPr>
              <w:t>Nonresidential building &amp; construction</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68,590</w:t>
            </w:r>
          </w:p>
        </w:tc>
        <w:tc>
          <w:tcPr>
            <w:tcW w:w="3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62,611</w:t>
            </w:r>
          </w:p>
        </w:tc>
        <w:tc>
          <w:tcPr>
            <w:tcW w:w="2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195,941</w:t>
            </w:r>
          </w:p>
        </w:tc>
        <w:tc>
          <w:tcPr>
            <w:tcW w:w="3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190,476</w:t>
            </w:r>
          </w:p>
        </w:tc>
      </w:tr>
      <w:tr>
        <w:trPr>
          <w:trHeight w:val="205"/>
        </w:trPr>
        <w:tc>
          <w:tcPr>
            <w:tcW w:w="4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Consumer durables</w:t>
            </w:r>
          </w:p>
        </w:tc>
        <w:tc>
          <w:tcPr>
            <w:tcW w:w="15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12,873</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11,160</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39,611</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31,491</w:t>
            </w:r>
          </w:p>
        </w:tc>
      </w:tr>
      <w:tr>
        <w:trPr>
          <w:trHeight w:val="205"/>
        </w:trPr>
        <w:tc>
          <w:tcPr>
            <w:tcW w:w="4180" w:type="dxa"/>
            <w:vAlign w:val="bottom"/>
          </w:tcPr>
          <w:p>
            <w:pPr>
              <w:ind w:left="300"/>
              <w:spacing w:after="0"/>
              <w:rPr>
                <w:sz w:val="20"/>
                <w:szCs w:val="20"/>
                <w:color w:val="auto"/>
              </w:rPr>
            </w:pPr>
            <w:r>
              <w:rPr>
                <w:rFonts w:ascii="Arial" w:cs="Arial" w:eastAsia="Arial" w:hAnsi="Arial"/>
                <w:sz w:val="16"/>
                <w:szCs w:val="16"/>
                <w:color w:val="auto"/>
              </w:rPr>
              <w:t>Automotive</w:t>
            </w:r>
          </w:p>
        </w:tc>
        <w:tc>
          <w:tcPr>
            <w:tcW w:w="15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10,150</w:t>
            </w:r>
          </w:p>
        </w:tc>
        <w:tc>
          <w:tcPr>
            <w:tcW w:w="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10,332</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32,750</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25,375</w:t>
            </w:r>
          </w:p>
        </w:tc>
      </w:tr>
      <w:tr>
        <w:trPr>
          <w:trHeight w:val="205"/>
        </w:trPr>
        <w:tc>
          <w:tcPr>
            <w:tcW w:w="4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Residential building &amp; construction</w:t>
            </w:r>
          </w:p>
        </w:tc>
        <w:tc>
          <w:tcPr>
            <w:tcW w:w="15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13,154</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10,149</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39,755</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29,016</w:t>
            </w:r>
          </w:p>
        </w:tc>
      </w:tr>
      <w:tr>
        <w:trPr>
          <w:trHeight w:val="205"/>
        </w:trPr>
        <w:tc>
          <w:tcPr>
            <w:tcW w:w="4180" w:type="dxa"/>
            <w:vAlign w:val="bottom"/>
          </w:tcPr>
          <w:p>
            <w:pPr>
              <w:ind w:left="300"/>
              <w:spacing w:after="0"/>
              <w:rPr>
                <w:sz w:val="20"/>
                <w:szCs w:val="20"/>
                <w:color w:val="auto"/>
              </w:rPr>
            </w:pPr>
            <w:r>
              <w:rPr>
                <w:rFonts w:ascii="Arial" w:cs="Arial" w:eastAsia="Arial" w:hAnsi="Arial"/>
                <w:sz w:val="16"/>
                <w:szCs w:val="16"/>
                <w:color w:val="auto"/>
              </w:rPr>
              <w:t>Electrical</w:t>
            </w:r>
          </w:p>
        </w:tc>
        <w:tc>
          <w:tcPr>
            <w:tcW w:w="15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8,015</w:t>
            </w:r>
          </w:p>
        </w:tc>
        <w:tc>
          <w:tcPr>
            <w:tcW w:w="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5,992</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24,767</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18,006</w:t>
            </w:r>
          </w:p>
        </w:tc>
      </w:tr>
      <w:tr>
        <w:trPr>
          <w:trHeight w:val="205"/>
        </w:trPr>
        <w:tc>
          <w:tcPr>
            <w:tcW w:w="4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Machinery &amp; equipment</w:t>
            </w:r>
          </w:p>
        </w:tc>
        <w:tc>
          <w:tcPr>
            <w:tcW w:w="15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11,611</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7,581</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31,190</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23,147</w:t>
            </w:r>
          </w:p>
        </w:tc>
      </w:tr>
      <w:tr>
        <w:trPr>
          <w:trHeight w:val="205"/>
        </w:trPr>
        <w:tc>
          <w:tcPr>
            <w:tcW w:w="41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Distribution</w:t>
            </w:r>
          </w:p>
        </w:tc>
        <w:tc>
          <w:tcPr>
            <w:tcW w:w="15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12,693</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7,796</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30,478</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22,055</w:t>
            </w:r>
          </w:p>
        </w:tc>
      </w:tr>
      <w:tr>
        <w:trPr>
          <w:trHeight w:val="197"/>
        </w:trPr>
        <w:tc>
          <w:tcPr>
            <w:tcW w:w="41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Subtotal</w:t>
            </w:r>
          </w:p>
        </w:tc>
        <w:tc>
          <w:tcPr>
            <w:tcW w:w="15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137,086</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115,621</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394,492</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339,566</w:t>
            </w:r>
          </w:p>
        </w:tc>
      </w:tr>
      <w:tr>
        <w:trPr>
          <w:trHeight w:val="205"/>
        </w:trPr>
        <w:tc>
          <w:tcPr>
            <w:tcW w:w="4180" w:type="dxa"/>
            <w:vAlign w:val="bottom"/>
          </w:tcPr>
          <w:p>
            <w:pPr>
              <w:ind w:left="20"/>
              <w:spacing w:after="0"/>
              <w:rPr>
                <w:sz w:val="20"/>
                <w:szCs w:val="20"/>
                <w:color w:val="auto"/>
              </w:rPr>
            </w:pPr>
            <w:r>
              <w:rPr>
                <w:rFonts w:ascii="Arial" w:cs="Arial" w:eastAsia="Arial" w:hAnsi="Arial"/>
                <w:sz w:val="16"/>
                <w:szCs w:val="16"/>
                <w:color w:val="auto"/>
              </w:rPr>
              <w:t>PE Films:</w:t>
            </w: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5"/>
        </w:trPr>
        <w:tc>
          <w:tcPr>
            <w:tcW w:w="4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Surface protection films</w:t>
            </w:r>
          </w:p>
        </w:tc>
        <w:tc>
          <w:tcPr>
            <w:tcW w:w="15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20,905</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19,868</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65,997</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79,919</w:t>
            </w:r>
          </w:p>
        </w:tc>
      </w:tr>
      <w:tr>
        <w:trPr>
          <w:trHeight w:val="205"/>
        </w:trPr>
        <w:tc>
          <w:tcPr>
            <w:tcW w:w="4180" w:type="dxa"/>
            <w:vAlign w:val="bottom"/>
          </w:tcPr>
          <w:p>
            <w:pPr>
              <w:ind w:left="300"/>
              <w:spacing w:after="0"/>
              <w:rPr>
                <w:sz w:val="20"/>
                <w:szCs w:val="20"/>
                <w:color w:val="auto"/>
              </w:rPr>
            </w:pPr>
            <w:r>
              <w:rPr>
                <w:rFonts w:ascii="Arial" w:cs="Arial" w:eastAsia="Arial" w:hAnsi="Arial"/>
                <w:sz w:val="16"/>
                <w:szCs w:val="16"/>
                <w:color w:val="auto"/>
              </w:rPr>
              <w:t>Packaging</w:t>
            </w:r>
          </w:p>
        </w:tc>
        <w:tc>
          <w:tcPr>
            <w:tcW w:w="15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7,596</w:t>
            </w:r>
          </w:p>
        </w:tc>
        <w:tc>
          <w:tcPr>
            <w:tcW w:w="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5,042</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21,888</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17,262</w:t>
            </w:r>
          </w:p>
        </w:tc>
      </w:tr>
      <w:tr>
        <w:trPr>
          <w:trHeight w:val="205"/>
        </w:trPr>
        <w:tc>
          <w:tcPr>
            <w:tcW w:w="41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LED lighting products</w:t>
            </w:r>
          </w:p>
        </w:tc>
        <w:tc>
          <w:tcPr>
            <w:tcW w:w="15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6,263</w:t>
            </w:r>
          </w:p>
        </w:tc>
      </w:tr>
      <w:tr>
        <w:trPr>
          <w:trHeight w:val="197"/>
        </w:trPr>
        <w:tc>
          <w:tcPr>
            <w:tcW w:w="4180" w:type="dxa"/>
            <w:vAlign w:val="bottom"/>
          </w:tcPr>
          <w:p>
            <w:pPr>
              <w:ind w:left="600"/>
              <w:spacing w:after="0"/>
              <w:rPr>
                <w:sz w:val="20"/>
                <w:szCs w:val="20"/>
                <w:color w:val="auto"/>
              </w:rPr>
            </w:pPr>
            <w:r>
              <w:rPr>
                <w:rFonts w:ascii="Arial" w:cs="Arial" w:eastAsia="Arial" w:hAnsi="Arial"/>
                <w:sz w:val="16"/>
                <w:szCs w:val="16"/>
                <w:color w:val="auto"/>
              </w:rPr>
              <w:t>Subtotal</w:t>
            </w:r>
          </w:p>
        </w:tc>
        <w:tc>
          <w:tcPr>
            <w:tcW w:w="15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28,501</w:t>
            </w:r>
          </w:p>
        </w:tc>
        <w:tc>
          <w:tcPr>
            <w:tcW w:w="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26,440</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87,885</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103,444</w:t>
            </w:r>
          </w:p>
        </w:tc>
      </w:tr>
      <w:tr>
        <w:trPr>
          <w:trHeight w:val="205"/>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Flexible Packaging Films</w:t>
            </w:r>
          </w:p>
        </w:tc>
        <w:tc>
          <w:tcPr>
            <w:tcW w:w="15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36,666</w:t>
            </w:r>
          </w:p>
        </w:tc>
        <w:tc>
          <w:tcPr>
            <w:tcW w:w="3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35,856</w:t>
            </w: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102,560</w:t>
            </w: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100,534</w:t>
            </w:r>
          </w:p>
        </w:tc>
      </w:tr>
      <w:tr>
        <w:trPr>
          <w:trHeight w:val="197"/>
        </w:trPr>
        <w:tc>
          <w:tcPr>
            <w:tcW w:w="418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202,253</w:t>
            </w:r>
          </w:p>
        </w:tc>
        <w:tc>
          <w:tcPr>
            <w:tcW w:w="3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177,917</w:t>
            </w:r>
          </w:p>
        </w:tc>
        <w:tc>
          <w:tcPr>
            <w:tcW w:w="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584,937</w:t>
            </w:r>
          </w:p>
        </w:tc>
        <w:tc>
          <w:tcPr>
            <w:tcW w:w="3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543,544</w:t>
            </w:r>
          </w:p>
        </w:tc>
      </w:tr>
    </w:tbl>
    <w:p>
      <w:pPr>
        <w:spacing w:after="0" w:line="357"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b w:val="1"/>
          <w:bCs w:val="1"/>
          <w:color w:val="auto"/>
        </w:rPr>
        <w:t>12</w:t>
        <w:tab/>
        <w:t>INCOME TAXES</w:t>
      </w:r>
    </w:p>
    <w:p>
      <w:pPr>
        <w:spacing w:after="0" w:line="97" w:lineRule="exact"/>
        <w:rPr>
          <w:sz w:val="20"/>
          <w:szCs w:val="20"/>
          <w:color w:val="auto"/>
        </w:rPr>
      </w:pPr>
    </w:p>
    <w:p>
      <w:pPr>
        <w:jc w:val="both"/>
        <w:ind w:right="60" w:firstLine="362"/>
        <w:spacing w:after="0" w:line="291" w:lineRule="auto"/>
        <w:rPr>
          <w:sz w:val="20"/>
          <w:szCs w:val="20"/>
          <w:color w:val="auto"/>
        </w:rPr>
      </w:pPr>
      <w:r>
        <w:rPr>
          <w:rFonts w:ascii="Arial" w:cs="Arial" w:eastAsia="Arial" w:hAnsi="Arial"/>
          <w:sz w:val="15"/>
          <w:szCs w:val="15"/>
          <w:color w:val="auto"/>
        </w:rPr>
        <w:t>Tredegar recorded tax expense of $10.7 million pretax income from continuing operations of $47.3 million in the first nine months of 2021. Therefore, the effective tax rate in the first nine months of 2021 was 22.7%, compared to 26.2% in the first nine months of 2020. The quarterly effective tax rate is an estimate based on a proration of the components of the Company’s estimated annual effective tax rate and discrete items recorded during the first nine months of the year.</w:t>
      </w:r>
    </w:p>
    <w:p>
      <w:pPr>
        <w:spacing w:after="0" w:line="24" w:lineRule="exact"/>
        <w:rPr>
          <w:sz w:val="20"/>
          <w:szCs w:val="20"/>
          <w:color w:val="auto"/>
        </w:rPr>
      </w:pPr>
    </w:p>
    <w:p>
      <w:pPr>
        <w:ind w:right="440" w:firstLine="362"/>
        <w:spacing w:after="0" w:line="275" w:lineRule="auto"/>
        <w:rPr>
          <w:sz w:val="20"/>
          <w:szCs w:val="20"/>
          <w:color w:val="auto"/>
        </w:rPr>
      </w:pPr>
      <w:r>
        <w:rPr>
          <w:rFonts w:ascii="Arial" w:cs="Arial" w:eastAsia="Arial" w:hAnsi="Arial"/>
          <w:sz w:val="16"/>
          <w:szCs w:val="16"/>
          <w:color w:val="auto"/>
        </w:rPr>
        <w:t>The significant differences between the U.S. federal statutory rate and the effective income tax rate for the nine months ended September 30, 2021 and 2020 are as follows:</w:t>
      </w:r>
    </w:p>
    <w:tbl>
      <w:tblPr>
        <w:tblLayout w:type="fixed"/>
        <w:tblInd w:w="0" w:type="dxa"/>
        <w:tblCellMar>
          <w:top w:w="0" w:type="dxa"/>
          <w:left w:w="0" w:type="dxa"/>
          <w:bottom w:w="0" w:type="dxa"/>
          <w:right w:w="0" w:type="dxa"/>
        </w:tblCellMar>
      </w:tblPr>
      <w:tr>
        <w:trPr>
          <w:trHeight w:val="210"/>
        </w:trPr>
        <w:tc>
          <w:tcPr>
            <w:tcW w:w="542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(In thousands, except percentages)</w:t>
            </w:r>
          </w:p>
        </w:tc>
        <w:tc>
          <w:tcPr>
            <w:tcW w:w="5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700"/>
              <w:spacing w:after="0"/>
              <w:rPr>
                <w:sz w:val="20"/>
                <w:szCs w:val="20"/>
                <w:color w:val="auto"/>
              </w:rPr>
            </w:pPr>
            <w:r>
              <w:rPr>
                <w:rFonts w:ascii="Arial" w:cs="Arial" w:eastAsia="Arial" w:hAnsi="Arial"/>
                <w:sz w:val="16"/>
                <w:szCs w:val="16"/>
                <w:color w:val="auto"/>
              </w:rPr>
              <w:t>2021</w:t>
            </w:r>
          </w:p>
        </w:tc>
        <w:tc>
          <w:tcPr>
            <w:tcW w:w="5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720"/>
              <w:spacing w:after="0"/>
              <w:rPr>
                <w:sz w:val="20"/>
                <w:szCs w:val="20"/>
                <w:color w:val="auto"/>
              </w:rPr>
            </w:pPr>
            <w:r>
              <w:rPr>
                <w:rFonts w:ascii="Arial" w:cs="Arial" w:eastAsia="Arial" w:hAnsi="Arial"/>
                <w:sz w:val="16"/>
                <w:szCs w:val="16"/>
                <w:color w:val="auto"/>
              </w:rPr>
              <w:t>2020</w:t>
            </w:r>
          </w:p>
        </w:tc>
        <w:tc>
          <w:tcPr>
            <w:tcW w:w="320" w:type="dxa"/>
            <w:vAlign w:val="bottom"/>
            <w:tcBorders>
              <w:top w:val="single" w:sz="8" w:color="auto"/>
              <w:bottom w:val="single" w:sz="8" w:color="auto"/>
            </w:tcBorders>
          </w:tcPr>
          <w:p>
            <w:pPr>
              <w:spacing w:after="0"/>
              <w:rPr>
                <w:sz w:val="18"/>
                <w:szCs w:val="18"/>
                <w:color w:val="auto"/>
              </w:rPr>
            </w:pPr>
          </w:p>
        </w:tc>
      </w:tr>
      <w:tr>
        <w:trPr>
          <w:trHeight w:val="197"/>
        </w:trPr>
        <w:tc>
          <w:tcPr>
            <w:tcW w:w="54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Nine Months Ended September 30,</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Amount</w:t>
            </w: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Amount</w:t>
            </w:r>
          </w:p>
        </w:tc>
        <w:tc>
          <w:tcPr>
            <w:tcW w:w="12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7"/>
                <w:szCs w:val="17"/>
                <w:color w:val="auto"/>
              </w:rPr>
            </w:pPr>
          </w:p>
        </w:tc>
      </w:tr>
      <w:tr>
        <w:trPr>
          <w:trHeight w:val="197"/>
        </w:trPr>
        <w:tc>
          <w:tcPr>
            <w:tcW w:w="54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Income tax (benefit) expense at federal statutory rate</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9,934</w:t>
            </w:r>
          </w:p>
        </w:tc>
        <w:tc>
          <w:tcPr>
            <w:tcW w:w="11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21.0</w:t>
            </w:r>
          </w:p>
        </w:tc>
        <w:tc>
          <w:tcPr>
            <w:tcW w:w="5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(6,639)</w:t>
            </w:r>
          </w:p>
        </w:tc>
        <w:tc>
          <w:tcPr>
            <w:tcW w:w="12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21.0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420" w:type="dxa"/>
            <w:vAlign w:val="bottom"/>
          </w:tcPr>
          <w:p>
            <w:pPr>
              <w:ind w:left="380"/>
              <w:spacing w:after="0"/>
              <w:rPr>
                <w:sz w:val="20"/>
                <w:szCs w:val="20"/>
                <w:color w:val="auto"/>
              </w:rPr>
            </w:pPr>
            <w:r>
              <w:rPr>
                <w:rFonts w:ascii="Arial" w:cs="Arial" w:eastAsia="Arial" w:hAnsi="Arial"/>
                <w:sz w:val="16"/>
                <w:szCs w:val="16"/>
                <w:color w:val="auto"/>
              </w:rPr>
              <w:t>Foreign rate differences</w:t>
            </w:r>
          </w:p>
        </w:tc>
        <w:tc>
          <w:tcPr>
            <w:tcW w:w="52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4,787</w:t>
            </w:r>
          </w:p>
        </w:tc>
        <w:tc>
          <w:tcPr>
            <w:tcW w:w="1160" w:type="dxa"/>
            <w:vAlign w:val="bottom"/>
          </w:tcPr>
          <w:p>
            <w:pPr>
              <w:jc w:val="right"/>
              <w:ind w:right="180"/>
              <w:spacing w:after="0"/>
              <w:rPr>
                <w:sz w:val="20"/>
                <w:szCs w:val="20"/>
                <w:color w:val="auto"/>
              </w:rPr>
            </w:pPr>
            <w:r>
              <w:rPr>
                <w:rFonts w:ascii="Arial" w:cs="Arial" w:eastAsia="Arial" w:hAnsi="Arial"/>
                <w:sz w:val="16"/>
                <w:szCs w:val="16"/>
                <w:color w:val="auto"/>
              </w:rPr>
              <w:t>10.1</w:t>
            </w:r>
          </w:p>
        </w:tc>
        <w:tc>
          <w:tcPr>
            <w:tcW w:w="5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2,772</w:t>
            </w: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(8.8)</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4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U.S. Tax on Foreign Branch Income</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4,124</w:t>
            </w:r>
          </w:p>
        </w:tc>
        <w:tc>
          <w:tcPr>
            <w:tcW w:w="11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8.7</w:t>
            </w:r>
          </w:p>
        </w:tc>
        <w:tc>
          <w:tcPr>
            <w:tcW w:w="5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656</w:t>
            </w:r>
          </w:p>
        </w:tc>
        <w:tc>
          <w:tcPr>
            <w:tcW w:w="12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(2.1)</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420" w:type="dxa"/>
            <w:vAlign w:val="bottom"/>
          </w:tcPr>
          <w:p>
            <w:pPr>
              <w:ind w:left="380"/>
              <w:spacing w:after="0"/>
              <w:rPr>
                <w:sz w:val="20"/>
                <w:szCs w:val="20"/>
                <w:color w:val="auto"/>
              </w:rPr>
            </w:pPr>
            <w:r>
              <w:rPr>
                <w:rFonts w:ascii="Arial" w:cs="Arial" w:eastAsia="Arial" w:hAnsi="Arial"/>
                <w:sz w:val="16"/>
                <w:szCs w:val="16"/>
                <w:color w:val="auto"/>
              </w:rPr>
              <w:t>State taxes, net of federal income tax benefit</w:t>
            </w:r>
          </w:p>
        </w:tc>
        <w:tc>
          <w:tcPr>
            <w:tcW w:w="52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829</w:t>
            </w:r>
          </w:p>
        </w:tc>
        <w:tc>
          <w:tcPr>
            <w:tcW w:w="1160" w:type="dxa"/>
            <w:vAlign w:val="bottom"/>
          </w:tcPr>
          <w:p>
            <w:pPr>
              <w:jc w:val="right"/>
              <w:ind w:right="180"/>
              <w:spacing w:after="0"/>
              <w:rPr>
                <w:sz w:val="20"/>
                <w:szCs w:val="20"/>
                <w:color w:val="auto"/>
              </w:rPr>
            </w:pPr>
            <w:r>
              <w:rPr>
                <w:rFonts w:ascii="Arial" w:cs="Arial" w:eastAsia="Arial" w:hAnsi="Arial"/>
                <w:sz w:val="16"/>
                <w:szCs w:val="16"/>
                <w:color w:val="auto"/>
              </w:rPr>
              <w:t>1.8</w:t>
            </w:r>
          </w:p>
        </w:tc>
        <w:tc>
          <w:tcPr>
            <w:tcW w:w="5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(537)</w:t>
            </w:r>
          </w:p>
        </w:tc>
        <w:tc>
          <w:tcPr>
            <w:tcW w:w="1200" w:type="dxa"/>
            <w:vAlign w:val="bottom"/>
          </w:tcPr>
          <w:p>
            <w:pPr>
              <w:jc w:val="right"/>
              <w:ind w:right="160"/>
              <w:spacing w:after="0"/>
              <w:rPr>
                <w:sz w:val="20"/>
                <w:szCs w:val="20"/>
                <w:color w:val="auto"/>
              </w:rPr>
            </w:pPr>
            <w:r>
              <w:rPr>
                <w:rFonts w:ascii="Arial" w:cs="Arial" w:eastAsia="Arial" w:hAnsi="Arial"/>
                <w:sz w:val="16"/>
                <w:szCs w:val="16"/>
                <w:color w:val="auto"/>
              </w:rPr>
              <w:t>1.7</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4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616</w:t>
            </w:r>
          </w:p>
        </w:tc>
        <w:tc>
          <w:tcPr>
            <w:tcW w:w="11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1.3</w:t>
            </w:r>
          </w:p>
        </w:tc>
        <w:tc>
          <w:tcPr>
            <w:tcW w:w="5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240</w:t>
            </w:r>
          </w:p>
        </w:tc>
        <w:tc>
          <w:tcPr>
            <w:tcW w:w="12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(0.8)</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420" w:type="dxa"/>
            <w:vAlign w:val="bottom"/>
          </w:tcPr>
          <w:p>
            <w:pPr>
              <w:ind w:left="380"/>
              <w:spacing w:after="0"/>
              <w:rPr>
                <w:sz w:val="20"/>
                <w:szCs w:val="20"/>
                <w:color w:val="auto"/>
              </w:rPr>
            </w:pPr>
            <w:r>
              <w:rPr>
                <w:rFonts w:ascii="Arial" w:cs="Arial" w:eastAsia="Arial" w:hAnsi="Arial"/>
                <w:sz w:val="16"/>
                <w:szCs w:val="16"/>
                <w:color w:val="auto"/>
              </w:rPr>
              <w:t>Non-deductible expenses</w:t>
            </w:r>
          </w:p>
        </w:tc>
        <w:tc>
          <w:tcPr>
            <w:tcW w:w="52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544</w:t>
            </w:r>
          </w:p>
        </w:tc>
        <w:tc>
          <w:tcPr>
            <w:tcW w:w="1160" w:type="dxa"/>
            <w:vAlign w:val="bottom"/>
          </w:tcPr>
          <w:p>
            <w:pPr>
              <w:jc w:val="right"/>
              <w:ind w:right="180"/>
              <w:spacing w:after="0"/>
              <w:rPr>
                <w:sz w:val="20"/>
                <w:szCs w:val="20"/>
                <w:color w:val="auto"/>
              </w:rPr>
            </w:pPr>
            <w:r>
              <w:rPr>
                <w:rFonts w:ascii="Arial" w:cs="Arial" w:eastAsia="Arial" w:hAnsi="Arial"/>
                <w:sz w:val="16"/>
                <w:szCs w:val="16"/>
                <w:color w:val="auto"/>
              </w:rPr>
              <w:t>1.2</w:t>
            </w:r>
          </w:p>
        </w:tc>
        <w:tc>
          <w:tcPr>
            <w:tcW w:w="5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312</w:t>
            </w: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(1.0)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4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Valuation allowance for capital loss carry-forwards</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74</w:t>
            </w:r>
          </w:p>
        </w:tc>
        <w:tc>
          <w:tcPr>
            <w:tcW w:w="11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0.2</w:t>
            </w:r>
          </w:p>
        </w:tc>
        <w:tc>
          <w:tcPr>
            <w:tcW w:w="5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61</w:t>
            </w:r>
          </w:p>
        </w:tc>
        <w:tc>
          <w:tcPr>
            <w:tcW w:w="12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(0.2)</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420" w:type="dxa"/>
            <w:vAlign w:val="bottom"/>
          </w:tcPr>
          <w:p>
            <w:pPr>
              <w:ind w:left="380"/>
              <w:spacing w:after="0"/>
              <w:rPr>
                <w:sz w:val="20"/>
                <w:szCs w:val="20"/>
                <w:color w:val="auto"/>
              </w:rPr>
            </w:pPr>
            <w:r>
              <w:rPr>
                <w:rFonts w:ascii="Arial" w:cs="Arial" w:eastAsia="Arial" w:hAnsi="Arial"/>
                <w:sz w:val="16"/>
                <w:szCs w:val="16"/>
                <w:color w:val="auto"/>
              </w:rPr>
              <w:t>Unremitted earnings from foreign operations</w:t>
            </w:r>
          </w:p>
        </w:tc>
        <w:tc>
          <w:tcPr>
            <w:tcW w:w="52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117</w:t>
            </w:r>
          </w:p>
        </w:tc>
        <w:tc>
          <w:tcPr>
            <w:tcW w:w="1160" w:type="dxa"/>
            <w:vAlign w:val="bottom"/>
          </w:tcPr>
          <w:p>
            <w:pPr>
              <w:jc w:val="right"/>
              <w:ind w:right="180"/>
              <w:spacing w:after="0"/>
              <w:rPr>
                <w:sz w:val="20"/>
                <w:szCs w:val="20"/>
                <w:color w:val="auto"/>
              </w:rPr>
            </w:pPr>
            <w:r>
              <w:rPr>
                <w:rFonts w:ascii="Arial" w:cs="Arial" w:eastAsia="Arial" w:hAnsi="Arial"/>
                <w:sz w:val="16"/>
                <w:szCs w:val="16"/>
                <w:color w:val="auto"/>
              </w:rPr>
              <w:t>0.2</w:t>
            </w:r>
          </w:p>
        </w:tc>
        <w:tc>
          <w:tcPr>
            <w:tcW w:w="5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4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Tax contingency accruals and tax settlements</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0.5</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420" w:type="dxa"/>
            <w:vAlign w:val="bottom"/>
          </w:tcPr>
          <w:p>
            <w:pPr>
              <w:ind w:left="380"/>
              <w:spacing w:after="0"/>
              <w:rPr>
                <w:sz w:val="20"/>
                <w:szCs w:val="20"/>
                <w:color w:val="auto"/>
              </w:rPr>
            </w:pPr>
            <w:r>
              <w:rPr>
                <w:rFonts w:ascii="Arial" w:cs="Arial" w:eastAsia="Arial" w:hAnsi="Arial"/>
                <w:sz w:val="16"/>
                <w:szCs w:val="16"/>
                <w:color w:val="auto"/>
              </w:rPr>
              <w:t>Tax impact of dividend received</w:t>
            </w:r>
          </w:p>
        </w:tc>
        <w:tc>
          <w:tcPr>
            <w:tcW w:w="5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(0.1)</w:t>
            </w:r>
          </w:p>
        </w:tc>
        <w:tc>
          <w:tcPr>
            <w:tcW w:w="5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4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Changes in estimates related to prior year tax provision</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1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(1.1)</w:t>
            </w:r>
          </w:p>
        </w:tc>
        <w:tc>
          <w:tcPr>
            <w:tcW w:w="5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12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3.2</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420" w:type="dxa"/>
            <w:vAlign w:val="bottom"/>
          </w:tcPr>
          <w:p>
            <w:pPr>
              <w:ind w:left="380"/>
              <w:spacing w:after="0"/>
              <w:rPr>
                <w:sz w:val="20"/>
                <w:szCs w:val="20"/>
                <w:color w:val="auto"/>
              </w:rPr>
            </w:pPr>
            <w:r>
              <w:rPr>
                <w:rFonts w:ascii="Arial" w:cs="Arial" w:eastAsia="Arial" w:hAnsi="Arial"/>
                <w:sz w:val="16"/>
                <w:szCs w:val="16"/>
                <w:color w:val="auto"/>
              </w:rPr>
              <w:t>Research and development tax credit</w:t>
            </w:r>
          </w:p>
        </w:tc>
        <w:tc>
          <w:tcPr>
            <w:tcW w:w="5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(925)</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(2.0)</w:t>
            </w:r>
          </w:p>
        </w:tc>
        <w:tc>
          <w:tcPr>
            <w:tcW w:w="5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(612)</w:t>
            </w:r>
          </w:p>
        </w:tc>
        <w:tc>
          <w:tcPr>
            <w:tcW w:w="1200" w:type="dxa"/>
            <w:vAlign w:val="bottom"/>
          </w:tcPr>
          <w:p>
            <w:pPr>
              <w:jc w:val="right"/>
              <w:ind w:right="160"/>
              <w:spacing w:after="0"/>
              <w:rPr>
                <w:sz w:val="20"/>
                <w:szCs w:val="20"/>
                <w:color w:val="auto"/>
              </w:rPr>
            </w:pPr>
            <w:r>
              <w:rPr>
                <w:rFonts w:ascii="Arial" w:cs="Arial" w:eastAsia="Arial" w:hAnsi="Arial"/>
                <w:sz w:val="16"/>
                <w:szCs w:val="16"/>
                <w:color w:val="auto"/>
              </w:rPr>
              <w:t>1.9</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4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Foreign tax incentives</w:t>
            </w:r>
          </w:p>
        </w:tc>
        <w:tc>
          <w:tcPr>
            <w:tcW w:w="5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(8,838)</w:t>
            </w:r>
          </w:p>
        </w:tc>
        <w:tc>
          <w:tcPr>
            <w:tcW w:w="11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(18.7)</w:t>
            </w:r>
          </w:p>
        </w:tc>
        <w:tc>
          <w:tcPr>
            <w:tcW w:w="5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(3,412)</w:t>
            </w:r>
          </w:p>
        </w:tc>
        <w:tc>
          <w:tcPr>
            <w:tcW w:w="12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10.8</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54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Income tax expense (benefit) at effective income tax rate</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10,728</w:t>
            </w: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22.7</w:t>
            </w:r>
          </w:p>
        </w:tc>
        <w:tc>
          <w:tcPr>
            <w:tcW w:w="5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(8,308)</w:t>
            </w:r>
          </w:p>
        </w:tc>
        <w:tc>
          <w:tcPr>
            <w:tcW w:w="12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26.2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156" w:lineRule="exact"/>
        <w:rPr>
          <w:sz w:val="20"/>
          <w:szCs w:val="20"/>
          <w:color w:val="auto"/>
        </w:rPr>
      </w:pPr>
    </w:p>
    <w:p>
      <w:pPr>
        <w:ind w:right="200" w:firstLine="362"/>
        <w:spacing w:after="0" w:line="265" w:lineRule="auto"/>
        <w:rPr>
          <w:sz w:val="20"/>
          <w:szCs w:val="20"/>
          <w:color w:val="auto"/>
        </w:rPr>
      </w:pPr>
      <w:r>
        <w:rPr>
          <w:rFonts w:ascii="Arial" w:cs="Arial" w:eastAsia="Arial" w:hAnsi="Arial"/>
          <w:sz w:val="16"/>
          <w:szCs w:val="16"/>
          <w:color w:val="auto"/>
        </w:rPr>
        <w:t>Tredegar accrues U.S. federal income taxes on unremitted earnings of foreign subsidiaries where required. However, due to changes in the taxation of dividends under the U.S. Tax Cuts and Jobs Act of 2017, Tredegar will only record U.S. federal income taxes on unremitted earnings of its foreign subsidiaries where Tredegar cannot take steps to eliminate any potential tax on future distributions from its foreign subsidiaries.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959" w:right="319" w:bottom="1440" w:gutter="0" w:footer="0" w:header="0"/>
        </w:sectPr>
      </w:pPr>
    </w:p>
    <w:bookmarkStart w:id="22" w:name="page23"/>
    <w:bookmarkEnd w:id="22"/>
    <w:p>
      <w:pPr>
        <w:ind w:right="40" w:firstLine="362"/>
        <w:spacing w:after="0" w:line="261" w:lineRule="auto"/>
        <w:rPr>
          <w:sz w:val="20"/>
          <w:szCs w:val="20"/>
          <w:color w:val="auto"/>
        </w:rPr>
      </w:pPr>
      <w:r>
        <w:rPr>
          <w:rFonts w:ascii="Arial" w:cs="Arial" w:eastAsia="Arial" w:hAnsi="Arial"/>
          <w:sz w:val="16"/>
          <w:szCs w:val="16"/>
          <w:color w:val="auto"/>
        </w:rPr>
        <w:t>The Brazilian federal statutory income tax rate is a composite of 34.0% (25.0% of income tax and 9.0% of social contribution on income). Terphane Ltda.’s manufacturing facility in Brazil is the beneficiary of certain income tax incentives that allow for a reduction in the statutory Brazilian federal income tax rate to 15.25% levied on the operating profit on certain of its products. The incentives have been granted for a 13-year period, from the commencement date of January 1, 2015. The benefit from the tax incentives was $8.8 million and $3.4 million in the first nine months of 2021 and 2020, respectively.</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Tredegar and its subsidiaries file income tax returns in the U.S., various states, and jurisdictions outside the U.S. With exceptions for some U.S. states and non-U.S.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jurisdictions, Tredegar and its subsidiaries are no longer subject to U.S. federal, state or non-U.S. income tax examinations by tax authorities for years before 2018.</w:t>
      </w:r>
    </w:p>
    <w:p>
      <w:pPr>
        <w:spacing w:after="0" w:line="89"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13</w:t>
        <w:tab/>
        <w:t>ACCOUNTS AND OTHER RECEIVABLES</w:t>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of September 30, 2021 and December 31, 2020, accounts receivable and other receivables include the following: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40" w:type="dxa"/>
            <w:vAlign w:val="bottom"/>
            <w:tcBorders>
              <w:top w:val="single" w:sz="8" w:color="auto"/>
            </w:tcBorders>
          </w:tcPr>
          <w:p>
            <w:pPr>
              <w:spacing w:after="0"/>
              <w:rPr>
                <w:sz w:val="19"/>
                <w:szCs w:val="19"/>
                <w:color w:val="auto"/>
              </w:rPr>
            </w:pPr>
          </w:p>
        </w:tc>
        <w:tc>
          <w:tcPr>
            <w:tcW w:w="24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380"/>
              <w:spacing w:after="0"/>
              <w:rPr>
                <w:sz w:val="20"/>
                <w:szCs w:val="20"/>
                <w:color w:val="auto"/>
              </w:rPr>
            </w:pPr>
            <w:r>
              <w:rPr>
                <w:rFonts w:ascii="Arial" w:cs="Arial" w:eastAsia="Arial" w:hAnsi="Arial"/>
                <w:sz w:val="16"/>
                <w:szCs w:val="16"/>
                <w:color w:val="auto"/>
                <w:w w:val="93"/>
              </w:rPr>
              <w:t>September 30,</w:t>
            </w:r>
          </w:p>
        </w:tc>
        <w:tc>
          <w:tcPr>
            <w:tcW w:w="4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80"/>
              <w:spacing w:after="0"/>
              <w:rPr>
                <w:sz w:val="20"/>
                <w:szCs w:val="20"/>
                <w:color w:val="auto"/>
              </w:rPr>
            </w:pPr>
            <w:r>
              <w:rPr>
                <w:rFonts w:ascii="Arial" w:cs="Arial" w:eastAsia="Arial" w:hAnsi="Arial"/>
                <w:sz w:val="16"/>
                <w:szCs w:val="16"/>
                <w:color w:val="auto"/>
                <w:w w:val="93"/>
              </w:rPr>
              <w:t>December 31,</w:t>
            </w:r>
          </w:p>
        </w:tc>
      </w:tr>
      <w:tr>
        <w:trPr>
          <w:trHeight w:val="205"/>
        </w:trPr>
        <w:tc>
          <w:tcPr>
            <w:tcW w:w="57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 thousands)</w:t>
            </w:r>
          </w:p>
        </w:tc>
        <w:tc>
          <w:tcPr>
            <w:tcW w:w="2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80"/>
              <w:spacing w:after="0"/>
              <w:rPr>
                <w:sz w:val="20"/>
                <w:szCs w:val="20"/>
                <w:color w:val="auto"/>
              </w:rPr>
            </w:pPr>
            <w:r>
              <w:rPr>
                <w:rFonts w:ascii="Arial" w:cs="Arial" w:eastAsia="Arial" w:hAnsi="Arial"/>
                <w:sz w:val="16"/>
                <w:szCs w:val="16"/>
                <w:color w:val="auto"/>
              </w:rPr>
              <w:t>2021</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2020</w:t>
            </w:r>
          </w:p>
        </w:tc>
      </w:tr>
      <w:tr>
        <w:trPr>
          <w:trHeight w:val="197"/>
        </w:trPr>
        <w:tc>
          <w:tcPr>
            <w:tcW w:w="5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Customer receivables</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95,773</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85,274</w:t>
            </w:r>
          </w:p>
        </w:tc>
      </w:tr>
      <w:tr>
        <w:trPr>
          <w:trHeight w:val="205"/>
        </w:trPr>
        <w:tc>
          <w:tcPr>
            <w:tcW w:w="57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Other receivables</w:t>
            </w:r>
          </w:p>
        </w:tc>
        <w:tc>
          <w:tcPr>
            <w:tcW w:w="2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3,984</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3,850</w:t>
            </w:r>
          </w:p>
        </w:tc>
      </w:tr>
      <w:tr>
        <w:trPr>
          <w:trHeight w:val="197"/>
        </w:trPr>
        <w:tc>
          <w:tcPr>
            <w:tcW w:w="57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Total accounts and other receivables</w:t>
            </w:r>
          </w:p>
        </w:tc>
        <w:tc>
          <w:tcPr>
            <w:tcW w:w="2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99,757</w:t>
            </w: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89,124</w:t>
            </w:r>
          </w:p>
        </w:tc>
      </w:tr>
      <w:tr>
        <w:trPr>
          <w:trHeight w:val="205"/>
        </w:trPr>
        <w:tc>
          <w:tcPr>
            <w:tcW w:w="57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Less: Allowance for bad debts and sales returns</w:t>
            </w:r>
          </w:p>
        </w:tc>
        <w:tc>
          <w:tcPr>
            <w:tcW w:w="2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(2,572)</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(2,797)</w:t>
            </w:r>
          </w:p>
        </w:tc>
      </w:tr>
      <w:tr>
        <w:trPr>
          <w:trHeight w:val="201"/>
        </w:trPr>
        <w:tc>
          <w:tcPr>
            <w:tcW w:w="57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Total accounts and other receivables, net</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97,185</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86,327</w:t>
            </w:r>
          </w:p>
        </w:tc>
      </w:tr>
    </w:tbl>
    <w:p>
      <w:pPr>
        <w:spacing w:after="0" w:line="144" w:lineRule="exact"/>
        <w:rPr>
          <w:sz w:val="20"/>
          <w:szCs w:val="20"/>
          <w:color w:val="auto"/>
        </w:rPr>
      </w:pPr>
    </w:p>
    <w:p>
      <w:pPr>
        <w:ind w:right="60" w:firstLine="362"/>
        <w:spacing w:after="0" w:line="304" w:lineRule="auto"/>
        <w:rPr>
          <w:sz w:val="20"/>
          <w:szCs w:val="20"/>
          <w:color w:val="auto"/>
        </w:rPr>
      </w:pPr>
      <w:r>
        <w:rPr>
          <w:rFonts w:ascii="Arial" w:cs="Arial" w:eastAsia="Arial" w:hAnsi="Arial"/>
          <w:sz w:val="14"/>
          <w:szCs w:val="14"/>
          <w:color w:val="auto"/>
        </w:rPr>
        <w:t>As of September 30, 2021, other receivables include $1.5 million related to a one-time tax credit in Brazil for unemployment/social security insurance non-income taxes ("PIS/COFINS") that is available and expected to be applied to future required Brazilian federal tax payments in 2021. In May 2021, the Brazil Supreme Court ruled in a leading case related to the amount of Brazilian value-added tax to exclude from the calculation of PIS/COFINS. As a result, in the second quarter of 2021, the Company recorded a pre-tax gain of $8.5 million for certain excess PIS/COFINS paid from 2003 to 2021, that included applicable interest, which the Company expects to apply to future required Brazilian federal tax payments. The pretax gain was recorded in “Other income (expense), net” in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sectPr>
      </w:pPr>
    </w:p>
    <w:bookmarkStart w:id="23" w:name="page24"/>
    <w:bookmarkEnd w:id="23"/>
    <w:p>
      <w:pPr>
        <w:spacing w:after="0"/>
        <w:tabs>
          <w:tab w:leader="none" w:pos="62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93" w:lineRule="exact"/>
        <w:rPr>
          <w:sz w:val="20"/>
          <w:szCs w:val="20"/>
          <w:color w:val="auto"/>
        </w:rPr>
      </w:pPr>
    </w:p>
    <w:p>
      <w:pPr>
        <w:ind w:left="4260"/>
        <w:spacing w:after="0"/>
        <w:rPr>
          <w:sz w:val="20"/>
          <w:szCs w:val="20"/>
          <w:color w:val="auto"/>
        </w:rPr>
      </w:pPr>
      <w:r>
        <w:rPr>
          <w:rFonts w:ascii="Arial" w:cs="Arial" w:eastAsia="Arial" w:hAnsi="Arial"/>
          <w:sz w:val="16"/>
          <w:szCs w:val="16"/>
          <w:b w:val="1"/>
          <w:bCs w:val="1"/>
          <w:u w:val="single" w:color="auto"/>
          <w:color w:val="auto"/>
        </w:rPr>
        <w:t>Forward-looking and Cautionary Statements</w:t>
      </w:r>
    </w:p>
    <w:p>
      <w:pPr>
        <w:spacing w:after="0" w:line="85" w:lineRule="exact"/>
        <w:rPr>
          <w:sz w:val="20"/>
          <w:szCs w:val="20"/>
          <w:color w:val="auto"/>
        </w:rPr>
      </w:pPr>
    </w:p>
    <w:p>
      <w:pPr>
        <w:ind w:firstLine="362"/>
        <w:spacing w:after="0" w:line="295" w:lineRule="auto"/>
        <w:rPr>
          <w:sz w:val="20"/>
          <w:szCs w:val="20"/>
          <w:color w:val="auto"/>
        </w:rPr>
      </w:pPr>
      <w:r>
        <w:rPr>
          <w:rFonts w:ascii="Arial" w:cs="Arial" w:eastAsia="Arial" w:hAnsi="Arial"/>
          <w:sz w:val="14"/>
          <w:szCs w:val="14"/>
          <w:color w:val="auto"/>
        </w:rPr>
        <w:t>Some of the information contained in this Quarterly Report on Form 10-Q ("Form 10-Q") may constitute “forward-looking statements” within the meaning of the “safe harbor” provisions of the Private Securities Litigation Reform Act of 1995. When the Company uses the words “believe,” “estimate,” “anticipate,” “appear to,” “expect,” “project,” “plan,” “likely,” “may” and similar expressions, it does so to identify forward-looking statements. Such statements are based on the Company's then current expectations and are subject to a number of risks and uncertainties that could cause actual results to differ materially from those addressed in the forward-looking statements. It is possible that the Company's actual results and financial condition may differ, possibly materially, from the anticipated results and financial condition indicated in or implied by these forward-looking statements. In addition, the Company's current projections for its businesses could be materially affected by the highly uncertain impact of the coronavirus ("COVID-19") pandemic. As a consequence, the Company's results could differ significantly from its projections, depending on, among other things, the ultimate impact of the pandemic on employees, supply chains, customers and the U.S. and world economies. Accordingly, you should not place undue reliance on these forward-looking statements. Factors that could cause actual results to differ from expectations include, without limitation, the following:</w:t>
      </w:r>
    </w:p>
    <w:p>
      <w:pPr>
        <w:spacing w:after="0" w:line="41" w:lineRule="exact"/>
        <w:rPr>
          <w:sz w:val="20"/>
          <w:szCs w:val="20"/>
          <w:color w:val="auto"/>
        </w:rPr>
      </w:pPr>
    </w:p>
    <w:p>
      <w:pPr>
        <w:ind w:left="580" w:hanging="29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loss or gain of sales to significant customers on which the Company's business is highly dependent;</w:t>
      </w:r>
    </w:p>
    <w:p>
      <w:pPr>
        <w:spacing w:after="0" w:line="93" w:lineRule="exact"/>
        <w:rPr>
          <w:rFonts w:ascii="Arial" w:cs="Arial" w:eastAsia="Arial" w:hAnsi="Arial"/>
          <w:sz w:val="16"/>
          <w:szCs w:val="16"/>
          <w:color w:val="auto"/>
        </w:rPr>
      </w:pPr>
    </w:p>
    <w:p>
      <w:pPr>
        <w:ind w:left="580" w:hanging="29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inability to achieve sales to new customers to replace lost business;</w:t>
      </w:r>
    </w:p>
    <w:p>
      <w:pPr>
        <w:spacing w:after="0" w:line="81" w:lineRule="exact"/>
        <w:rPr>
          <w:rFonts w:ascii="Arial" w:cs="Arial" w:eastAsia="Arial" w:hAnsi="Arial"/>
          <w:sz w:val="16"/>
          <w:szCs w:val="16"/>
          <w:color w:val="auto"/>
        </w:rPr>
      </w:pPr>
    </w:p>
    <w:p>
      <w:pPr>
        <w:ind w:left="580" w:hanging="29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inability to develop, efficiently manufacture and deliver new products at competitive prices;</w:t>
      </w:r>
    </w:p>
    <w:p>
      <w:pPr>
        <w:spacing w:after="0" w:line="93" w:lineRule="exact"/>
        <w:rPr>
          <w:rFonts w:ascii="Arial" w:cs="Arial" w:eastAsia="Arial" w:hAnsi="Arial"/>
          <w:sz w:val="16"/>
          <w:szCs w:val="16"/>
          <w:color w:val="auto"/>
        </w:rPr>
      </w:pPr>
    </w:p>
    <w:p>
      <w:pPr>
        <w:ind w:left="580" w:hanging="29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failure of the Company's customers to achieve success or maintain market share;</w:t>
      </w:r>
    </w:p>
    <w:p>
      <w:pPr>
        <w:spacing w:after="0" w:line="93" w:lineRule="exact"/>
        <w:rPr>
          <w:rFonts w:ascii="Arial" w:cs="Arial" w:eastAsia="Arial" w:hAnsi="Arial"/>
          <w:sz w:val="16"/>
          <w:szCs w:val="16"/>
          <w:color w:val="auto"/>
        </w:rPr>
      </w:pPr>
    </w:p>
    <w:p>
      <w:pPr>
        <w:ind w:left="580" w:hanging="29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failure to protect our intellectual property rights;</w:t>
      </w:r>
    </w:p>
    <w:p>
      <w:pPr>
        <w:spacing w:after="0" w:line="81" w:lineRule="exact"/>
        <w:rPr>
          <w:rFonts w:ascii="Arial" w:cs="Arial" w:eastAsia="Arial" w:hAnsi="Arial"/>
          <w:sz w:val="16"/>
          <w:szCs w:val="16"/>
          <w:color w:val="auto"/>
        </w:rPr>
      </w:pPr>
    </w:p>
    <w:p>
      <w:pPr>
        <w:ind w:left="580" w:hanging="29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risks of doing business in countries outside the U.S. that affect our international operations;</w:t>
      </w:r>
    </w:p>
    <w:p>
      <w:pPr>
        <w:spacing w:after="0" w:line="93" w:lineRule="exact"/>
        <w:rPr>
          <w:rFonts w:ascii="Arial" w:cs="Arial" w:eastAsia="Arial" w:hAnsi="Arial"/>
          <w:sz w:val="16"/>
          <w:szCs w:val="16"/>
          <w:color w:val="auto"/>
        </w:rPr>
      </w:pPr>
    </w:p>
    <w:p>
      <w:pPr>
        <w:ind w:left="580" w:hanging="29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political, economic, and regulatory factors concerning the Company's products;</w:t>
      </w:r>
    </w:p>
    <w:p>
      <w:pPr>
        <w:spacing w:after="0" w:line="93" w:lineRule="exact"/>
        <w:rPr>
          <w:rFonts w:ascii="Arial" w:cs="Arial" w:eastAsia="Arial" w:hAnsi="Arial"/>
          <w:sz w:val="16"/>
          <w:szCs w:val="16"/>
          <w:color w:val="auto"/>
        </w:rPr>
      </w:pPr>
    </w:p>
    <w:p>
      <w:pPr>
        <w:ind w:left="580" w:hanging="29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uncertain economic conditions in countries in which the Company does business;</w:t>
      </w:r>
    </w:p>
    <w:p>
      <w:pPr>
        <w:spacing w:after="0" w:line="81" w:lineRule="exact"/>
        <w:rPr>
          <w:rFonts w:ascii="Arial" w:cs="Arial" w:eastAsia="Arial" w:hAnsi="Arial"/>
          <w:sz w:val="16"/>
          <w:szCs w:val="16"/>
          <w:color w:val="auto"/>
        </w:rPr>
      </w:pPr>
    </w:p>
    <w:p>
      <w:pPr>
        <w:ind w:left="580" w:hanging="29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competition from other manufacturers, including manufacturers in lower-cost countries and manufacturers benefiting from government subsidies;</w:t>
      </w:r>
    </w:p>
    <w:p>
      <w:pPr>
        <w:spacing w:after="0" w:line="93" w:lineRule="exact"/>
        <w:rPr>
          <w:rFonts w:ascii="Arial" w:cs="Arial" w:eastAsia="Arial" w:hAnsi="Arial"/>
          <w:sz w:val="16"/>
          <w:szCs w:val="16"/>
          <w:color w:val="auto"/>
        </w:rPr>
      </w:pPr>
    </w:p>
    <w:p>
      <w:pPr>
        <w:ind w:left="580" w:hanging="29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impact of fluctuations in foreign exchange rates;</w:t>
      </w:r>
    </w:p>
    <w:p>
      <w:pPr>
        <w:spacing w:after="0" w:line="93" w:lineRule="exact"/>
        <w:rPr>
          <w:rFonts w:ascii="Arial" w:cs="Arial" w:eastAsia="Arial" w:hAnsi="Arial"/>
          <w:sz w:val="16"/>
          <w:szCs w:val="16"/>
          <w:color w:val="auto"/>
        </w:rPr>
      </w:pPr>
    </w:p>
    <w:p>
      <w:pPr>
        <w:ind w:left="580" w:hanging="29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change in the amount of the Company's underfunded defined benefit pension plan liability;</w:t>
      </w:r>
    </w:p>
    <w:p>
      <w:pPr>
        <w:spacing w:after="0" w:line="81" w:lineRule="exact"/>
        <w:rPr>
          <w:rFonts w:ascii="Arial" w:cs="Arial" w:eastAsia="Arial" w:hAnsi="Arial"/>
          <w:sz w:val="16"/>
          <w:szCs w:val="16"/>
          <w:color w:val="auto"/>
        </w:rPr>
      </w:pPr>
    </w:p>
    <w:p>
      <w:pPr>
        <w:ind w:left="580" w:hanging="29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increase in the operating costs incurred by the Company's business units, including, for example, the cost of raw materials and energy;</w:t>
      </w:r>
    </w:p>
    <w:p>
      <w:pPr>
        <w:spacing w:after="0" w:line="93" w:lineRule="exact"/>
        <w:rPr>
          <w:rFonts w:ascii="Arial" w:cs="Arial" w:eastAsia="Arial" w:hAnsi="Arial"/>
          <w:sz w:val="16"/>
          <w:szCs w:val="16"/>
          <w:color w:val="auto"/>
        </w:rPr>
      </w:pPr>
    </w:p>
    <w:p>
      <w:pPr>
        <w:ind w:left="580" w:right="600" w:hanging="294"/>
        <w:spacing w:after="0" w:line="279" w:lineRule="auto"/>
        <w:tabs>
          <w:tab w:leader="none" w:pos="576"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inability to successfully identify, complete or integrate strategic acquisitions; failure to realize the expected benefits of such acquisitions and assumption of unanticipated risks in such acquisitions;</w:t>
      </w:r>
    </w:p>
    <w:p>
      <w:pPr>
        <w:spacing w:after="0" w:line="42" w:lineRule="exact"/>
        <w:rPr>
          <w:rFonts w:ascii="Arial" w:cs="Arial" w:eastAsia="Arial" w:hAnsi="Arial"/>
          <w:sz w:val="16"/>
          <w:szCs w:val="16"/>
          <w:color w:val="auto"/>
        </w:rPr>
      </w:pPr>
    </w:p>
    <w:p>
      <w:pPr>
        <w:ind w:left="580" w:hanging="29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disruptions to the Company's manufacturing facilities, including those resulting from labor shortages;</w:t>
      </w:r>
    </w:p>
    <w:p>
      <w:pPr>
        <w:spacing w:after="0" w:line="81" w:lineRule="exact"/>
        <w:rPr>
          <w:rFonts w:ascii="Arial" w:cs="Arial" w:eastAsia="Arial" w:hAnsi="Arial"/>
          <w:sz w:val="16"/>
          <w:szCs w:val="16"/>
          <w:color w:val="auto"/>
        </w:rPr>
      </w:pPr>
    </w:p>
    <w:p>
      <w:pPr>
        <w:ind w:left="580" w:hanging="29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impact of public health epidemics on employees, production and the global economy, such as the COVID-19 pandemic;</w:t>
      </w:r>
    </w:p>
    <w:p>
      <w:pPr>
        <w:spacing w:after="0" w:line="93" w:lineRule="exact"/>
        <w:rPr>
          <w:rFonts w:ascii="Arial" w:cs="Arial" w:eastAsia="Arial" w:hAnsi="Arial"/>
          <w:sz w:val="16"/>
          <w:szCs w:val="16"/>
          <w:color w:val="auto"/>
        </w:rPr>
      </w:pPr>
    </w:p>
    <w:p>
      <w:pPr>
        <w:ind w:left="580" w:hanging="29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information technology system failure or breach;</w:t>
      </w:r>
    </w:p>
    <w:p>
      <w:pPr>
        <w:spacing w:after="0" w:line="81" w:lineRule="exact"/>
        <w:rPr>
          <w:rFonts w:ascii="Arial" w:cs="Arial" w:eastAsia="Arial" w:hAnsi="Arial"/>
          <w:sz w:val="16"/>
          <w:szCs w:val="16"/>
          <w:color w:val="auto"/>
        </w:rPr>
      </w:pPr>
    </w:p>
    <w:p>
      <w:pPr>
        <w:ind w:left="580" w:hanging="29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volatility and uncertainty of the valuation of the Company's investment in kaleo, Inc. ("kaléo");</w:t>
      </w:r>
    </w:p>
    <w:p>
      <w:pPr>
        <w:spacing w:after="0" w:line="93" w:lineRule="exact"/>
        <w:rPr>
          <w:rFonts w:ascii="Arial" w:cs="Arial" w:eastAsia="Arial" w:hAnsi="Arial"/>
          <w:sz w:val="16"/>
          <w:szCs w:val="16"/>
          <w:color w:val="auto"/>
        </w:rPr>
      </w:pPr>
    </w:p>
    <w:p>
      <w:pPr>
        <w:ind w:left="580" w:hanging="29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impact of the imposition of tariffs and sanctions on imported aluminum ingot used by Bonnell Aluminum;</w:t>
      </w:r>
    </w:p>
    <w:p>
      <w:pPr>
        <w:spacing w:after="0" w:line="93" w:lineRule="exact"/>
        <w:rPr>
          <w:rFonts w:ascii="Arial" w:cs="Arial" w:eastAsia="Arial" w:hAnsi="Arial"/>
          <w:sz w:val="16"/>
          <w:szCs w:val="16"/>
          <w:color w:val="auto"/>
        </w:rPr>
      </w:pPr>
    </w:p>
    <w:p>
      <w:pPr>
        <w:ind w:left="580" w:hanging="29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impact of new tariffs, duties or other trade restrictions imposed as a result of rising trade tensions between the U.S. and other countries;</w:t>
      </w:r>
    </w:p>
    <w:p>
      <w:pPr>
        <w:spacing w:after="0" w:line="81" w:lineRule="exact"/>
        <w:rPr>
          <w:rFonts w:ascii="Arial" w:cs="Arial" w:eastAsia="Arial" w:hAnsi="Arial"/>
          <w:sz w:val="16"/>
          <w:szCs w:val="16"/>
          <w:color w:val="auto"/>
        </w:rPr>
      </w:pPr>
    </w:p>
    <w:p>
      <w:pPr>
        <w:ind w:left="580" w:hanging="29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termination of anti-dumping duties on products imported to Brazil that compete with products produced by Flexible Packaging;</w:t>
      </w:r>
    </w:p>
    <w:p>
      <w:pPr>
        <w:spacing w:after="0" w:line="93" w:lineRule="exact"/>
        <w:rPr>
          <w:rFonts w:ascii="Arial" w:cs="Arial" w:eastAsia="Arial" w:hAnsi="Arial"/>
          <w:sz w:val="16"/>
          <w:szCs w:val="16"/>
          <w:color w:val="auto"/>
        </w:rPr>
      </w:pPr>
    </w:p>
    <w:p>
      <w:pPr>
        <w:ind w:left="580" w:hanging="29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failure to establish and maintain effective internal control over financial reporting;</w:t>
      </w:r>
    </w:p>
    <w:p>
      <w:pPr>
        <w:spacing w:after="0" w:line="93" w:lineRule="exact"/>
        <w:rPr>
          <w:sz w:val="20"/>
          <w:szCs w:val="20"/>
          <w:color w:val="auto"/>
        </w:rPr>
      </w:pPr>
    </w:p>
    <w:p>
      <w:pPr>
        <w:jc w:val="both"/>
        <w:ind w:right="60"/>
        <w:spacing w:after="0" w:line="265" w:lineRule="auto"/>
        <w:rPr>
          <w:sz w:val="20"/>
          <w:szCs w:val="20"/>
          <w:color w:val="auto"/>
        </w:rPr>
      </w:pPr>
      <w:r>
        <w:rPr>
          <w:rFonts w:ascii="Arial" w:cs="Arial" w:eastAsia="Arial" w:hAnsi="Arial"/>
          <w:sz w:val="16"/>
          <w:szCs w:val="16"/>
          <w:color w:val="auto"/>
        </w:rPr>
        <w:t>and the other factors discussed in the reports Tredegar files with or furnishes to the Securities and Exchange Commission (the “SEC”) from time to time, including the risks and important factors set forth in additional detail in Part I, Item 1A of Tredegar’s Annual Report on Form 10-K for the year ended December 31, 2020 (the “2020 Form 10-K”). Readers are urged to review and consider carefully the disclosures Tredegar makes in its filings with the SEC.</w:t>
      </w: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140"/>
          </w:cols>
          <w:pgMar w:left="320" w:top="1028" w:right="439" w:bottom="1440" w:gutter="0" w:footer="0" w:header="0"/>
        </w:sectPr>
      </w:pPr>
    </w:p>
    <w:bookmarkStart w:id="24" w:name="page25"/>
    <w:bookmarkEnd w:id="24"/>
    <w:p>
      <w:pPr>
        <w:ind w:right="360" w:firstLine="362"/>
        <w:spacing w:after="0" w:line="279" w:lineRule="auto"/>
        <w:rPr>
          <w:sz w:val="20"/>
          <w:szCs w:val="20"/>
          <w:color w:val="auto"/>
        </w:rPr>
      </w:pPr>
      <w:r>
        <w:rPr>
          <w:rFonts w:ascii="Arial" w:cs="Arial" w:eastAsia="Arial" w:hAnsi="Arial"/>
          <w:sz w:val="16"/>
          <w:szCs w:val="16"/>
          <w:color w:val="auto"/>
        </w:rPr>
        <w:t>Tredegar does not undertake, and expressly disclaims any duty, to update any forward-looking statement to reflect any change in management’s expectations or any change in conditions, assumptions or circumstances on which such statements are based, except as required by applicable law.</w:t>
      </w:r>
    </w:p>
    <w:p>
      <w:pPr>
        <w:spacing w:after="0" w:line="31" w:lineRule="exact"/>
        <w:rPr>
          <w:sz w:val="20"/>
          <w:szCs w:val="20"/>
          <w:color w:val="auto"/>
        </w:rPr>
      </w:pPr>
    </w:p>
    <w:p>
      <w:pPr>
        <w:ind w:right="480" w:firstLine="362"/>
        <w:spacing w:after="0" w:line="279" w:lineRule="auto"/>
        <w:rPr>
          <w:sz w:val="20"/>
          <w:szCs w:val="20"/>
          <w:color w:val="auto"/>
        </w:rPr>
      </w:pPr>
      <w:r>
        <w:rPr>
          <w:rFonts w:ascii="Arial" w:cs="Arial" w:eastAsia="Arial" w:hAnsi="Arial"/>
          <w:sz w:val="16"/>
          <w:szCs w:val="16"/>
          <w:color w:val="auto"/>
        </w:rPr>
        <w:t>References herein to “Tredegar,” “the Company,” “we,” “us” and “our” are to Tredegar Corporation and its subsidiaries, collectively, unless the context otherwise indicates or requires.</w:t>
      </w:r>
    </w:p>
    <w:p>
      <w:pPr>
        <w:spacing w:after="0" w:line="43" w:lineRule="exact"/>
        <w:rPr>
          <w:sz w:val="20"/>
          <w:szCs w:val="20"/>
          <w:color w:val="auto"/>
        </w:rPr>
      </w:pPr>
    </w:p>
    <w:p>
      <w:pPr>
        <w:ind w:right="240" w:firstLine="362"/>
        <w:spacing w:after="0" w:line="279" w:lineRule="auto"/>
        <w:rPr>
          <w:sz w:val="20"/>
          <w:szCs w:val="20"/>
          <w:color w:val="auto"/>
        </w:rPr>
      </w:pPr>
      <w:r>
        <w:rPr>
          <w:rFonts w:ascii="Arial" w:cs="Arial" w:eastAsia="Arial" w:hAnsi="Arial"/>
          <w:sz w:val="16"/>
          <w:szCs w:val="16"/>
          <w:color w:val="auto"/>
        </w:rPr>
        <w:t>Unless otherwise stated or indicated, all comparisons are to the prior year period. References to "Notes" are to notes to our consolidated financial statements found in Part I, Item 1 of this Form 10-Q.</w:t>
      </w:r>
    </w:p>
    <w:p>
      <w:pPr>
        <w:spacing w:after="0" w:line="39"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u w:val="single" w:color="auto"/>
          <w:color w:val="auto"/>
        </w:rPr>
        <w:t>Executive Summary</w:t>
      </w:r>
    </w:p>
    <w:p>
      <w:pPr>
        <w:spacing w:after="0" w:line="85" w:lineRule="exact"/>
        <w:rPr>
          <w:sz w:val="20"/>
          <w:szCs w:val="20"/>
          <w:color w:val="auto"/>
        </w:rPr>
      </w:pPr>
    </w:p>
    <w:p>
      <w:pPr>
        <w:ind w:right="420" w:firstLine="362"/>
        <w:spacing w:after="0" w:line="309" w:lineRule="auto"/>
        <w:rPr>
          <w:sz w:val="20"/>
          <w:szCs w:val="20"/>
          <w:color w:val="auto"/>
        </w:rPr>
      </w:pPr>
      <w:r>
        <w:rPr>
          <w:rFonts w:ascii="Arial" w:cs="Arial" w:eastAsia="Arial" w:hAnsi="Arial"/>
          <w:sz w:val="14"/>
          <w:szCs w:val="14"/>
          <w:color w:val="auto"/>
        </w:rPr>
        <w:t>Tredegar Corporation is an industrial manufacturer with three primary businesses: custom aluminum extrusions for the North American building &amp; construction, automotive and specialty end-use markets through its Aluminum Extrusions segment; surface protection films for high-technology applications in the global electronics industry through its PE Films segment; and specialized polyester films primarily for the Latin American flexible packaging market through its Flexible Packaging Films segment. With approximately 2,400 employees, the Company operates manufacturing facilities in North America, South America, and Asia.</w:t>
      </w:r>
    </w:p>
    <w:p>
      <w:pPr>
        <w:spacing w:after="0" w:line="27" w:lineRule="exact"/>
        <w:rPr>
          <w:sz w:val="20"/>
          <w:szCs w:val="20"/>
          <w:color w:val="auto"/>
        </w:rPr>
      </w:pPr>
    </w:p>
    <w:p>
      <w:pPr>
        <w:ind w:right="120" w:firstLine="362"/>
        <w:spacing w:after="0" w:line="291" w:lineRule="auto"/>
        <w:rPr>
          <w:sz w:val="20"/>
          <w:szCs w:val="20"/>
          <w:color w:val="auto"/>
        </w:rPr>
      </w:pPr>
      <w:r>
        <w:rPr>
          <w:rFonts w:ascii="Arial" w:cs="Arial" w:eastAsia="Arial" w:hAnsi="Arial"/>
          <w:sz w:val="15"/>
          <w:szCs w:val="15"/>
          <w:color w:val="auto"/>
        </w:rPr>
        <w:t>On October 30, 2020, the Company completed the sale of its personal care films business (“Personal Care Films”), which was part of its PE Films segment. The transaction excluded the packaging film lines and related operations located at the Pottsville, Pennsylvania manufacturing site ("Pottsville Packaging"), which are now being reported within the Surface Protection component of PE Films. All historical results for Personal Care Films have been presented as discontinued operations.</w:t>
      </w:r>
    </w:p>
    <w:p>
      <w:pPr>
        <w:spacing w:after="0" w:line="36" w:lineRule="exact"/>
        <w:rPr>
          <w:sz w:val="20"/>
          <w:szCs w:val="20"/>
          <w:color w:val="auto"/>
        </w:rPr>
      </w:pPr>
    </w:p>
    <w:p>
      <w:pPr>
        <w:ind w:right="240" w:firstLine="362"/>
        <w:spacing w:after="0" w:line="265" w:lineRule="auto"/>
        <w:rPr>
          <w:sz w:val="20"/>
          <w:szCs w:val="20"/>
          <w:color w:val="auto"/>
        </w:rPr>
      </w:pPr>
      <w:r>
        <w:rPr>
          <w:rFonts w:ascii="Arial" w:cs="Arial" w:eastAsia="Arial" w:hAnsi="Arial"/>
          <w:sz w:val="16"/>
          <w:szCs w:val="16"/>
          <w:color w:val="auto"/>
        </w:rPr>
        <w:t>On December 31, 2020, the Company completed the sale of Bright View Technologies, which was part of its PE Films segment. The sale did not represent a strategic shift nor did it have a major effect on the Company's historical and ongoing operations, thus all financial information for Bright View Technologies has been presented in continuing operations.</w:t>
      </w:r>
    </w:p>
    <w:p>
      <w:pPr>
        <w:spacing w:after="0" w:line="42" w:lineRule="exact"/>
        <w:rPr>
          <w:sz w:val="20"/>
          <w:szCs w:val="20"/>
          <w:color w:val="auto"/>
        </w:rPr>
      </w:pPr>
    </w:p>
    <w:p>
      <w:pPr>
        <w:ind w:firstLine="362"/>
        <w:spacing w:after="0" w:line="279" w:lineRule="auto"/>
        <w:rPr>
          <w:sz w:val="20"/>
          <w:szCs w:val="20"/>
          <w:color w:val="auto"/>
        </w:rPr>
      </w:pPr>
      <w:r>
        <w:rPr>
          <w:rFonts w:ascii="Arial" w:cs="Arial" w:eastAsia="Arial" w:hAnsi="Arial"/>
          <w:sz w:val="16"/>
          <w:szCs w:val="16"/>
          <w:color w:val="auto"/>
        </w:rPr>
        <w:t>Third quarter 2021 net income from continuing operations was $6.2 million ($0.19 per diluted share) compared with net loss from continuing operations of $17.0 million ($0.51 per diluted share) in the third quarter of 2020.</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Third quarter 2021 results include:</w:t>
      </w:r>
    </w:p>
    <w:p>
      <w:pPr>
        <w:spacing w:after="0" w:line="93" w:lineRule="exact"/>
        <w:rPr>
          <w:sz w:val="20"/>
          <w:szCs w:val="20"/>
          <w:color w:val="auto"/>
        </w:rPr>
      </w:pPr>
    </w:p>
    <w:p>
      <w:pPr>
        <w:ind w:left="580" w:right="200" w:hanging="222"/>
        <w:spacing w:after="0" w:line="279" w:lineRule="auto"/>
        <w:tabs>
          <w:tab w:leader="none" w:pos="576"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after-tax gain on the Company’s investment in kaléo of $0.2 million ($0.01 per share), which is accounted for under the fair value method (see Note 7 for more details).</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Third quarter 2020 results include:</w:t>
      </w:r>
    </w:p>
    <w:p>
      <w:pPr>
        <w:spacing w:after="0" w:line="93" w:lineRule="exact"/>
        <w:rPr>
          <w:sz w:val="20"/>
          <w:szCs w:val="20"/>
          <w:color w:val="auto"/>
        </w:rPr>
      </w:pPr>
    </w:p>
    <w:p>
      <w:pPr>
        <w:ind w:left="360"/>
        <w:spacing w:after="0"/>
        <w:tabs>
          <w:tab w:leader="none" w:pos="5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An after-tax loss on the Company’s investment in kaléo of $28.2 million ($0.84 per diluted share).</w:t>
      </w:r>
    </w:p>
    <w:p>
      <w:pPr>
        <w:spacing w:after="0" w:line="93" w:lineRule="exact"/>
        <w:rPr>
          <w:sz w:val="20"/>
          <w:szCs w:val="20"/>
          <w:color w:val="auto"/>
        </w:rPr>
      </w:pPr>
    </w:p>
    <w:p>
      <w:pPr>
        <w:ind w:right="80" w:firstLine="362"/>
        <w:spacing w:after="0" w:line="257" w:lineRule="auto"/>
        <w:rPr>
          <w:sz w:val="20"/>
          <w:szCs w:val="20"/>
          <w:color w:val="auto"/>
        </w:rPr>
      </w:pPr>
      <w:r>
        <w:rPr>
          <w:rFonts w:ascii="Arial" w:cs="Arial" w:eastAsia="Arial" w:hAnsi="Arial"/>
          <w:sz w:val="16"/>
          <w:szCs w:val="16"/>
          <w:color w:val="auto"/>
        </w:rPr>
        <w:t xml:space="preserve">Other losses related to asset impairments and costs associated with exit and disposal activities for continuing operations were not material for the three and nine months ended September 30, 2021 and 2020, respectively. Gains and losses associated with plant shutdowns, asset impairments, restructurings and other items are described in </w:t>
      </w:r>
      <w:r>
        <w:rPr>
          <w:rFonts w:ascii="Arial" w:cs="Arial" w:eastAsia="Arial" w:hAnsi="Arial"/>
          <w:sz w:val="16"/>
          <w:szCs w:val="16"/>
          <w:b w:val="1"/>
          <w:bCs w:val="1"/>
          <w:i w:val="1"/>
          <w:iCs w:val="1"/>
          <w:color w:val="auto"/>
        </w:rPr>
        <w:t>Results of Operations</w:t>
      </w:r>
      <w:r>
        <w:rPr>
          <w:rFonts w:ascii="Arial" w:cs="Arial" w:eastAsia="Arial" w:hAnsi="Arial"/>
          <w:sz w:val="16"/>
          <w:szCs w:val="16"/>
          <w:color w:val="auto"/>
        </w:rPr>
        <w:t>. Earnings before interest, taxes, depreciation and amortization (“EBITDA”) from ongoing operations is the measure of profit and loss used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Tredegar’s chief operating decision maker ("CODM") for purposes of assessing financial performance. The Company uses sales less freight (“net sales”) from continuing operations as its measure of revenues from external customers at the segment level. This measure is separately included in the financial information regularly provided to the CODM.</w:t>
      </w:r>
    </w:p>
    <w:p>
      <w:pPr>
        <w:spacing w:after="0" w:line="48" w:lineRule="exact"/>
        <w:rPr>
          <w:sz w:val="20"/>
          <w:szCs w:val="20"/>
          <w:color w:val="auto"/>
        </w:rPr>
      </w:pPr>
    </w:p>
    <w:p>
      <w:pPr>
        <w:ind w:firstLine="362"/>
        <w:spacing w:after="0" w:line="279" w:lineRule="auto"/>
        <w:rPr>
          <w:sz w:val="20"/>
          <w:szCs w:val="20"/>
          <w:color w:val="auto"/>
        </w:rPr>
      </w:pPr>
      <w:r>
        <w:rPr>
          <w:rFonts w:ascii="Arial" w:cs="Arial" w:eastAsia="Arial" w:hAnsi="Arial"/>
          <w:sz w:val="15"/>
          <w:szCs w:val="15"/>
          <w:color w:val="auto"/>
        </w:rPr>
        <w:t>Earnings before interest and taxes ("EBIT") from ongoing operations is a non-GAAP financial measure included in the reconciliation of segment financial information to consolidated results for the Company. It is not intended to represent the stand-alone results for Tredegar’s ongoing operations under generally accepted accounting standards in the United States ("GAAP") and should not be considered as an alternative to net income as defined by GAAP. We believe that EBIT is a widely understood and utilized metric that is meaningful to certain investors and that including this financial metric in the reconciliation of management’s performance metric, EBITDA from ongoing operations, provides useful information to those investors that primarily utilize EBIT to analyze the Company’s core operations.</w:t>
      </w:r>
    </w:p>
    <w:p>
      <w:pPr>
        <w:spacing w:after="0" w:line="43" w:lineRule="exact"/>
        <w:rPr>
          <w:sz w:val="20"/>
          <w:szCs w:val="20"/>
          <w:color w:val="auto"/>
        </w:rPr>
      </w:pPr>
    </w:p>
    <w:p>
      <w:pPr>
        <w:ind w:right="2580" w:firstLine="2952"/>
        <w:spacing w:after="0" w:line="356" w:lineRule="auto"/>
        <w:rPr>
          <w:sz w:val="20"/>
          <w:szCs w:val="20"/>
          <w:color w:val="auto"/>
        </w:rPr>
      </w:pPr>
      <w:r>
        <w:rPr>
          <w:rFonts w:ascii="Arial" w:cs="Arial" w:eastAsia="Arial" w:hAnsi="Arial"/>
          <w:sz w:val="16"/>
          <w:szCs w:val="16"/>
          <w:b w:val="1"/>
          <w:bCs w:val="1"/>
          <w:color w:val="auto"/>
        </w:rPr>
        <w:t xml:space="preserve">THE IMPACT OF COVID-19 AND RELATED FINANCIAL CONSIDERATIONS </w:t>
      </w:r>
      <w:r>
        <w:rPr>
          <w:rFonts w:ascii="Arial" w:cs="Arial" w:eastAsia="Arial" w:hAnsi="Arial"/>
          <w:sz w:val="16"/>
          <w:szCs w:val="16"/>
          <w:i w:val="1"/>
          <w:iCs w:val="1"/>
          <w:color w:val="auto"/>
        </w:rPr>
        <w:t>Essential Business and Employee Considerations</w:t>
      </w:r>
    </w:p>
    <w:p>
      <w:pPr>
        <w:spacing w:after="0" w:line="1" w:lineRule="exact"/>
        <w:rPr>
          <w:sz w:val="20"/>
          <w:szCs w:val="20"/>
          <w:color w:val="auto"/>
        </w:rPr>
      </w:pPr>
    </w:p>
    <w:p>
      <w:pPr>
        <w:ind w:firstLine="362"/>
        <w:spacing w:after="0" w:line="279" w:lineRule="auto"/>
        <w:rPr>
          <w:sz w:val="20"/>
          <w:szCs w:val="20"/>
          <w:color w:val="auto"/>
        </w:rPr>
      </w:pPr>
      <w:r>
        <w:rPr>
          <w:rFonts w:ascii="Arial" w:cs="Arial" w:eastAsia="Arial" w:hAnsi="Arial"/>
          <w:sz w:val="16"/>
          <w:szCs w:val="16"/>
          <w:color w:val="auto"/>
        </w:rPr>
        <w:t>The Company’s priorities during the COVID-19 pandemic continue to be to protect the health and safety of employees while keeping its manufacturing sites open due to the essential nature of many of its products. The Company has continued to manufacture the full range of products at its facilities.</w:t>
      </w:r>
    </w:p>
    <w:p>
      <w:pPr>
        <w:spacing w:after="0" w:line="43" w:lineRule="exact"/>
        <w:rPr>
          <w:sz w:val="20"/>
          <w:szCs w:val="20"/>
          <w:color w:val="auto"/>
        </w:rPr>
      </w:pPr>
    </w:p>
    <w:p>
      <w:pPr>
        <w:ind w:right="160" w:firstLine="362"/>
        <w:spacing w:after="0" w:line="291" w:lineRule="auto"/>
        <w:rPr>
          <w:sz w:val="20"/>
          <w:szCs w:val="20"/>
          <w:color w:val="auto"/>
        </w:rPr>
      </w:pPr>
      <w:r>
        <w:rPr>
          <w:rFonts w:ascii="Arial" w:cs="Arial" w:eastAsia="Arial" w:hAnsi="Arial"/>
          <w:sz w:val="15"/>
          <w:szCs w:val="15"/>
          <w:color w:val="auto"/>
        </w:rPr>
        <w:t>The Company’s protocols to protect the health and well-being of its employees from COVID-19 continue to evolve as the Centers for Disease Control ("CDC"), the Office of the Surgeon General and other state and local health departments learn more about the virus and its variants. Consistent with recommendations and mandates from government agencies and health authorities, the Company has implemented multiple layers of COVID-19 protections and interventions.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5" w:name="page26"/>
    <w:bookmarkEnd w:id="25"/>
    <w:p>
      <w:pPr>
        <w:jc w:val="both"/>
        <w:ind w:firstLine="362"/>
        <w:spacing w:after="0" w:line="309" w:lineRule="auto"/>
        <w:rPr>
          <w:sz w:val="20"/>
          <w:szCs w:val="20"/>
          <w:color w:val="auto"/>
        </w:rPr>
      </w:pPr>
      <w:r>
        <w:rPr>
          <w:rFonts w:ascii="Arial" w:cs="Arial" w:eastAsia="Arial" w:hAnsi="Arial"/>
          <w:sz w:val="14"/>
          <w:szCs w:val="14"/>
          <w:color w:val="auto"/>
        </w:rPr>
        <w:t>The Company has engaged in an education campaign that provides employees with the most accurate and up-to-date information related to COVID-19 vaccines and has offered different monetary and/or time-away-from-work incentives to encourage employees to get vaccinated. While the Company believes that these efforts have encouraged employees to be vaccinated, vaccination rates in its U.S. manufacturing sites vary widely, ranging from 23% to 78%, with most U.S. sites having vaccination rates above 50%. The Company will continue to monitor available information to assess safeguards that may be taken to try to prevent a COVID-19 outbreak in the workplace.</w:t>
      </w:r>
    </w:p>
    <w:p>
      <w:pPr>
        <w:spacing w:after="0" w:line="15" w:lineRule="exact"/>
        <w:rPr>
          <w:sz w:val="20"/>
          <w:szCs w:val="20"/>
          <w:color w:val="auto"/>
        </w:rPr>
      </w:pPr>
    </w:p>
    <w:p>
      <w:pPr>
        <w:ind w:firstLine="362"/>
        <w:spacing w:after="0" w:line="261" w:lineRule="auto"/>
        <w:rPr>
          <w:sz w:val="20"/>
          <w:szCs w:val="20"/>
          <w:color w:val="auto"/>
        </w:rPr>
      </w:pPr>
      <w:r>
        <w:rPr>
          <w:rFonts w:ascii="Arial" w:cs="Arial" w:eastAsia="Arial" w:hAnsi="Arial"/>
          <w:sz w:val="16"/>
          <w:szCs w:val="16"/>
          <w:color w:val="auto"/>
        </w:rPr>
        <w:t>Bonnell Aluminum continues to experience higher than normal absenteeism and hiring difficulties, which it attributes to COVID-19-related factors. While the average number of direct labor employees at Bonnell Aluminum facilities increased approximately 6% in the third quarter of 2021, compared with the abnormally low levels related to the pandemic in the second and third quarters of 2020, there continues to be a shortage of labor to meet existing demand and desired shipment levels. Moreover, onboarding new employees has resulted in higher hiring and training costs in 2021 versus last year.</w:t>
      </w:r>
    </w:p>
    <w:p>
      <w:pPr>
        <w:spacing w:after="0" w:line="56" w:lineRule="exact"/>
        <w:rPr>
          <w:sz w:val="20"/>
          <w:szCs w:val="20"/>
          <w:color w:val="auto"/>
        </w:rPr>
      </w:pPr>
    </w:p>
    <w:p>
      <w:pPr>
        <w:ind w:right="60" w:firstLine="362"/>
        <w:spacing w:after="0" w:line="257" w:lineRule="auto"/>
        <w:rPr>
          <w:sz w:val="20"/>
          <w:szCs w:val="20"/>
          <w:color w:val="auto"/>
        </w:rPr>
      </w:pPr>
      <w:r>
        <w:rPr>
          <w:rFonts w:ascii="Arial" w:cs="Arial" w:eastAsia="Arial" w:hAnsi="Arial"/>
          <w:sz w:val="16"/>
          <w:szCs w:val="16"/>
          <w:color w:val="auto"/>
        </w:rPr>
        <w:t>All three of the Company's business segments are managing through supply chain disruptions and escalating costs, including raw material cost increases, shortages, transportation cost increases and delays. To offset growing cost pressures, Bonnell Aluminum implemented its second selling price increase in 2021, which became effective April 26, 2021, and is preparing for an upcoming price increase effective January 3, 2022. In response to unprecedented cost increases and supply issues for polyethylene and polypropylene resin, PE Films implemented a quarterly resin cost pass-through mechanism, effective July 1, 2021, for all products and customers not previously covered by such arrangements. Terphane, the Company's flexible packaging business headquartered in Brazil, continues to monitor cost escalations to adjust selling prices as market dynamics permit.</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Considerations</w:t>
      </w:r>
    </w:p>
    <w:p>
      <w:pPr>
        <w:spacing w:after="0" w:line="81" w:lineRule="exact"/>
        <w:rPr>
          <w:sz w:val="20"/>
          <w:szCs w:val="20"/>
          <w:color w:val="auto"/>
        </w:rPr>
      </w:pPr>
    </w:p>
    <w:p>
      <w:pPr>
        <w:ind w:right="140" w:firstLine="362"/>
        <w:spacing w:after="0" w:line="279" w:lineRule="auto"/>
        <w:rPr>
          <w:sz w:val="20"/>
          <w:szCs w:val="20"/>
          <w:color w:val="auto"/>
        </w:rPr>
      </w:pPr>
      <w:r>
        <w:rPr>
          <w:rFonts w:ascii="Arial" w:cs="Arial" w:eastAsia="Arial" w:hAnsi="Arial"/>
          <w:sz w:val="15"/>
          <w:szCs w:val="15"/>
          <w:color w:val="auto"/>
        </w:rPr>
        <w:t>Approximately 62% of Bonnell Aluminum’s sales volume in 2020 was related to building and construction (“B&amp;C”) markets (non-residential B&amp;C of 55% and residential B&amp;C of 7%). Non-residential B&amp;C volume started to decline in the fourth quarter of 2020 after the fulfillment of contracts that existed at the start of the COVID-19 pandemic. Recently, market demand in this sector has been strong but was not reflected in Bonnell Aluminum's third quarter 2021 results, due to pandemic-related labor shortages and resulting production inefficiencies. Non-residential B&amp;C volume declined 13.1% versus the third quarter of last year. However, current bookings and backlog remain at record high levels which we believe will bode well for future operations and results when production constraints are alleviated.</w:t>
      </w:r>
    </w:p>
    <w:p>
      <w:pPr>
        <w:spacing w:after="0" w:line="47" w:lineRule="exact"/>
        <w:rPr>
          <w:sz w:val="20"/>
          <w:szCs w:val="20"/>
          <w:color w:val="auto"/>
        </w:rPr>
      </w:pPr>
    </w:p>
    <w:p>
      <w:pPr>
        <w:ind w:right="80" w:firstLine="362"/>
        <w:spacing w:after="0" w:line="320" w:lineRule="auto"/>
        <w:rPr>
          <w:sz w:val="20"/>
          <w:szCs w:val="20"/>
          <w:color w:val="auto"/>
        </w:rPr>
      </w:pPr>
      <w:r>
        <w:rPr>
          <w:rFonts w:ascii="Arial" w:cs="Arial" w:eastAsia="Arial" w:hAnsi="Arial"/>
          <w:sz w:val="14"/>
          <w:szCs w:val="14"/>
          <w:color w:val="auto"/>
        </w:rPr>
        <w:t>The Surface Protection component of PE Films had record EBITDA from ongoing operations in 2020 but is experiencing a decline in volume in 2021, primarily related to a previously disclosed customer product transition unrelated to the pandemic. In addition, the lag in the pass-through of significant pandemic-related increases in resin costs, and some of such cost increases incurred prior to mid-year that will not be recovered even on a lagging basis, have adversely impacted PE Films' profitability in 2021.</w:t>
      </w:r>
    </w:p>
    <w:p>
      <w:pPr>
        <w:spacing w:after="0" w:line="20" w:lineRule="exact"/>
        <w:rPr>
          <w:sz w:val="20"/>
          <w:szCs w:val="20"/>
          <w:color w:val="auto"/>
        </w:rPr>
      </w:pPr>
    </w:p>
    <w:p>
      <w:pPr>
        <w:ind w:right="80" w:firstLine="579"/>
        <w:spacing w:after="0" w:line="314" w:lineRule="auto"/>
        <w:rPr>
          <w:sz w:val="20"/>
          <w:szCs w:val="20"/>
          <w:color w:val="auto"/>
        </w:rPr>
      </w:pPr>
      <w:r>
        <w:rPr>
          <w:rFonts w:ascii="Arial" w:cs="Arial" w:eastAsia="Arial" w:hAnsi="Arial"/>
          <w:sz w:val="14"/>
          <w:szCs w:val="14"/>
          <w:color w:val="auto"/>
        </w:rPr>
        <w:t>At Terphane, the Company believes that the pandemic-related surge in demand for flexible packaging films that began in early 2020 returned to lower pre-pandemic levels during the second quarter of 2021. Also, production and sales volumes for Terphane during the third quarter of 2021 were adversely impacted by an equipment failure</w:t>
      </w:r>
    </w:p>
    <w:p>
      <w:pPr>
        <w:spacing w:after="0" w:line="1" w:lineRule="exact"/>
        <w:rPr>
          <w:sz w:val="20"/>
          <w:szCs w:val="20"/>
          <w:color w:val="auto"/>
        </w:rPr>
      </w:pPr>
    </w:p>
    <w:p>
      <w:pPr>
        <w:ind w:right="340"/>
        <w:spacing w:after="0" w:line="353" w:lineRule="auto"/>
        <w:rPr>
          <w:sz w:val="20"/>
          <w:szCs w:val="20"/>
          <w:color w:val="auto"/>
        </w:rPr>
      </w:pPr>
      <w:r>
        <w:rPr>
          <w:rFonts w:ascii="Arial" w:cs="Arial" w:eastAsia="Arial" w:hAnsi="Arial"/>
          <w:sz w:val="14"/>
          <w:szCs w:val="14"/>
          <w:color w:val="auto"/>
        </w:rPr>
        <w:t>on a manufacturing line that was unrelated to the pandemic and supply chain restrictions, which Terphane believes are impacting others in the industry as well. While the equipment failure is not expected to be fixed until early in 2022, Terphane has adjusted operations for the interim period to meet anticipated customer demand.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auto"/>
        </w:rPr>
        <w:t>OPERATIONS REVIEW</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Aluminum Extrusions</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 summary of results for Aluminum Extrusions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714692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500" w:type="dxa"/>
            <w:vAlign w:val="bottom"/>
            <w:gridSpan w:val="3"/>
          </w:tcPr>
          <w:p>
            <w:pPr>
              <w:jc w:val="right"/>
              <w:ind w:right="620"/>
              <w:spacing w:after="0"/>
              <w:rPr>
                <w:sz w:val="20"/>
                <w:szCs w:val="20"/>
                <w:color w:val="auto"/>
              </w:rPr>
            </w:pPr>
            <w:r>
              <w:rPr>
                <w:rFonts w:ascii="Arial" w:cs="Arial" w:eastAsia="Arial" w:hAnsi="Arial"/>
                <w:sz w:val="16"/>
                <w:szCs w:val="16"/>
                <w:color w:val="auto"/>
              </w:rPr>
              <w:t>Three Months Ended</w:t>
            </w:r>
          </w:p>
        </w:tc>
        <w:tc>
          <w:tcPr>
            <w:tcW w:w="1440" w:type="dxa"/>
            <w:vAlign w:val="bottom"/>
            <w:vMerge w:val="restart"/>
          </w:tcPr>
          <w:p>
            <w:pPr>
              <w:ind w:left="560"/>
              <w:spacing w:after="0"/>
              <w:rPr>
                <w:sz w:val="20"/>
                <w:szCs w:val="20"/>
                <w:color w:val="auto"/>
              </w:rPr>
            </w:pPr>
            <w:r>
              <w:rPr>
                <w:rFonts w:ascii="Arial" w:cs="Arial" w:eastAsia="Arial" w:hAnsi="Arial"/>
                <w:sz w:val="16"/>
                <w:szCs w:val="16"/>
                <w:color w:val="auto"/>
              </w:rPr>
              <w:t>Favorable/</w:t>
            </w:r>
          </w:p>
        </w:tc>
        <w:tc>
          <w:tcPr>
            <w:tcW w:w="620" w:type="dxa"/>
            <w:vAlign w:val="bottom"/>
          </w:tcPr>
          <w:p>
            <w:pPr>
              <w:spacing w:after="0"/>
              <w:rPr>
                <w:sz w:val="17"/>
                <w:szCs w:val="17"/>
                <w:color w:val="auto"/>
              </w:rPr>
            </w:pPr>
          </w:p>
        </w:tc>
        <w:tc>
          <w:tcPr>
            <w:tcW w:w="2500" w:type="dxa"/>
            <w:vAlign w:val="bottom"/>
            <w:gridSpan w:val="3"/>
          </w:tcPr>
          <w:p>
            <w:pPr>
              <w:jc w:val="right"/>
              <w:ind w:right="660"/>
              <w:spacing w:after="0"/>
              <w:rPr>
                <w:sz w:val="20"/>
                <w:szCs w:val="20"/>
                <w:color w:val="auto"/>
              </w:rPr>
            </w:pPr>
            <w:r>
              <w:rPr>
                <w:rFonts w:ascii="Arial" w:cs="Arial" w:eastAsia="Arial" w:hAnsi="Arial"/>
                <w:sz w:val="16"/>
                <w:szCs w:val="16"/>
                <w:color w:val="auto"/>
              </w:rPr>
              <w:t>Nine Months Ended</w:t>
            </w:r>
          </w:p>
        </w:tc>
        <w:tc>
          <w:tcPr>
            <w:tcW w:w="1360" w:type="dxa"/>
            <w:vAlign w:val="bottom"/>
            <w:vMerge w:val="restart"/>
          </w:tcPr>
          <w:p>
            <w:pPr>
              <w:ind w:left="560"/>
              <w:spacing w:after="0"/>
              <w:rPr>
                <w:sz w:val="20"/>
                <w:szCs w:val="20"/>
                <w:color w:val="auto"/>
              </w:rPr>
            </w:pPr>
            <w:r>
              <w:rPr>
                <w:rFonts w:ascii="Arial" w:cs="Arial" w:eastAsia="Arial" w:hAnsi="Arial"/>
                <w:sz w:val="16"/>
                <w:szCs w:val="16"/>
                <w:color w:val="auto"/>
              </w:rPr>
              <w:t>Favorable/</w:t>
            </w:r>
          </w:p>
        </w:tc>
        <w:tc>
          <w:tcPr>
            <w:tcW w:w="0" w:type="dxa"/>
            <w:vAlign w:val="bottom"/>
          </w:tcPr>
          <w:p>
            <w:pPr>
              <w:spacing w:after="0"/>
              <w:rPr>
                <w:sz w:val="1"/>
                <w:szCs w:val="1"/>
                <w:color w:val="auto"/>
              </w:rPr>
            </w:pPr>
          </w:p>
        </w:tc>
      </w:tr>
      <w:tr>
        <w:trPr>
          <w:trHeight w:val="121"/>
        </w:trPr>
        <w:tc>
          <w:tcPr>
            <w:tcW w:w="2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September 30,</w:t>
            </w:r>
          </w:p>
        </w:tc>
        <w:tc>
          <w:tcPr>
            <w:tcW w:w="8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16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September 30,</w:t>
            </w:r>
          </w:p>
        </w:tc>
        <w:tc>
          <w:tcPr>
            <w:tcW w:w="8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20" w:type="dxa"/>
            <w:vAlign w:val="bottom"/>
          </w:tcPr>
          <w:p>
            <w:pPr>
              <w:ind w:left="380"/>
              <w:spacing w:after="0" w:line="121" w:lineRule="exact"/>
              <w:rPr>
                <w:sz w:val="20"/>
                <w:szCs w:val="20"/>
                <w:color w:val="auto"/>
              </w:rPr>
            </w:pPr>
            <w:r>
              <w:rPr>
                <w:rFonts w:ascii="Arial" w:cs="Arial" w:eastAsia="Arial" w:hAnsi="Arial"/>
                <w:sz w:val="13"/>
                <w:szCs w:val="13"/>
                <w:color w:val="auto"/>
              </w:rPr>
              <w:t>(In thousands, except</w:t>
            </w:r>
          </w:p>
        </w:tc>
        <w:tc>
          <w:tcPr>
            <w:tcW w:w="6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2"/>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440" w:type="dxa"/>
            <w:vAlign w:val="bottom"/>
          </w:tcPr>
          <w:p>
            <w:pPr>
              <w:jc w:val="center"/>
              <w:spacing w:after="0" w:line="121" w:lineRule="exact"/>
              <w:rPr>
                <w:sz w:val="20"/>
                <w:szCs w:val="20"/>
                <w:color w:val="auto"/>
              </w:rPr>
            </w:pPr>
            <w:r>
              <w:rPr>
                <w:rFonts w:ascii="Arial" w:cs="Arial" w:eastAsia="Arial" w:hAnsi="Arial"/>
                <w:sz w:val="13"/>
                <w:szCs w:val="13"/>
                <w:color w:val="auto"/>
              </w:rPr>
              <w:t>(Unfavorable)</w:t>
            </w:r>
          </w:p>
        </w:tc>
        <w:tc>
          <w:tcPr>
            <w:tcW w:w="6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2"/>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360" w:type="dxa"/>
            <w:vAlign w:val="bottom"/>
          </w:tcPr>
          <w:p>
            <w:pPr>
              <w:jc w:val="center"/>
              <w:ind w:left="1"/>
              <w:spacing w:after="0" w:line="121" w:lineRule="exact"/>
              <w:rPr>
                <w:sz w:val="20"/>
                <w:szCs w:val="20"/>
                <w:color w:val="auto"/>
              </w:rPr>
            </w:pPr>
            <w:r>
              <w:rPr>
                <w:rFonts w:ascii="Arial" w:cs="Arial" w:eastAsia="Arial" w:hAnsi="Arial"/>
                <w:sz w:val="13"/>
                <w:szCs w:val="13"/>
                <w:color w:val="auto"/>
              </w:rPr>
              <w:t>(Unfavorable)</w:t>
            </w:r>
          </w:p>
        </w:tc>
        <w:tc>
          <w:tcPr>
            <w:tcW w:w="0" w:type="dxa"/>
            <w:vAlign w:val="bottom"/>
          </w:tcPr>
          <w:p>
            <w:pPr>
              <w:spacing w:after="0"/>
              <w:rPr>
                <w:sz w:val="1"/>
                <w:szCs w:val="1"/>
                <w:color w:val="auto"/>
              </w:rPr>
            </w:pPr>
          </w:p>
        </w:tc>
      </w:tr>
      <w:tr>
        <w:trPr>
          <w:trHeight w:val="221"/>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percentages)</w:t>
            </w: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color w:val="auto"/>
              </w:rPr>
              <w:t>2021</w:t>
            </w: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2020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 Change</w:t>
            </w: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color w:val="auto"/>
              </w:rPr>
              <w:t>2021</w:t>
            </w: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2020</w:t>
            </w:r>
          </w:p>
        </w:tc>
        <w:tc>
          <w:tcPr>
            <w:tcW w:w="1360" w:type="dxa"/>
            <w:vAlign w:val="bottom"/>
            <w:tcBorders>
              <w:bottom w:val="single" w:sz="8" w:color="auto"/>
            </w:tcBorders>
          </w:tcPr>
          <w:p>
            <w:pPr>
              <w:jc w:val="center"/>
              <w:ind w:left="21"/>
              <w:spacing w:after="0"/>
              <w:rPr>
                <w:sz w:val="20"/>
                <w:szCs w:val="20"/>
                <w:color w:val="auto"/>
              </w:rPr>
            </w:pPr>
            <w:r>
              <w:rPr>
                <w:rFonts w:ascii="Arial" w:cs="Arial" w:eastAsia="Arial" w:hAnsi="Arial"/>
                <w:sz w:val="16"/>
                <w:szCs w:val="16"/>
                <w:color w:val="auto"/>
                <w:w w:val="88"/>
              </w:rPr>
              <w:t>% Change</w:t>
            </w:r>
          </w:p>
        </w:tc>
        <w:tc>
          <w:tcPr>
            <w:tcW w:w="0" w:type="dxa"/>
            <w:vAlign w:val="bottom"/>
          </w:tcPr>
          <w:p>
            <w:pPr>
              <w:spacing w:after="0"/>
              <w:rPr>
                <w:sz w:val="1"/>
                <w:szCs w:val="1"/>
                <w:color w:val="auto"/>
              </w:rPr>
            </w:pPr>
          </w:p>
        </w:tc>
      </w:tr>
      <w:tr>
        <w:trPr>
          <w:trHeight w:val="197"/>
        </w:trPr>
        <w:tc>
          <w:tcPr>
            <w:tcW w:w="22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Sales volume (lbs)</w:t>
            </w: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45,407</w:t>
            </w: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48,859</w:t>
            </w:r>
          </w:p>
        </w:tc>
        <w:tc>
          <w:tcPr>
            <w:tcW w:w="1440" w:type="dxa"/>
            <w:vAlign w:val="bottom"/>
            <w:shd w:val="clear" w:color="auto" w:fill="CCEEFF"/>
          </w:tcPr>
          <w:p>
            <w:pPr>
              <w:jc w:val="center"/>
              <w:ind w:left="281"/>
              <w:spacing w:after="0"/>
              <w:rPr>
                <w:sz w:val="20"/>
                <w:szCs w:val="20"/>
                <w:color w:val="auto"/>
              </w:rPr>
            </w:pPr>
            <w:r>
              <w:rPr>
                <w:rFonts w:ascii="Arial" w:cs="Arial" w:eastAsia="Arial" w:hAnsi="Arial"/>
                <w:sz w:val="16"/>
                <w:szCs w:val="16"/>
                <w:color w:val="auto"/>
                <w:w w:val="93"/>
              </w:rPr>
              <w:t>(7.1)%</w:t>
            </w: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138,793</w:t>
            </w: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139,985</w:t>
            </w:r>
          </w:p>
        </w:tc>
        <w:tc>
          <w:tcPr>
            <w:tcW w:w="1360" w:type="dxa"/>
            <w:vAlign w:val="bottom"/>
            <w:shd w:val="clear" w:color="auto" w:fill="CCEEFF"/>
          </w:tcPr>
          <w:p>
            <w:pPr>
              <w:jc w:val="center"/>
              <w:ind w:left="361"/>
              <w:spacing w:after="0"/>
              <w:rPr>
                <w:sz w:val="20"/>
                <w:szCs w:val="20"/>
                <w:color w:val="auto"/>
              </w:rPr>
            </w:pPr>
            <w:r>
              <w:rPr>
                <w:rFonts w:ascii="Arial" w:cs="Arial" w:eastAsia="Arial" w:hAnsi="Arial"/>
                <w:sz w:val="16"/>
                <w:szCs w:val="16"/>
                <w:color w:val="auto"/>
                <w:w w:val="93"/>
              </w:rPr>
              <w:t>(0.9)%</w:t>
            </w:r>
          </w:p>
        </w:tc>
        <w:tc>
          <w:tcPr>
            <w:tcW w:w="0" w:type="dxa"/>
            <w:vAlign w:val="bottom"/>
          </w:tcPr>
          <w:p>
            <w:pPr>
              <w:spacing w:after="0"/>
              <w:rPr>
                <w:sz w:val="1"/>
                <w:szCs w:val="1"/>
                <w:color w:val="auto"/>
              </w:rPr>
            </w:pPr>
          </w:p>
        </w:tc>
      </w:tr>
      <w:tr>
        <w:trPr>
          <w:trHeight w:val="209"/>
        </w:trPr>
        <w:tc>
          <w:tcPr>
            <w:tcW w:w="22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Net sales</w:t>
            </w: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137,086</w:t>
            </w:r>
          </w:p>
        </w:tc>
        <w:tc>
          <w:tcPr>
            <w:tcW w:w="5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115,621</w:t>
            </w:r>
          </w:p>
        </w:tc>
        <w:tc>
          <w:tcPr>
            <w:tcW w:w="1440" w:type="dxa"/>
            <w:vAlign w:val="bottom"/>
            <w:tcBorders>
              <w:bottom w:val="single" w:sz="8" w:color="auto"/>
            </w:tcBorders>
          </w:tcPr>
          <w:p>
            <w:pPr>
              <w:jc w:val="center"/>
              <w:ind w:left="281"/>
              <w:spacing w:after="0"/>
              <w:rPr>
                <w:sz w:val="20"/>
                <w:szCs w:val="20"/>
                <w:color w:val="auto"/>
              </w:rPr>
            </w:pPr>
            <w:r>
              <w:rPr>
                <w:rFonts w:ascii="Arial" w:cs="Arial" w:eastAsia="Arial" w:hAnsi="Arial"/>
                <w:sz w:val="16"/>
                <w:szCs w:val="16"/>
                <w:color w:val="auto"/>
                <w:w w:val="88"/>
              </w:rPr>
              <w:t>18.6%</w:t>
            </w: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394,492</w:t>
            </w:r>
          </w:p>
        </w:tc>
        <w:tc>
          <w:tcPr>
            <w:tcW w:w="5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339,566</w:t>
            </w:r>
          </w:p>
        </w:tc>
        <w:tc>
          <w:tcPr>
            <w:tcW w:w="1360" w:type="dxa"/>
            <w:vAlign w:val="bottom"/>
            <w:tcBorders>
              <w:bottom w:val="single" w:sz="8" w:color="auto"/>
            </w:tcBorders>
          </w:tcPr>
          <w:p>
            <w:pPr>
              <w:jc w:val="center"/>
              <w:ind w:left="381"/>
              <w:spacing w:after="0"/>
              <w:rPr>
                <w:sz w:val="20"/>
                <w:szCs w:val="20"/>
                <w:color w:val="auto"/>
              </w:rPr>
            </w:pPr>
            <w:r>
              <w:rPr>
                <w:rFonts w:ascii="Arial" w:cs="Arial" w:eastAsia="Arial" w:hAnsi="Arial"/>
                <w:sz w:val="16"/>
                <w:szCs w:val="16"/>
                <w:color w:val="auto"/>
                <w:w w:val="92"/>
              </w:rPr>
              <w:t>16.2%</w:t>
            </w:r>
          </w:p>
        </w:tc>
        <w:tc>
          <w:tcPr>
            <w:tcW w:w="0" w:type="dxa"/>
            <w:vAlign w:val="bottom"/>
          </w:tcPr>
          <w:p>
            <w:pPr>
              <w:spacing w:after="0"/>
              <w:rPr>
                <w:sz w:val="1"/>
                <w:szCs w:val="1"/>
                <w:color w:val="auto"/>
              </w:rPr>
            </w:pPr>
          </w:p>
        </w:tc>
      </w:tr>
      <w:tr>
        <w:trPr>
          <w:trHeight w:val="205"/>
        </w:trPr>
        <w:tc>
          <w:tcPr>
            <w:tcW w:w="22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Ongoing operations:</w:t>
            </w: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20" w:type="dxa"/>
            <w:vAlign w:val="bottom"/>
          </w:tcPr>
          <w:p>
            <w:pPr>
              <w:ind w:left="520"/>
              <w:spacing w:after="0"/>
              <w:rPr>
                <w:sz w:val="20"/>
                <w:szCs w:val="20"/>
                <w:color w:val="auto"/>
              </w:rPr>
            </w:pPr>
            <w:r>
              <w:rPr>
                <w:rFonts w:ascii="Arial" w:cs="Arial" w:eastAsia="Arial" w:hAnsi="Arial"/>
                <w:sz w:val="16"/>
                <w:szCs w:val="16"/>
                <w:color w:val="auto"/>
              </w:rPr>
              <w:t>EBITDA</w:t>
            </w: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12,038</w:t>
            </w:r>
          </w:p>
        </w:tc>
        <w:tc>
          <w:tcPr>
            <w:tcW w:w="5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16,540</w:t>
            </w:r>
          </w:p>
        </w:tc>
        <w:tc>
          <w:tcPr>
            <w:tcW w:w="1440" w:type="dxa"/>
            <w:vAlign w:val="bottom"/>
          </w:tcPr>
          <w:p>
            <w:pPr>
              <w:jc w:val="center"/>
              <w:ind w:left="281"/>
              <w:spacing w:after="0"/>
              <w:rPr>
                <w:sz w:val="20"/>
                <w:szCs w:val="20"/>
                <w:color w:val="auto"/>
              </w:rPr>
            </w:pPr>
            <w:r>
              <w:rPr>
                <w:rFonts w:ascii="Arial" w:cs="Arial" w:eastAsia="Arial" w:hAnsi="Arial"/>
                <w:sz w:val="16"/>
                <w:szCs w:val="16"/>
                <w:color w:val="auto"/>
                <w:w w:val="92"/>
              </w:rPr>
              <w:t>(27.2)%</w:t>
            </w: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45,062</w:t>
            </w:r>
          </w:p>
        </w:tc>
        <w:tc>
          <w:tcPr>
            <w:tcW w:w="5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41,496</w:t>
            </w:r>
          </w:p>
        </w:tc>
        <w:tc>
          <w:tcPr>
            <w:tcW w:w="1360" w:type="dxa"/>
            <w:vAlign w:val="bottom"/>
          </w:tcPr>
          <w:p>
            <w:pPr>
              <w:jc w:val="center"/>
              <w:ind w:left="381"/>
              <w:spacing w:after="0"/>
              <w:rPr>
                <w:sz w:val="20"/>
                <w:szCs w:val="20"/>
                <w:color w:val="auto"/>
              </w:rPr>
            </w:pPr>
            <w:r>
              <w:rPr>
                <w:rFonts w:ascii="Arial" w:cs="Arial" w:eastAsia="Arial" w:hAnsi="Arial"/>
                <w:sz w:val="16"/>
                <w:szCs w:val="16"/>
                <w:color w:val="auto"/>
                <w:w w:val="93"/>
              </w:rPr>
              <w:t>8.6%</w:t>
            </w:r>
          </w:p>
        </w:tc>
        <w:tc>
          <w:tcPr>
            <w:tcW w:w="0" w:type="dxa"/>
            <w:vAlign w:val="bottom"/>
          </w:tcPr>
          <w:p>
            <w:pPr>
              <w:spacing w:after="0"/>
              <w:rPr>
                <w:sz w:val="1"/>
                <w:szCs w:val="1"/>
                <w:color w:val="auto"/>
              </w:rPr>
            </w:pPr>
          </w:p>
        </w:tc>
      </w:tr>
      <w:tr>
        <w:trPr>
          <w:trHeight w:val="157"/>
        </w:trPr>
        <w:tc>
          <w:tcPr>
            <w:tcW w:w="2220" w:type="dxa"/>
            <w:vAlign w:val="bottom"/>
            <w:shd w:val="clear" w:color="auto" w:fill="CCEEFF"/>
          </w:tcPr>
          <w:p>
            <w:pPr>
              <w:ind w:left="520"/>
              <w:spacing w:after="0" w:line="157" w:lineRule="exact"/>
              <w:rPr>
                <w:sz w:val="20"/>
                <w:szCs w:val="20"/>
                <w:color w:val="auto"/>
              </w:rPr>
            </w:pPr>
            <w:r>
              <w:rPr>
                <w:rFonts w:ascii="Arial" w:cs="Arial" w:eastAsia="Arial" w:hAnsi="Arial"/>
                <w:sz w:val="16"/>
                <w:szCs w:val="16"/>
                <w:color w:val="auto"/>
              </w:rPr>
              <w:t>Depreciation &amp;</w:t>
            </w:r>
          </w:p>
        </w:tc>
        <w:tc>
          <w:tcPr>
            <w:tcW w:w="6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(3,900)</w:t>
            </w:r>
          </w:p>
        </w:tc>
        <w:tc>
          <w:tcPr>
            <w:tcW w:w="5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(4,251)</w:t>
            </w:r>
          </w:p>
        </w:tc>
        <w:tc>
          <w:tcPr>
            <w:tcW w:w="1440" w:type="dxa"/>
            <w:vAlign w:val="bottom"/>
            <w:vMerge w:val="restart"/>
            <w:shd w:val="clear" w:color="auto" w:fill="CCEEFF"/>
          </w:tcPr>
          <w:p>
            <w:pPr>
              <w:jc w:val="center"/>
              <w:ind w:left="281"/>
              <w:spacing w:after="0"/>
              <w:rPr>
                <w:sz w:val="20"/>
                <w:szCs w:val="20"/>
                <w:color w:val="auto"/>
              </w:rPr>
            </w:pPr>
            <w:r>
              <w:rPr>
                <w:rFonts w:ascii="Arial" w:cs="Arial" w:eastAsia="Arial" w:hAnsi="Arial"/>
                <w:sz w:val="16"/>
                <w:szCs w:val="16"/>
                <w:color w:val="auto"/>
                <w:w w:val="87"/>
              </w:rPr>
              <w:t>8.3%</w:t>
            </w:r>
          </w:p>
        </w:tc>
        <w:tc>
          <w:tcPr>
            <w:tcW w:w="6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(12,062)</w:t>
            </w:r>
          </w:p>
        </w:tc>
        <w:tc>
          <w:tcPr>
            <w:tcW w:w="5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(12,632)</w:t>
            </w:r>
          </w:p>
        </w:tc>
        <w:tc>
          <w:tcPr>
            <w:tcW w:w="1360" w:type="dxa"/>
            <w:vAlign w:val="bottom"/>
            <w:vMerge w:val="restart"/>
            <w:shd w:val="clear" w:color="auto" w:fill="CCEEFF"/>
          </w:tcPr>
          <w:p>
            <w:pPr>
              <w:jc w:val="center"/>
              <w:ind w:left="381"/>
              <w:spacing w:after="0"/>
              <w:rPr>
                <w:sz w:val="20"/>
                <w:szCs w:val="20"/>
                <w:color w:val="auto"/>
              </w:rPr>
            </w:pPr>
            <w:r>
              <w:rPr>
                <w:rFonts w:ascii="Arial" w:cs="Arial" w:eastAsia="Arial" w:hAnsi="Arial"/>
                <w:sz w:val="16"/>
                <w:szCs w:val="16"/>
                <w:color w:val="auto"/>
                <w:w w:val="93"/>
              </w:rPr>
              <w:t>4.5%</w:t>
            </w:r>
          </w:p>
        </w:tc>
        <w:tc>
          <w:tcPr>
            <w:tcW w:w="0" w:type="dxa"/>
            <w:vAlign w:val="bottom"/>
          </w:tcPr>
          <w:p>
            <w:pPr>
              <w:spacing w:after="0"/>
              <w:rPr>
                <w:sz w:val="1"/>
                <w:szCs w:val="1"/>
                <w:color w:val="auto"/>
              </w:rPr>
            </w:pPr>
          </w:p>
        </w:tc>
      </w:tr>
      <w:tr>
        <w:trPr>
          <w:trHeight w:val="205"/>
        </w:trPr>
        <w:tc>
          <w:tcPr>
            <w:tcW w:w="22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amortization</w:t>
            </w:r>
          </w:p>
        </w:tc>
        <w:tc>
          <w:tcPr>
            <w:tcW w:w="6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440" w:type="dxa"/>
            <w:vAlign w:val="bottom"/>
            <w:tcBorders>
              <w:bottom w:val="single" w:sz="8" w:color="auto"/>
            </w:tcBorders>
            <w:vMerge w:val="continue"/>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3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2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EBIT*</w:t>
            </w: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8,138</w:t>
            </w:r>
          </w:p>
        </w:tc>
        <w:tc>
          <w:tcPr>
            <w:tcW w:w="5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12,289</w:t>
            </w:r>
          </w:p>
        </w:tc>
        <w:tc>
          <w:tcPr>
            <w:tcW w:w="1440" w:type="dxa"/>
            <w:vAlign w:val="bottom"/>
            <w:tcBorders>
              <w:bottom w:val="single" w:sz="8" w:color="auto"/>
            </w:tcBorders>
          </w:tcPr>
          <w:p>
            <w:pPr>
              <w:jc w:val="center"/>
              <w:ind w:left="281"/>
              <w:spacing w:after="0"/>
              <w:rPr>
                <w:sz w:val="20"/>
                <w:szCs w:val="20"/>
                <w:color w:val="auto"/>
              </w:rPr>
            </w:pPr>
            <w:r>
              <w:rPr>
                <w:rFonts w:ascii="Arial" w:cs="Arial" w:eastAsia="Arial" w:hAnsi="Arial"/>
                <w:sz w:val="16"/>
                <w:szCs w:val="16"/>
                <w:color w:val="auto"/>
                <w:w w:val="92"/>
              </w:rPr>
              <w:t>(33.8)%</w:t>
            </w: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33,000</w:t>
            </w:r>
          </w:p>
        </w:tc>
        <w:tc>
          <w:tcPr>
            <w:tcW w:w="5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28,864</w:t>
            </w:r>
          </w:p>
        </w:tc>
        <w:tc>
          <w:tcPr>
            <w:tcW w:w="1360" w:type="dxa"/>
            <w:vAlign w:val="bottom"/>
            <w:tcBorders>
              <w:bottom w:val="single" w:sz="8" w:color="auto"/>
            </w:tcBorders>
          </w:tcPr>
          <w:p>
            <w:pPr>
              <w:jc w:val="center"/>
              <w:ind w:left="381"/>
              <w:spacing w:after="0"/>
              <w:rPr>
                <w:sz w:val="20"/>
                <w:szCs w:val="20"/>
                <w:color w:val="auto"/>
              </w:rPr>
            </w:pPr>
            <w:r>
              <w:rPr>
                <w:rFonts w:ascii="Arial" w:cs="Arial" w:eastAsia="Arial" w:hAnsi="Arial"/>
                <w:sz w:val="16"/>
                <w:szCs w:val="16"/>
                <w:color w:val="auto"/>
                <w:w w:val="92"/>
              </w:rPr>
              <w:t>14.3%</w:t>
            </w:r>
          </w:p>
        </w:tc>
        <w:tc>
          <w:tcPr>
            <w:tcW w:w="0" w:type="dxa"/>
            <w:vAlign w:val="bottom"/>
          </w:tcPr>
          <w:p>
            <w:pPr>
              <w:spacing w:after="0"/>
              <w:rPr>
                <w:sz w:val="1"/>
                <w:szCs w:val="1"/>
                <w:color w:val="auto"/>
              </w:rPr>
            </w:pPr>
          </w:p>
        </w:tc>
      </w:tr>
      <w:tr>
        <w:trPr>
          <w:trHeight w:val="209"/>
        </w:trPr>
        <w:tc>
          <w:tcPr>
            <w:tcW w:w="22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expenditures</w:t>
            </w:r>
          </w:p>
        </w:tc>
        <w:tc>
          <w:tcPr>
            <w:tcW w:w="6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5,183</w:t>
            </w:r>
          </w:p>
        </w:tc>
        <w:tc>
          <w:tcPr>
            <w:tcW w:w="5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1,784</w:t>
            </w:r>
          </w:p>
        </w:tc>
        <w:tc>
          <w:tcPr>
            <w:tcW w:w="14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11,956</w:t>
            </w:r>
          </w:p>
        </w:tc>
        <w:tc>
          <w:tcPr>
            <w:tcW w:w="5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4,713</w:t>
            </w:r>
          </w:p>
        </w:tc>
        <w:tc>
          <w:tcPr>
            <w:tcW w:w="13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20" w:right="620" w:firstLine="362"/>
        <w:spacing w:after="0" w:line="235" w:lineRule="auto"/>
        <w:rPr>
          <w:sz w:val="20"/>
          <w:szCs w:val="20"/>
          <w:color w:val="auto"/>
        </w:rPr>
      </w:pPr>
      <w:r>
        <w:rPr>
          <w:rFonts w:ascii="Arial" w:cs="Arial" w:eastAsia="Arial" w:hAnsi="Arial"/>
          <w:sz w:val="16"/>
          <w:szCs w:val="16"/>
          <w:color w:val="auto"/>
        </w:rPr>
        <w:t>*See the table in Note 11, "Business Segments," of this Form 10-Q ("Note 11") for a reconciliation of this non-GAAP measure to the most comparable measure calculated in accordance with GAAP.</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Third Quarter 2021 Results vs. Third Quarter 2020 Results</w:t>
      </w:r>
    </w:p>
    <w:p>
      <w:pPr>
        <w:spacing w:after="0" w:line="93" w:lineRule="exact"/>
        <w:rPr>
          <w:sz w:val="20"/>
          <w:szCs w:val="20"/>
          <w:color w:val="auto"/>
        </w:rPr>
      </w:pPr>
    </w:p>
    <w:p>
      <w:pPr>
        <w:ind w:right="60" w:firstLine="362"/>
        <w:spacing w:after="0" w:line="276" w:lineRule="auto"/>
        <w:rPr>
          <w:sz w:val="20"/>
          <w:szCs w:val="20"/>
          <w:color w:val="auto"/>
        </w:rPr>
      </w:pPr>
      <w:r>
        <w:rPr>
          <w:rFonts w:ascii="Arial" w:cs="Arial" w:eastAsia="Arial" w:hAnsi="Arial"/>
          <w:sz w:val="15"/>
          <w:szCs w:val="15"/>
          <w:color w:val="auto"/>
        </w:rPr>
        <w:t>Net sales (sales less freight) in the third quarter of 2021 increased versus the third quarter of 2020, primarily due to the pass-through of higher metal costs and an increase in average selling prices to cover higher operating costs, partially offset by lower volume. Sales volume in the third quarter of 2021 decreased by 7.1% versus the third quarter of 2020. Sales volume associated with the non-residential B&amp;C market, which represented 55% of volume in 2020, declined 13.1% in the third quarter of 2021 versus the third quarter of 2020. Sales volume associated with specialty markets, which represented 31% of total volume in 2020, increased 11.4% in the third quarter of 2021 versus the third quarter of 2020, and sales volume associated with the automotive market, which represented 9% of total volume in 2020, decreased 34.9% in the third quarter of 2021 versus the third quarter of 2020. A portion of the decline in automotive sales was attributed to the supply chain issues in the automotive industry. See “</w:t>
      </w:r>
      <w:r>
        <w:rPr>
          <w:rFonts w:ascii="Arial" w:cs="Arial" w:eastAsia="Arial" w:hAnsi="Arial"/>
          <w:sz w:val="15"/>
          <w:szCs w:val="15"/>
          <w:i w:val="1"/>
          <w:iCs w:val="1"/>
          <w:color w:val="auto"/>
        </w:rPr>
        <w:t>The Impact of</w:t>
      </w:r>
      <w:r>
        <w:rPr>
          <w:rFonts w:ascii="Arial" w:cs="Arial" w:eastAsia="Arial" w:hAnsi="Arial"/>
          <w:sz w:val="15"/>
          <w:szCs w:val="15"/>
          <w:color w:val="auto"/>
        </w:rPr>
        <w:t xml:space="preserve"> </w:t>
      </w:r>
      <w:r>
        <w:rPr>
          <w:rFonts w:ascii="Arial" w:cs="Arial" w:eastAsia="Arial" w:hAnsi="Arial"/>
          <w:sz w:val="15"/>
          <w:szCs w:val="15"/>
          <w:i w:val="1"/>
          <w:iCs w:val="1"/>
          <w:color w:val="auto"/>
        </w:rPr>
        <w:t>COVID-19 and Related Financial Considerations</w:t>
      </w:r>
      <w:r>
        <w:rPr>
          <w:rFonts w:ascii="Arial" w:cs="Arial" w:eastAsia="Arial" w:hAnsi="Arial"/>
          <w:sz w:val="15"/>
          <w:szCs w:val="15"/>
          <w:color w:val="auto"/>
        </w:rPr>
        <w:t>” section for more information on business conditions.</w:t>
      </w:r>
    </w:p>
    <w:p>
      <w:pPr>
        <w:spacing w:after="0" w:line="47" w:lineRule="exact"/>
        <w:rPr>
          <w:sz w:val="20"/>
          <w:szCs w:val="20"/>
          <w:color w:val="auto"/>
        </w:rPr>
      </w:pPr>
    </w:p>
    <w:p>
      <w:pPr>
        <w:ind w:right="60" w:firstLine="362"/>
        <w:spacing w:after="0" w:line="261" w:lineRule="auto"/>
        <w:rPr>
          <w:sz w:val="20"/>
          <w:szCs w:val="20"/>
          <w:color w:val="auto"/>
        </w:rPr>
      </w:pPr>
      <w:r>
        <w:rPr>
          <w:rFonts w:ascii="Arial" w:cs="Arial" w:eastAsia="Arial" w:hAnsi="Arial"/>
          <w:sz w:val="16"/>
          <w:szCs w:val="16"/>
          <w:color w:val="auto"/>
        </w:rPr>
        <w:t xml:space="preserve">EBITDA from ongoing operations in the third quarter of 2021 decreased by $4.5 million in comparison to the third quarter of 2020, primarily due to lower volume ($1.8 million), increased labor and employee-related costs ($2.4 million), other operating costs ($4.0 million), freight expenses ($1.3 million) and higher general, selling and administrative expenses ($0.3 million), partially offset by higher pricing ($5.5 million). Refer to Item 3.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xml:space="preserve"> of this Form 10-Q for additional information on aluminum prices.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 xml:space="preserve">First Nine Months of 2021 Results vs. First Nine Months </w:t>
      </w:r>
      <w:r>
        <w:rPr>
          <w:rFonts w:ascii="Arial" w:cs="Arial" w:eastAsia="Arial" w:hAnsi="Arial"/>
          <w:sz w:val="16"/>
          <w:szCs w:val="16"/>
          <w:i w:val="1"/>
          <w:iCs w:val="1"/>
          <w:u w:val="single" w:color="auto"/>
          <w:color w:val="auto"/>
          <w:highlight w:val="white"/>
        </w:rPr>
        <w:t>2020 Results</w:t>
      </w:r>
    </w:p>
    <w:p>
      <w:pPr>
        <w:spacing w:after="0" w:line="93" w:lineRule="exact"/>
        <w:rPr>
          <w:sz w:val="20"/>
          <w:szCs w:val="20"/>
          <w:color w:val="auto"/>
        </w:rPr>
      </w:pPr>
    </w:p>
    <w:p>
      <w:pPr>
        <w:ind w:right="140" w:firstLine="362"/>
        <w:spacing w:after="0" w:line="265" w:lineRule="auto"/>
        <w:rPr>
          <w:sz w:val="20"/>
          <w:szCs w:val="20"/>
          <w:color w:val="auto"/>
        </w:rPr>
      </w:pPr>
      <w:r>
        <w:rPr>
          <w:rFonts w:ascii="Arial" w:cs="Arial" w:eastAsia="Arial" w:hAnsi="Arial"/>
          <w:sz w:val="16"/>
          <w:szCs w:val="16"/>
          <w:color w:val="auto"/>
        </w:rPr>
        <w:t>Net sales in the first nine months of 2021 increased versus the first nine months of 2020, primarily due to the pass-through of higher metal costs and an increase in average selling prices to cover higher operating costs, partially offset by lower volume. Sales volume in the first nine months of 2021 decreased by 0.9% versus the first nine months of 2020.</w:t>
      </w:r>
    </w:p>
    <w:p>
      <w:pPr>
        <w:spacing w:after="0" w:line="54" w:lineRule="exact"/>
        <w:rPr>
          <w:sz w:val="20"/>
          <w:szCs w:val="20"/>
          <w:color w:val="auto"/>
        </w:rPr>
      </w:pPr>
    </w:p>
    <w:p>
      <w:pPr>
        <w:ind w:right="80" w:firstLine="362"/>
        <w:spacing w:after="0" w:line="261" w:lineRule="auto"/>
        <w:rPr>
          <w:sz w:val="20"/>
          <w:szCs w:val="20"/>
          <w:color w:val="auto"/>
        </w:rPr>
      </w:pPr>
      <w:r>
        <w:rPr>
          <w:rFonts w:ascii="Arial" w:cs="Arial" w:eastAsia="Arial" w:hAnsi="Arial"/>
          <w:sz w:val="16"/>
          <w:szCs w:val="16"/>
          <w:color w:val="auto"/>
        </w:rPr>
        <w:t>EBITDA from ongoing operations in the first nine months of 2021 increased by $3.6 million in comparison to the first nine months of 2020 due to higher pricing ($10.2 million), partially offset by higher labor and employee-related costs ($5.4 million) and other operational costs ($5.3 million), higher general, administrative and selling expenses ($1.3 million) and higher freight costs ($2.3 million). In addition, inventories accounted for under the first-in first-out method resulted in a benefit of $5.8 million in the first nine months of 2021 versus a charge of $1.9 million in the first nine months of 2020.</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Projected Capital Expenditures and Depreciation &amp; Amortization</w:t>
      </w:r>
    </w:p>
    <w:p>
      <w:pPr>
        <w:spacing w:after="0" w:line="93" w:lineRule="exact"/>
        <w:rPr>
          <w:sz w:val="20"/>
          <w:szCs w:val="20"/>
          <w:color w:val="auto"/>
        </w:rPr>
      </w:pPr>
    </w:p>
    <w:p>
      <w:pPr>
        <w:ind w:right="340" w:firstLine="362"/>
        <w:spacing w:after="0" w:line="265" w:lineRule="auto"/>
        <w:rPr>
          <w:sz w:val="20"/>
          <w:szCs w:val="20"/>
          <w:color w:val="auto"/>
        </w:rPr>
      </w:pPr>
      <w:r>
        <w:rPr>
          <w:rFonts w:ascii="Arial" w:cs="Arial" w:eastAsia="Arial" w:hAnsi="Arial"/>
          <w:sz w:val="16"/>
          <w:szCs w:val="16"/>
          <w:color w:val="auto"/>
        </w:rPr>
        <w:t>Capital expenditures for Bonnell Aluminum are projected to be $19 million in 2021, including $3 million for infrastructure upgrades at the Carthage, Tennessee and Newnan, Georgia facilities and $5 million for strategic projects. In addition, approximately $11 million will be required to support continuity of current operations. Depreciation expense is projected to be $14 million in 2021. Amortization expense is projected to be $3 million in 2021.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95" w:right="31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i w:val="1"/>
          <w:iCs w:val="1"/>
          <w:color w:val="auto"/>
        </w:rPr>
        <w:t>PE Films</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 summary of results for PE Films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714692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360" w:type="dxa"/>
            <w:vAlign w:val="bottom"/>
            <w:gridSpan w:val="3"/>
          </w:tcPr>
          <w:p>
            <w:pPr>
              <w:jc w:val="right"/>
              <w:ind w:right="540"/>
              <w:spacing w:after="0"/>
              <w:rPr>
                <w:sz w:val="20"/>
                <w:szCs w:val="20"/>
                <w:color w:val="auto"/>
              </w:rPr>
            </w:pPr>
            <w:r>
              <w:rPr>
                <w:rFonts w:ascii="Arial" w:cs="Arial" w:eastAsia="Arial" w:hAnsi="Arial"/>
                <w:sz w:val="16"/>
                <w:szCs w:val="16"/>
                <w:color w:val="auto"/>
              </w:rPr>
              <w:t>Three Months Ended</w:t>
            </w:r>
          </w:p>
        </w:tc>
        <w:tc>
          <w:tcPr>
            <w:tcW w:w="1480" w:type="dxa"/>
            <w:vAlign w:val="bottom"/>
            <w:vMerge w:val="restart"/>
          </w:tcPr>
          <w:p>
            <w:pPr>
              <w:ind w:left="580"/>
              <w:spacing w:after="0"/>
              <w:rPr>
                <w:sz w:val="20"/>
                <w:szCs w:val="20"/>
                <w:color w:val="auto"/>
              </w:rPr>
            </w:pPr>
            <w:r>
              <w:rPr>
                <w:rFonts w:ascii="Arial" w:cs="Arial" w:eastAsia="Arial" w:hAnsi="Arial"/>
                <w:sz w:val="16"/>
                <w:szCs w:val="16"/>
                <w:color w:val="auto"/>
              </w:rPr>
              <w:t>Favorable/</w:t>
            </w:r>
          </w:p>
        </w:tc>
        <w:tc>
          <w:tcPr>
            <w:tcW w:w="600" w:type="dxa"/>
            <w:vAlign w:val="bottom"/>
          </w:tcPr>
          <w:p>
            <w:pPr>
              <w:spacing w:after="0"/>
              <w:rPr>
                <w:sz w:val="17"/>
                <w:szCs w:val="17"/>
                <w:color w:val="auto"/>
              </w:rPr>
            </w:pPr>
          </w:p>
        </w:tc>
        <w:tc>
          <w:tcPr>
            <w:tcW w:w="2420" w:type="dxa"/>
            <w:vAlign w:val="bottom"/>
            <w:gridSpan w:val="3"/>
          </w:tcPr>
          <w:p>
            <w:pPr>
              <w:jc w:val="right"/>
              <w:ind w:right="600"/>
              <w:spacing w:after="0"/>
              <w:rPr>
                <w:sz w:val="20"/>
                <w:szCs w:val="20"/>
                <w:color w:val="auto"/>
              </w:rPr>
            </w:pPr>
            <w:r>
              <w:rPr>
                <w:rFonts w:ascii="Arial" w:cs="Arial" w:eastAsia="Arial" w:hAnsi="Arial"/>
                <w:sz w:val="16"/>
                <w:szCs w:val="16"/>
                <w:color w:val="auto"/>
              </w:rPr>
              <w:t>Nine Months Ended</w:t>
            </w:r>
          </w:p>
        </w:tc>
        <w:tc>
          <w:tcPr>
            <w:tcW w:w="1380" w:type="dxa"/>
            <w:vAlign w:val="bottom"/>
            <w:vMerge w:val="restart"/>
          </w:tcPr>
          <w:p>
            <w:pPr>
              <w:ind w:left="580"/>
              <w:spacing w:after="0"/>
              <w:rPr>
                <w:sz w:val="20"/>
                <w:szCs w:val="20"/>
                <w:color w:val="auto"/>
              </w:rPr>
            </w:pPr>
            <w:r>
              <w:rPr>
                <w:rFonts w:ascii="Arial" w:cs="Arial" w:eastAsia="Arial" w:hAnsi="Arial"/>
                <w:sz w:val="16"/>
                <w:szCs w:val="16"/>
                <w:color w:val="auto"/>
              </w:rPr>
              <w:t>Favorable/</w:t>
            </w:r>
          </w:p>
        </w:tc>
        <w:tc>
          <w:tcPr>
            <w:tcW w:w="0" w:type="dxa"/>
            <w:vAlign w:val="bottom"/>
          </w:tcPr>
          <w:p>
            <w:pPr>
              <w:spacing w:after="0"/>
              <w:rPr>
                <w:sz w:val="1"/>
                <w:szCs w:val="1"/>
                <w:color w:val="auto"/>
              </w:rPr>
            </w:pPr>
          </w:p>
        </w:tc>
      </w:tr>
      <w:tr>
        <w:trPr>
          <w:trHeight w:val="121"/>
        </w:trPr>
        <w:tc>
          <w:tcPr>
            <w:tcW w:w="2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0" w:type="dxa"/>
            <w:vAlign w:val="bottom"/>
            <w:gridSpan w:val="2"/>
            <w:vMerge w:val="restart"/>
          </w:tcPr>
          <w:p>
            <w:pPr>
              <w:jc w:val="right"/>
              <w:spacing w:after="0"/>
              <w:rPr>
                <w:sz w:val="20"/>
                <w:szCs w:val="20"/>
                <w:color w:val="auto"/>
              </w:rPr>
            </w:pPr>
            <w:r>
              <w:rPr>
                <w:rFonts w:ascii="Arial" w:cs="Arial" w:eastAsia="Arial" w:hAnsi="Arial"/>
                <w:sz w:val="16"/>
                <w:szCs w:val="16"/>
                <w:color w:val="auto"/>
              </w:rPr>
              <w:t>September 30,</w:t>
            </w:r>
          </w:p>
        </w:tc>
        <w:tc>
          <w:tcPr>
            <w:tcW w:w="76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1640" w:type="dxa"/>
            <w:vAlign w:val="bottom"/>
            <w:gridSpan w:val="2"/>
            <w:vMerge w:val="restart"/>
          </w:tcPr>
          <w:p>
            <w:pPr>
              <w:jc w:val="right"/>
              <w:spacing w:after="0"/>
              <w:rPr>
                <w:sz w:val="20"/>
                <w:szCs w:val="20"/>
                <w:color w:val="auto"/>
              </w:rPr>
            </w:pPr>
            <w:r>
              <w:rPr>
                <w:rFonts w:ascii="Arial" w:cs="Arial" w:eastAsia="Arial" w:hAnsi="Arial"/>
                <w:sz w:val="16"/>
                <w:szCs w:val="16"/>
                <w:color w:val="auto"/>
              </w:rPr>
              <w:t>September 30,</w:t>
            </w:r>
          </w:p>
        </w:tc>
        <w:tc>
          <w:tcPr>
            <w:tcW w:w="7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0" w:type="dxa"/>
            <w:vAlign w:val="bottom"/>
          </w:tcPr>
          <w:p>
            <w:pPr>
              <w:ind w:left="380"/>
              <w:spacing w:after="0" w:line="121" w:lineRule="exact"/>
              <w:rPr>
                <w:sz w:val="20"/>
                <w:szCs w:val="20"/>
                <w:color w:val="auto"/>
              </w:rPr>
            </w:pPr>
            <w:r>
              <w:rPr>
                <w:rFonts w:ascii="Arial" w:cs="Arial" w:eastAsia="Arial" w:hAnsi="Arial"/>
                <w:sz w:val="13"/>
                <w:szCs w:val="13"/>
                <w:color w:val="auto"/>
              </w:rPr>
              <w:t>(In thousands, except</w:t>
            </w:r>
          </w:p>
        </w:tc>
        <w:tc>
          <w:tcPr>
            <w:tcW w:w="6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2"/>
            <w:vMerge w:val="continue"/>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480" w:type="dxa"/>
            <w:vAlign w:val="bottom"/>
          </w:tcPr>
          <w:p>
            <w:pPr>
              <w:jc w:val="center"/>
              <w:spacing w:after="0" w:line="121" w:lineRule="exact"/>
              <w:rPr>
                <w:sz w:val="20"/>
                <w:szCs w:val="20"/>
                <w:color w:val="auto"/>
              </w:rPr>
            </w:pPr>
            <w:r>
              <w:rPr>
                <w:rFonts w:ascii="Arial" w:cs="Arial" w:eastAsia="Arial" w:hAnsi="Arial"/>
                <w:sz w:val="13"/>
                <w:szCs w:val="13"/>
                <w:color w:val="auto"/>
              </w:rPr>
              <w:t>(Unfavorable)</w:t>
            </w:r>
          </w:p>
        </w:tc>
        <w:tc>
          <w:tcPr>
            <w:tcW w:w="60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2"/>
            <w:vMerge w:val="continue"/>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380" w:type="dxa"/>
            <w:vAlign w:val="bottom"/>
          </w:tcPr>
          <w:p>
            <w:pPr>
              <w:jc w:val="center"/>
              <w:ind w:left="21"/>
              <w:spacing w:after="0" w:line="121" w:lineRule="exact"/>
              <w:rPr>
                <w:sz w:val="20"/>
                <w:szCs w:val="20"/>
                <w:color w:val="auto"/>
              </w:rPr>
            </w:pPr>
            <w:r>
              <w:rPr>
                <w:rFonts w:ascii="Arial" w:cs="Arial" w:eastAsia="Arial" w:hAnsi="Arial"/>
                <w:sz w:val="13"/>
                <w:szCs w:val="13"/>
                <w:color w:val="auto"/>
              </w:rPr>
              <w:t>(Unfavorable)</w:t>
            </w:r>
          </w:p>
        </w:tc>
        <w:tc>
          <w:tcPr>
            <w:tcW w:w="0" w:type="dxa"/>
            <w:vAlign w:val="bottom"/>
          </w:tcPr>
          <w:p>
            <w:pPr>
              <w:spacing w:after="0"/>
              <w:rPr>
                <w:sz w:val="1"/>
                <w:szCs w:val="1"/>
                <w:color w:val="auto"/>
              </w:rPr>
            </w:pPr>
          </w:p>
        </w:tc>
      </w:tr>
      <w:tr>
        <w:trPr>
          <w:trHeight w:val="221"/>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percentages)</w:t>
            </w: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color w:val="auto"/>
              </w:rPr>
              <w:t>2021</w:t>
            </w:r>
          </w:p>
        </w:tc>
        <w:tc>
          <w:tcPr>
            <w:tcW w:w="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2020</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 Change</w:t>
            </w: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2021</w:t>
            </w: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2020</w:t>
            </w:r>
          </w:p>
        </w:tc>
        <w:tc>
          <w:tcPr>
            <w:tcW w:w="1380" w:type="dxa"/>
            <w:vAlign w:val="bottom"/>
            <w:tcBorders>
              <w:bottom w:val="single" w:sz="8" w:color="auto"/>
            </w:tcBorders>
          </w:tcPr>
          <w:p>
            <w:pPr>
              <w:jc w:val="center"/>
              <w:ind w:left="21"/>
              <w:spacing w:after="0"/>
              <w:rPr>
                <w:sz w:val="20"/>
                <w:szCs w:val="20"/>
                <w:color w:val="auto"/>
              </w:rPr>
            </w:pPr>
            <w:r>
              <w:rPr>
                <w:rFonts w:ascii="Arial" w:cs="Arial" w:eastAsia="Arial" w:hAnsi="Arial"/>
                <w:sz w:val="16"/>
                <w:szCs w:val="16"/>
                <w:color w:val="auto"/>
                <w:w w:val="90"/>
              </w:rPr>
              <w:t>% Change</w:t>
            </w:r>
          </w:p>
        </w:tc>
        <w:tc>
          <w:tcPr>
            <w:tcW w:w="0" w:type="dxa"/>
            <w:vAlign w:val="bottom"/>
          </w:tcPr>
          <w:p>
            <w:pPr>
              <w:spacing w:after="0"/>
              <w:rPr>
                <w:sz w:val="1"/>
                <w:szCs w:val="1"/>
                <w:color w:val="auto"/>
              </w:rPr>
            </w:pPr>
          </w:p>
        </w:tc>
      </w:tr>
      <w:tr>
        <w:trPr>
          <w:trHeight w:val="197"/>
        </w:trPr>
        <w:tc>
          <w:tcPr>
            <w:tcW w:w="2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Sales volume (lbs)</w:t>
            </w:r>
          </w:p>
        </w:tc>
        <w:tc>
          <w:tcPr>
            <w:tcW w:w="6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9,283</w:t>
            </w:r>
          </w:p>
        </w:tc>
        <w:tc>
          <w:tcPr>
            <w:tcW w:w="5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9,556</w:t>
            </w:r>
          </w:p>
        </w:tc>
        <w:tc>
          <w:tcPr>
            <w:tcW w:w="1480" w:type="dxa"/>
            <w:vAlign w:val="bottom"/>
            <w:shd w:val="clear" w:color="auto" w:fill="CCEEFF"/>
          </w:tcPr>
          <w:p>
            <w:pPr>
              <w:jc w:val="center"/>
              <w:ind w:left="281"/>
              <w:spacing w:after="0"/>
              <w:rPr>
                <w:sz w:val="20"/>
                <w:szCs w:val="20"/>
                <w:color w:val="auto"/>
              </w:rPr>
            </w:pPr>
            <w:r>
              <w:rPr>
                <w:rFonts w:ascii="Arial" w:cs="Arial" w:eastAsia="Arial" w:hAnsi="Arial"/>
                <w:sz w:val="16"/>
                <w:szCs w:val="16"/>
                <w:color w:val="auto"/>
                <w:w w:val="93"/>
              </w:rPr>
              <w:t>(2.9)%</w:t>
            </w: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30,066</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33,348</w:t>
            </w:r>
          </w:p>
        </w:tc>
        <w:tc>
          <w:tcPr>
            <w:tcW w:w="1380" w:type="dxa"/>
            <w:vAlign w:val="bottom"/>
            <w:shd w:val="clear" w:color="auto" w:fill="CCEEFF"/>
          </w:tcPr>
          <w:p>
            <w:pPr>
              <w:jc w:val="center"/>
              <w:ind w:left="381"/>
              <w:spacing w:after="0"/>
              <w:rPr>
                <w:sz w:val="20"/>
                <w:szCs w:val="20"/>
                <w:color w:val="auto"/>
              </w:rPr>
            </w:pPr>
            <w:r>
              <w:rPr>
                <w:rFonts w:ascii="Arial" w:cs="Arial" w:eastAsia="Arial" w:hAnsi="Arial"/>
                <w:sz w:val="16"/>
                <w:szCs w:val="16"/>
                <w:color w:val="auto"/>
                <w:w w:val="93"/>
              </w:rPr>
              <w:t>(9.8)%</w:t>
            </w:r>
          </w:p>
        </w:tc>
        <w:tc>
          <w:tcPr>
            <w:tcW w:w="0" w:type="dxa"/>
            <w:vAlign w:val="bottom"/>
          </w:tcPr>
          <w:p>
            <w:pPr>
              <w:spacing w:after="0"/>
              <w:rPr>
                <w:sz w:val="1"/>
                <w:szCs w:val="1"/>
                <w:color w:val="auto"/>
              </w:rPr>
            </w:pPr>
          </w:p>
        </w:tc>
      </w:tr>
      <w:tr>
        <w:trPr>
          <w:trHeight w:val="209"/>
        </w:trPr>
        <w:tc>
          <w:tcPr>
            <w:tcW w:w="24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Net sales</w:t>
            </w: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28,501</w:t>
            </w:r>
          </w:p>
        </w:tc>
        <w:tc>
          <w:tcPr>
            <w:tcW w:w="5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26,440</w:t>
            </w:r>
          </w:p>
        </w:tc>
        <w:tc>
          <w:tcPr>
            <w:tcW w:w="1480" w:type="dxa"/>
            <w:vAlign w:val="bottom"/>
            <w:tcBorders>
              <w:bottom w:val="single" w:sz="8" w:color="auto"/>
            </w:tcBorders>
          </w:tcPr>
          <w:p>
            <w:pPr>
              <w:jc w:val="center"/>
              <w:ind w:left="301"/>
              <w:spacing w:after="0"/>
              <w:rPr>
                <w:sz w:val="20"/>
                <w:szCs w:val="20"/>
                <w:color w:val="auto"/>
              </w:rPr>
            </w:pPr>
            <w:r>
              <w:rPr>
                <w:rFonts w:ascii="Arial" w:cs="Arial" w:eastAsia="Arial" w:hAnsi="Arial"/>
                <w:sz w:val="16"/>
                <w:szCs w:val="16"/>
                <w:color w:val="auto"/>
                <w:w w:val="93"/>
              </w:rPr>
              <w:t>7.8%</w:t>
            </w:r>
          </w:p>
        </w:tc>
        <w:tc>
          <w:tcPr>
            <w:tcW w:w="6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87,885</w:t>
            </w:r>
          </w:p>
        </w:tc>
        <w:tc>
          <w:tcPr>
            <w:tcW w:w="5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103,444</w:t>
            </w:r>
          </w:p>
        </w:tc>
        <w:tc>
          <w:tcPr>
            <w:tcW w:w="1380" w:type="dxa"/>
            <w:vAlign w:val="bottom"/>
            <w:tcBorders>
              <w:bottom w:val="single" w:sz="8" w:color="auto"/>
            </w:tcBorders>
          </w:tcPr>
          <w:p>
            <w:pPr>
              <w:jc w:val="center"/>
              <w:ind w:left="381"/>
              <w:spacing w:after="0"/>
              <w:rPr>
                <w:sz w:val="20"/>
                <w:szCs w:val="20"/>
                <w:color w:val="auto"/>
              </w:rPr>
            </w:pPr>
            <w:r>
              <w:rPr>
                <w:rFonts w:ascii="Arial" w:cs="Arial" w:eastAsia="Arial" w:hAnsi="Arial"/>
                <w:sz w:val="16"/>
                <w:szCs w:val="16"/>
                <w:color w:val="auto"/>
                <w:w w:val="92"/>
              </w:rPr>
              <w:t>(15.0)%</w:t>
            </w:r>
          </w:p>
        </w:tc>
        <w:tc>
          <w:tcPr>
            <w:tcW w:w="0" w:type="dxa"/>
            <w:vAlign w:val="bottom"/>
          </w:tcPr>
          <w:p>
            <w:pPr>
              <w:spacing w:after="0"/>
              <w:rPr>
                <w:sz w:val="1"/>
                <w:szCs w:val="1"/>
                <w:color w:val="auto"/>
              </w:rPr>
            </w:pPr>
          </w:p>
        </w:tc>
      </w:tr>
      <w:tr>
        <w:trPr>
          <w:trHeight w:val="205"/>
        </w:trPr>
        <w:tc>
          <w:tcPr>
            <w:tcW w:w="24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Ongoing operations:</w:t>
            </w:r>
          </w:p>
        </w:tc>
        <w:tc>
          <w:tcPr>
            <w:tcW w:w="6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0" w:type="dxa"/>
            <w:vAlign w:val="bottom"/>
          </w:tcPr>
          <w:p>
            <w:pPr>
              <w:ind w:left="520"/>
              <w:spacing w:after="0"/>
              <w:rPr>
                <w:sz w:val="20"/>
                <w:szCs w:val="20"/>
                <w:color w:val="auto"/>
              </w:rPr>
            </w:pPr>
            <w:r>
              <w:rPr>
                <w:rFonts w:ascii="Arial" w:cs="Arial" w:eastAsia="Arial" w:hAnsi="Arial"/>
                <w:sz w:val="16"/>
                <w:szCs w:val="16"/>
                <w:color w:val="auto"/>
              </w:rPr>
              <w:t>EBITDA</w:t>
            </w: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0"/>
              <w:spacing w:after="0"/>
              <w:rPr>
                <w:sz w:val="20"/>
                <w:szCs w:val="20"/>
                <w:color w:val="auto"/>
              </w:rPr>
            </w:pPr>
            <w:r>
              <w:rPr>
                <w:rFonts w:ascii="Arial" w:cs="Arial" w:eastAsia="Arial" w:hAnsi="Arial"/>
                <w:sz w:val="16"/>
                <w:szCs w:val="16"/>
                <w:color w:val="auto"/>
              </w:rPr>
              <w:t>4,821</w:t>
            </w:r>
          </w:p>
        </w:tc>
        <w:tc>
          <w:tcPr>
            <w:tcW w:w="5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6,041</w:t>
            </w:r>
          </w:p>
        </w:tc>
        <w:tc>
          <w:tcPr>
            <w:tcW w:w="1480" w:type="dxa"/>
            <w:vAlign w:val="bottom"/>
          </w:tcPr>
          <w:p>
            <w:pPr>
              <w:jc w:val="center"/>
              <w:ind w:left="281"/>
              <w:spacing w:after="0"/>
              <w:rPr>
                <w:sz w:val="20"/>
                <w:szCs w:val="20"/>
                <w:color w:val="auto"/>
              </w:rPr>
            </w:pPr>
            <w:r>
              <w:rPr>
                <w:rFonts w:ascii="Arial" w:cs="Arial" w:eastAsia="Arial" w:hAnsi="Arial"/>
                <w:sz w:val="16"/>
                <w:szCs w:val="16"/>
                <w:color w:val="auto"/>
                <w:w w:val="92"/>
              </w:rPr>
              <w:t>(20.2)%</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0"/>
              <w:spacing w:after="0"/>
              <w:rPr>
                <w:sz w:val="20"/>
                <w:szCs w:val="20"/>
                <w:color w:val="auto"/>
              </w:rPr>
            </w:pPr>
            <w:r>
              <w:rPr>
                <w:rFonts w:ascii="Arial" w:cs="Arial" w:eastAsia="Arial" w:hAnsi="Arial"/>
                <w:sz w:val="16"/>
                <w:szCs w:val="16"/>
                <w:color w:val="auto"/>
              </w:rPr>
              <w:t>21,035</w:t>
            </w:r>
          </w:p>
        </w:tc>
        <w:tc>
          <w:tcPr>
            <w:tcW w:w="5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33,928</w:t>
            </w:r>
          </w:p>
        </w:tc>
        <w:tc>
          <w:tcPr>
            <w:tcW w:w="1380" w:type="dxa"/>
            <w:vAlign w:val="bottom"/>
          </w:tcPr>
          <w:p>
            <w:pPr>
              <w:jc w:val="center"/>
              <w:ind w:left="381"/>
              <w:spacing w:after="0"/>
              <w:rPr>
                <w:sz w:val="20"/>
                <w:szCs w:val="20"/>
                <w:color w:val="auto"/>
              </w:rPr>
            </w:pPr>
            <w:r>
              <w:rPr>
                <w:rFonts w:ascii="Arial" w:cs="Arial" w:eastAsia="Arial" w:hAnsi="Arial"/>
                <w:sz w:val="16"/>
                <w:szCs w:val="16"/>
                <w:color w:val="auto"/>
                <w:w w:val="92"/>
              </w:rPr>
              <w:t>(38.0)%</w:t>
            </w:r>
          </w:p>
        </w:tc>
        <w:tc>
          <w:tcPr>
            <w:tcW w:w="0" w:type="dxa"/>
            <w:vAlign w:val="bottom"/>
          </w:tcPr>
          <w:p>
            <w:pPr>
              <w:spacing w:after="0"/>
              <w:rPr>
                <w:sz w:val="1"/>
                <w:szCs w:val="1"/>
                <w:color w:val="auto"/>
              </w:rPr>
            </w:pPr>
          </w:p>
        </w:tc>
      </w:tr>
      <w:tr>
        <w:trPr>
          <w:trHeight w:val="205"/>
        </w:trPr>
        <w:tc>
          <w:tcPr>
            <w:tcW w:w="24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w w:val="94"/>
              </w:rPr>
              <w:t>Depreciation &amp; amortization</w:t>
            </w:r>
          </w:p>
        </w:tc>
        <w:tc>
          <w:tcPr>
            <w:tcW w:w="6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(1,591)</w:t>
            </w:r>
          </w:p>
        </w:tc>
        <w:tc>
          <w:tcPr>
            <w:tcW w:w="5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1480" w:type="dxa"/>
            <w:vAlign w:val="bottom"/>
            <w:tcBorders>
              <w:bottom w:val="single" w:sz="8" w:color="auto"/>
            </w:tcBorders>
            <w:shd w:val="clear" w:color="auto" w:fill="CCEEFF"/>
          </w:tcPr>
          <w:p>
            <w:pPr>
              <w:jc w:val="center"/>
              <w:ind w:left="301"/>
              <w:spacing w:after="0"/>
              <w:rPr>
                <w:sz w:val="20"/>
                <w:szCs w:val="20"/>
                <w:color w:val="auto"/>
              </w:rPr>
            </w:pPr>
            <w:r>
              <w:rPr>
                <w:rFonts w:ascii="Arial" w:cs="Arial" w:eastAsia="Arial" w:hAnsi="Arial"/>
                <w:sz w:val="16"/>
                <w:szCs w:val="16"/>
                <w:color w:val="auto"/>
                <w:w w:val="92"/>
              </w:rPr>
              <w:t>10.9%</w:t>
            </w:r>
          </w:p>
        </w:tc>
        <w:tc>
          <w:tcPr>
            <w:tcW w:w="6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(4,681)</w:t>
            </w:r>
          </w:p>
        </w:tc>
        <w:tc>
          <w:tcPr>
            <w:tcW w:w="5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(4,868)</w:t>
            </w:r>
          </w:p>
        </w:tc>
        <w:tc>
          <w:tcPr>
            <w:tcW w:w="1380" w:type="dxa"/>
            <w:vAlign w:val="bottom"/>
            <w:tcBorders>
              <w:bottom w:val="single" w:sz="8" w:color="auto"/>
            </w:tcBorders>
            <w:shd w:val="clear" w:color="auto" w:fill="CCEEFF"/>
          </w:tcPr>
          <w:p>
            <w:pPr>
              <w:jc w:val="center"/>
              <w:ind w:left="381"/>
              <w:spacing w:after="0"/>
              <w:rPr>
                <w:sz w:val="20"/>
                <w:szCs w:val="20"/>
                <w:color w:val="auto"/>
              </w:rPr>
            </w:pPr>
            <w:r>
              <w:rPr>
                <w:rFonts w:ascii="Arial" w:cs="Arial" w:eastAsia="Arial" w:hAnsi="Arial"/>
                <w:sz w:val="16"/>
                <w:szCs w:val="16"/>
                <w:color w:val="auto"/>
                <w:w w:val="87"/>
              </w:rPr>
              <w:t>3.8%</w:t>
            </w:r>
          </w:p>
        </w:tc>
        <w:tc>
          <w:tcPr>
            <w:tcW w:w="0" w:type="dxa"/>
            <w:vAlign w:val="bottom"/>
          </w:tcPr>
          <w:p>
            <w:pPr>
              <w:spacing w:after="0"/>
              <w:rPr>
                <w:sz w:val="1"/>
                <w:szCs w:val="1"/>
                <w:color w:val="auto"/>
              </w:rPr>
            </w:pPr>
          </w:p>
        </w:tc>
      </w:tr>
      <w:tr>
        <w:trPr>
          <w:trHeight w:val="201"/>
        </w:trPr>
        <w:tc>
          <w:tcPr>
            <w:tcW w:w="240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EBIT*</w:t>
            </w: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3,230</w:t>
            </w:r>
          </w:p>
        </w:tc>
        <w:tc>
          <w:tcPr>
            <w:tcW w:w="5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4,256</w:t>
            </w:r>
          </w:p>
        </w:tc>
        <w:tc>
          <w:tcPr>
            <w:tcW w:w="1480" w:type="dxa"/>
            <w:vAlign w:val="bottom"/>
            <w:tcBorders>
              <w:bottom w:val="single" w:sz="8" w:color="auto"/>
            </w:tcBorders>
          </w:tcPr>
          <w:p>
            <w:pPr>
              <w:jc w:val="center"/>
              <w:ind w:left="281"/>
              <w:spacing w:after="0"/>
              <w:rPr>
                <w:sz w:val="20"/>
                <w:szCs w:val="20"/>
                <w:color w:val="auto"/>
              </w:rPr>
            </w:pPr>
            <w:r>
              <w:rPr>
                <w:rFonts w:ascii="Arial" w:cs="Arial" w:eastAsia="Arial" w:hAnsi="Arial"/>
                <w:sz w:val="16"/>
                <w:szCs w:val="16"/>
                <w:color w:val="auto"/>
                <w:w w:val="92"/>
              </w:rPr>
              <w:t>(24.1)%</w:t>
            </w:r>
          </w:p>
        </w:tc>
        <w:tc>
          <w:tcPr>
            <w:tcW w:w="6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16,354</w:t>
            </w:r>
          </w:p>
        </w:tc>
        <w:tc>
          <w:tcPr>
            <w:tcW w:w="5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29,060</w:t>
            </w:r>
          </w:p>
        </w:tc>
        <w:tc>
          <w:tcPr>
            <w:tcW w:w="1380" w:type="dxa"/>
            <w:vAlign w:val="bottom"/>
            <w:tcBorders>
              <w:bottom w:val="single" w:sz="8" w:color="auto"/>
            </w:tcBorders>
          </w:tcPr>
          <w:p>
            <w:pPr>
              <w:jc w:val="center"/>
              <w:ind w:left="381"/>
              <w:spacing w:after="0"/>
              <w:rPr>
                <w:sz w:val="20"/>
                <w:szCs w:val="20"/>
                <w:color w:val="auto"/>
              </w:rPr>
            </w:pPr>
            <w:r>
              <w:rPr>
                <w:rFonts w:ascii="Arial" w:cs="Arial" w:eastAsia="Arial" w:hAnsi="Arial"/>
                <w:sz w:val="16"/>
                <w:szCs w:val="16"/>
                <w:color w:val="auto"/>
                <w:w w:val="92"/>
              </w:rPr>
              <w:t>(43.7)%</w:t>
            </w:r>
          </w:p>
        </w:tc>
        <w:tc>
          <w:tcPr>
            <w:tcW w:w="0" w:type="dxa"/>
            <w:vAlign w:val="bottom"/>
          </w:tcPr>
          <w:p>
            <w:pPr>
              <w:spacing w:after="0"/>
              <w:rPr>
                <w:sz w:val="1"/>
                <w:szCs w:val="1"/>
                <w:color w:val="auto"/>
              </w:rPr>
            </w:pPr>
          </w:p>
        </w:tc>
      </w:tr>
      <w:tr>
        <w:trPr>
          <w:trHeight w:val="209"/>
        </w:trPr>
        <w:tc>
          <w:tcPr>
            <w:tcW w:w="24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expenditures</w:t>
            </w:r>
          </w:p>
        </w:tc>
        <w:tc>
          <w:tcPr>
            <w:tcW w:w="6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1,023</w:t>
            </w:r>
          </w:p>
        </w:tc>
        <w:tc>
          <w:tcPr>
            <w:tcW w:w="5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4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2,757</w:t>
            </w:r>
          </w:p>
        </w:tc>
        <w:tc>
          <w:tcPr>
            <w:tcW w:w="5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3,231</w:t>
            </w:r>
          </w:p>
        </w:tc>
        <w:tc>
          <w:tcPr>
            <w:tcW w:w="13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380"/>
        <w:spacing w:after="0"/>
        <w:rPr>
          <w:sz w:val="20"/>
          <w:szCs w:val="20"/>
          <w:color w:val="auto"/>
        </w:rPr>
      </w:pPr>
      <w:r>
        <w:rPr>
          <w:rFonts w:ascii="Arial" w:cs="Arial" w:eastAsia="Arial" w:hAnsi="Arial"/>
          <w:sz w:val="16"/>
          <w:szCs w:val="16"/>
          <w:color w:val="auto"/>
        </w:rPr>
        <w:t>* See the table in Note 11 for a reconciliation of this non-GAAP measure to the most comparable measure calculated in accordance with GAAP.</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Third Quarter 2021 Results vs. Third Quarter 2020 Results</w:t>
      </w:r>
    </w:p>
    <w:p>
      <w:pPr>
        <w:spacing w:after="0" w:line="81" w:lineRule="exact"/>
        <w:rPr>
          <w:sz w:val="20"/>
          <w:szCs w:val="20"/>
          <w:color w:val="auto"/>
        </w:rPr>
      </w:pPr>
    </w:p>
    <w:p>
      <w:pPr>
        <w:ind w:right="440" w:firstLine="362"/>
        <w:spacing w:after="0" w:line="314" w:lineRule="auto"/>
        <w:rPr>
          <w:sz w:val="20"/>
          <w:szCs w:val="20"/>
          <w:color w:val="auto"/>
        </w:rPr>
      </w:pPr>
      <w:r>
        <w:rPr>
          <w:rFonts w:ascii="Arial" w:cs="Arial" w:eastAsia="Arial" w:hAnsi="Arial"/>
          <w:sz w:val="15"/>
          <w:szCs w:val="15"/>
          <w:color w:val="auto"/>
        </w:rPr>
        <w:t>Net sales increased by $2.1 million in the third quarter of 2021 versus the third quarter of 2020, primarily due to higher pricing associated with the pass-through of increased resin costs, partially offset by lower volume associated with the previously disclosed customer product transitions in Surface Protection.</w:t>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EBITDA from ongoing operations in the third quarter of 2021 decreased by $1.2 million versus the third quarter of 2020, primarily due to:</w:t>
      </w:r>
    </w:p>
    <w:p>
      <w:pPr>
        <w:spacing w:after="0" w:line="93" w:lineRule="exact"/>
        <w:rPr>
          <w:sz w:val="20"/>
          <w:szCs w:val="20"/>
          <w:color w:val="auto"/>
        </w:rPr>
      </w:pPr>
    </w:p>
    <w:p>
      <w:pPr>
        <w:ind w:left="360" w:right="20" w:hanging="219"/>
        <w:spacing w:after="0" w:line="261" w:lineRule="auto"/>
        <w:tabs>
          <w:tab w:leader="none" w:pos="356"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$1.3 million decrease from Surface Protection related to lower sales associated with the customer product transitions ($1.6 million), margin erosion associated with higher resin costs that occurred before the resin index pricing plan was fully implemented ($0.5 million) and the pass-through lag associated with higher resin costs ($0.3 million), partially offset by higher sales for products unrelated to the customer product transitions ($0.3 million), lower fixed costs ($0.5 million) and lower selling, general, and administrative expenses ($0.3 million);</w:t>
      </w:r>
    </w:p>
    <w:p>
      <w:pPr>
        <w:spacing w:after="0" w:line="44" w:lineRule="exact"/>
        <w:rPr>
          <w:rFonts w:ascii="Arial" w:cs="Arial" w:eastAsia="Arial" w:hAnsi="Arial"/>
          <w:sz w:val="16"/>
          <w:szCs w:val="16"/>
          <w:color w:val="auto"/>
        </w:rPr>
      </w:pPr>
    </w:p>
    <w:p>
      <w:pPr>
        <w:ind w:left="360" w:hanging="219"/>
        <w:spacing w:after="0"/>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$0.4 million decrease from Pottsville Packaging primarily related to the pass-through lag associated with higher resin costs; and</w:t>
      </w:r>
    </w:p>
    <w:p>
      <w:pPr>
        <w:spacing w:after="0" w:line="93" w:lineRule="exact"/>
        <w:rPr>
          <w:rFonts w:ascii="Arial" w:cs="Arial" w:eastAsia="Arial" w:hAnsi="Arial"/>
          <w:sz w:val="16"/>
          <w:szCs w:val="16"/>
          <w:color w:val="auto"/>
        </w:rPr>
      </w:pPr>
    </w:p>
    <w:p>
      <w:pPr>
        <w:ind w:left="360" w:hanging="219"/>
        <w:spacing w:after="0"/>
        <w:tabs>
          <w:tab w:leader="none" w:pos="3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 xml:space="preserve">A $0.9 million favorable variance associated with the divestiture of Bright View Technologies at the end of 2020. Refer to Item 3. </w:t>
      </w:r>
      <w:r>
        <w:rPr>
          <w:rFonts w:ascii="Arial" w:cs="Arial" w:eastAsia="Arial" w:hAnsi="Arial"/>
          <w:sz w:val="15"/>
          <w:szCs w:val="15"/>
          <w:i w:val="1"/>
          <w:iCs w:val="1"/>
          <w:color w:val="auto"/>
        </w:rPr>
        <w:t>Quantitative and Qualitative</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Disclosures About Market Risk </w:t>
      </w:r>
      <w:r>
        <w:rPr>
          <w:rFonts w:ascii="Arial" w:cs="Arial" w:eastAsia="Arial" w:hAnsi="Arial"/>
          <w:sz w:val="16"/>
          <w:szCs w:val="16"/>
          <w:color w:val="auto"/>
        </w:rPr>
        <w:t>of this Form 10-Q for additional information on resin prices.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Customer Product Transitions and Other Factors in Surface Protection</w:t>
      </w:r>
    </w:p>
    <w:p>
      <w:pPr>
        <w:spacing w:after="0" w:line="81" w:lineRule="exact"/>
        <w:rPr>
          <w:sz w:val="20"/>
          <w:szCs w:val="20"/>
          <w:color w:val="auto"/>
        </w:rPr>
      </w:pPr>
    </w:p>
    <w:p>
      <w:pPr>
        <w:ind w:right="420" w:firstLine="362"/>
        <w:spacing w:after="0" w:line="279" w:lineRule="auto"/>
        <w:rPr>
          <w:sz w:val="20"/>
          <w:szCs w:val="20"/>
          <w:color w:val="auto"/>
        </w:rPr>
      </w:pPr>
      <w:r>
        <w:rPr>
          <w:rFonts w:ascii="Arial" w:cs="Arial" w:eastAsia="Arial" w:hAnsi="Arial"/>
          <w:sz w:val="16"/>
          <w:szCs w:val="16"/>
          <w:color w:val="auto"/>
        </w:rPr>
        <w:t>The Surface Protection component of PE Films supports manufacturers of optical and other specialty substrates used in flat panel display products. These films are primarily used by customers to protect components of displays in the manufacturing and transportation processes and then discarded.</w:t>
      </w:r>
    </w:p>
    <w:p>
      <w:pPr>
        <w:spacing w:after="0" w:line="31" w:lineRule="exact"/>
        <w:rPr>
          <w:sz w:val="20"/>
          <w:szCs w:val="20"/>
          <w:color w:val="auto"/>
        </w:rPr>
      </w:pPr>
    </w:p>
    <w:p>
      <w:pPr>
        <w:ind w:right="180" w:firstLine="362"/>
        <w:spacing w:after="0" w:line="258" w:lineRule="auto"/>
        <w:rPr>
          <w:sz w:val="20"/>
          <w:szCs w:val="20"/>
          <w:color w:val="auto"/>
        </w:rPr>
      </w:pPr>
      <w:r>
        <w:rPr>
          <w:rFonts w:ascii="Arial" w:cs="Arial" w:eastAsia="Arial" w:hAnsi="Arial"/>
          <w:sz w:val="16"/>
          <w:szCs w:val="16"/>
          <w:color w:val="auto"/>
        </w:rPr>
        <w:t>The Company previously reported the risk that a portion of its film products used in surface protection applications would be made obsolete by customer product transitions to less costly alternative processes or materials. The Company estimates that these transitions, which principally relate to one customer, adversely impacted EBITDA from ongoing operations for PE Films by $14.6 million during the first nine months of 2021 versus 2020. No additional adverse impacts from the transitions are anticipated during the fourth quarter of 2021 versus 2020. However, a further decline of $7 million in EBITDA from ongoing operations due to the transitions is expected in 2022 versus 2021, at which time the transitions are expected to be complete.</w:t>
      </w:r>
    </w:p>
    <w:p>
      <w:pPr>
        <w:spacing w:after="0" w:line="61" w:lineRule="exact"/>
        <w:rPr>
          <w:sz w:val="20"/>
          <w:szCs w:val="20"/>
          <w:color w:val="auto"/>
        </w:rPr>
      </w:pPr>
    </w:p>
    <w:p>
      <w:pPr>
        <w:jc w:val="both"/>
        <w:ind w:right="120" w:firstLine="362"/>
        <w:spacing w:after="0" w:line="279" w:lineRule="auto"/>
        <w:rPr>
          <w:sz w:val="20"/>
          <w:szCs w:val="20"/>
          <w:color w:val="auto"/>
        </w:rPr>
      </w:pPr>
      <w:r>
        <w:rPr>
          <w:rFonts w:ascii="Arial" w:cs="Arial" w:eastAsia="Arial" w:hAnsi="Arial"/>
          <w:sz w:val="15"/>
          <w:szCs w:val="15"/>
          <w:color w:val="auto"/>
        </w:rPr>
        <w:t>The Surface Protection business is also experiencing competitive pricing pressures, unrelated to the customer product transitions, that are expected to adversely impact EBITDA from ongoing operations by approximately $6 million in 2022 versus 2021. To offset the expected adverse impact of the customer transitions and pricing pressures, the Company is aggressively pursuing and making progress in generating contribution from sales of new surface protection products, applications and customers and driving production efficiencies and cost savings. Annual contribution to EBITDA from ongoing operations for PE Films from sales of new surface protection products, applications and customers has increased by approximately $12 million during the past two calendar years.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 xml:space="preserve">First Nine Months of 2021 Results vs. First Nine Months </w:t>
      </w:r>
      <w:r>
        <w:rPr>
          <w:rFonts w:ascii="Arial" w:cs="Arial" w:eastAsia="Arial" w:hAnsi="Arial"/>
          <w:sz w:val="16"/>
          <w:szCs w:val="16"/>
          <w:i w:val="1"/>
          <w:iCs w:val="1"/>
          <w:u w:val="single" w:color="auto"/>
          <w:color w:val="auto"/>
          <w:highlight w:val="white"/>
        </w:rPr>
        <w:t>2020 Results</w:t>
      </w:r>
    </w:p>
    <w:p>
      <w:pPr>
        <w:spacing w:after="0" w:line="81" w:lineRule="exact"/>
        <w:rPr>
          <w:sz w:val="20"/>
          <w:szCs w:val="20"/>
          <w:color w:val="auto"/>
        </w:rPr>
      </w:pPr>
    </w:p>
    <w:p>
      <w:pPr>
        <w:ind w:right="720" w:firstLine="362"/>
        <w:spacing w:after="0" w:line="353" w:lineRule="auto"/>
        <w:rPr>
          <w:sz w:val="20"/>
          <w:szCs w:val="20"/>
          <w:color w:val="auto"/>
        </w:rPr>
      </w:pPr>
      <w:r>
        <w:rPr>
          <w:rFonts w:ascii="Arial" w:cs="Arial" w:eastAsia="Arial" w:hAnsi="Arial"/>
          <w:sz w:val="14"/>
          <w:szCs w:val="14"/>
          <w:color w:val="auto"/>
        </w:rPr>
        <w:t>Net sales in the first nine months of 2021 decreased versus the first nine months 2020, primarily due to lower volume and unfavorable mix associated with the previously disclosed customer product transitions in Surface Protection, partially offset by higher pricing associated with the pass-through of increased resin costs.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sectPr>
      </w:pPr>
    </w:p>
    <w:bookmarkStart w:id="28" w:name="page29"/>
    <w:bookmarkEnd w:id="28"/>
    <w:p>
      <w:pPr>
        <w:ind w:left="360"/>
        <w:spacing w:after="0"/>
        <w:rPr>
          <w:sz w:val="20"/>
          <w:szCs w:val="20"/>
          <w:color w:val="auto"/>
        </w:rPr>
      </w:pPr>
      <w:r>
        <w:rPr>
          <w:rFonts w:ascii="Arial" w:cs="Arial" w:eastAsia="Arial" w:hAnsi="Arial"/>
          <w:sz w:val="16"/>
          <w:szCs w:val="16"/>
          <w:color w:val="auto"/>
        </w:rPr>
        <w:t>EBITDA from ongoing operations in the first nine months of 2021 decreased by $12.9 million versus the first nine months of 2020 primarily due to:</w:t>
      </w:r>
    </w:p>
    <w:p>
      <w:pPr>
        <w:spacing w:after="0" w:line="81" w:lineRule="exact"/>
        <w:rPr>
          <w:sz w:val="20"/>
          <w:szCs w:val="20"/>
          <w:color w:val="auto"/>
        </w:rPr>
      </w:pPr>
    </w:p>
    <w:p>
      <w:pPr>
        <w:ind w:left="360" w:right="100" w:hanging="219"/>
        <w:spacing w:after="0" w:line="261" w:lineRule="auto"/>
        <w:tabs>
          <w:tab w:leader="none" w:pos="356"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$12.5 million decrease from Surface Protection primarily related to lower sales and unfavorable mix associated with the customer product transitions ($14.6 million), margin erosion associated with higher resin costs that occurred before the resin index pricing plan was fully implemented ($1.4 million) and the pass-through lag associated with higher resin costs ($1.0 million), partially offset by higher sales of products unrelated to the customer product transitions ($0.9 million) and production efficiencies and cost savings ($2.8 million);</w:t>
      </w:r>
    </w:p>
    <w:p>
      <w:pPr>
        <w:spacing w:after="0" w:line="56" w:lineRule="exact"/>
        <w:rPr>
          <w:rFonts w:ascii="Arial" w:cs="Arial" w:eastAsia="Arial" w:hAnsi="Arial"/>
          <w:sz w:val="16"/>
          <w:szCs w:val="16"/>
          <w:color w:val="auto"/>
        </w:rPr>
      </w:pPr>
    </w:p>
    <w:p>
      <w:pPr>
        <w:ind w:left="360" w:hanging="219"/>
        <w:spacing w:after="0"/>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$1.4 million decrease from Pottsville Packaging primarily related to the pass-through lag associated with higher resin costs; and</w:t>
      </w:r>
    </w:p>
    <w:p>
      <w:pPr>
        <w:spacing w:after="0" w:line="93" w:lineRule="exact"/>
        <w:rPr>
          <w:rFonts w:ascii="Arial" w:cs="Arial" w:eastAsia="Arial" w:hAnsi="Arial"/>
          <w:sz w:val="16"/>
          <w:szCs w:val="16"/>
          <w:color w:val="auto"/>
        </w:rPr>
      </w:pPr>
    </w:p>
    <w:p>
      <w:pPr>
        <w:ind w:left="360" w:hanging="219"/>
        <w:spacing w:after="0"/>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$1.6 million favorable variance associated with the divestiture of Bright View Technologies at the end of 2020.</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Projected Capital Expenditures and Depreciation &amp; Amortization</w:t>
      </w:r>
    </w:p>
    <w:p>
      <w:pPr>
        <w:spacing w:after="0" w:line="93" w:lineRule="exact"/>
        <w:rPr>
          <w:sz w:val="20"/>
          <w:szCs w:val="20"/>
          <w:color w:val="auto"/>
        </w:rPr>
      </w:pPr>
    </w:p>
    <w:p>
      <w:pPr>
        <w:ind w:right="140" w:firstLine="362"/>
        <w:spacing w:after="0" w:line="314" w:lineRule="auto"/>
        <w:rPr>
          <w:sz w:val="20"/>
          <w:szCs w:val="20"/>
          <w:color w:val="auto"/>
        </w:rPr>
      </w:pPr>
      <w:r>
        <w:rPr>
          <w:rFonts w:ascii="Arial" w:cs="Arial" w:eastAsia="Arial" w:hAnsi="Arial"/>
          <w:sz w:val="15"/>
          <w:szCs w:val="15"/>
          <w:color w:val="auto"/>
        </w:rPr>
        <w:t>Capital expenditures for PE Films are projected to be $4 million in 2021, including $2 million for productivity projects and $2 million for capital expenditures required to support continuity of current operations. Depreciation expense is projected to be $6 million in 2021. There is no amortization expense for PE Films.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Flexible Packaging Films</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 summary of results for Flexible Packaging Films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714692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60" w:type="dxa"/>
            <w:vAlign w:val="bottom"/>
            <w:gridSpan w:val="3"/>
          </w:tcPr>
          <w:p>
            <w:pPr>
              <w:jc w:val="right"/>
              <w:ind w:right="420"/>
              <w:spacing w:after="0"/>
              <w:rPr>
                <w:sz w:val="20"/>
                <w:szCs w:val="20"/>
                <w:color w:val="auto"/>
              </w:rPr>
            </w:pPr>
            <w:r>
              <w:rPr>
                <w:rFonts w:ascii="Arial" w:cs="Arial" w:eastAsia="Arial" w:hAnsi="Arial"/>
                <w:sz w:val="16"/>
                <w:szCs w:val="16"/>
                <w:color w:val="auto"/>
              </w:rPr>
              <w:t>Three Months Ended</w:t>
            </w:r>
          </w:p>
        </w:tc>
        <w:tc>
          <w:tcPr>
            <w:tcW w:w="1440" w:type="dxa"/>
            <w:vAlign w:val="bottom"/>
            <w:vMerge w:val="restart"/>
          </w:tcPr>
          <w:p>
            <w:pPr>
              <w:ind w:left="560"/>
              <w:spacing w:after="0"/>
              <w:rPr>
                <w:sz w:val="20"/>
                <w:szCs w:val="20"/>
                <w:color w:val="auto"/>
              </w:rPr>
            </w:pPr>
            <w:r>
              <w:rPr>
                <w:rFonts w:ascii="Arial" w:cs="Arial" w:eastAsia="Arial" w:hAnsi="Arial"/>
                <w:sz w:val="16"/>
                <w:szCs w:val="16"/>
                <w:color w:val="auto"/>
              </w:rPr>
              <w:t>Favorable/</w:t>
            </w:r>
          </w:p>
        </w:tc>
        <w:tc>
          <w:tcPr>
            <w:tcW w:w="600" w:type="dxa"/>
            <w:vAlign w:val="bottom"/>
          </w:tcPr>
          <w:p>
            <w:pPr>
              <w:spacing w:after="0"/>
              <w:rPr>
                <w:sz w:val="17"/>
                <w:szCs w:val="17"/>
                <w:color w:val="auto"/>
              </w:rPr>
            </w:pPr>
          </w:p>
        </w:tc>
        <w:tc>
          <w:tcPr>
            <w:tcW w:w="2320" w:type="dxa"/>
            <w:vAlign w:val="bottom"/>
            <w:gridSpan w:val="3"/>
          </w:tcPr>
          <w:p>
            <w:pPr>
              <w:jc w:val="right"/>
              <w:ind w:right="560"/>
              <w:spacing w:after="0"/>
              <w:rPr>
                <w:sz w:val="20"/>
                <w:szCs w:val="20"/>
                <w:color w:val="auto"/>
              </w:rPr>
            </w:pPr>
            <w:r>
              <w:rPr>
                <w:rFonts w:ascii="Arial" w:cs="Arial" w:eastAsia="Arial" w:hAnsi="Arial"/>
                <w:sz w:val="16"/>
                <w:szCs w:val="16"/>
                <w:color w:val="auto"/>
              </w:rPr>
              <w:t>Nine Months Ended</w:t>
            </w:r>
          </w:p>
        </w:tc>
        <w:tc>
          <w:tcPr>
            <w:tcW w:w="1360" w:type="dxa"/>
            <w:vAlign w:val="bottom"/>
            <w:vMerge w:val="restart"/>
          </w:tcPr>
          <w:p>
            <w:pPr>
              <w:ind w:left="560"/>
              <w:spacing w:after="0"/>
              <w:rPr>
                <w:sz w:val="20"/>
                <w:szCs w:val="20"/>
                <w:color w:val="auto"/>
              </w:rPr>
            </w:pPr>
            <w:r>
              <w:rPr>
                <w:rFonts w:ascii="Arial" w:cs="Arial" w:eastAsia="Arial" w:hAnsi="Arial"/>
                <w:sz w:val="16"/>
                <w:szCs w:val="16"/>
                <w:color w:val="auto"/>
              </w:rPr>
              <w:t>Favorable/</w:t>
            </w:r>
          </w:p>
        </w:tc>
        <w:tc>
          <w:tcPr>
            <w:tcW w:w="0" w:type="dxa"/>
            <w:vAlign w:val="bottom"/>
          </w:tcPr>
          <w:p>
            <w:pPr>
              <w:spacing w:after="0"/>
              <w:rPr>
                <w:sz w:val="1"/>
                <w:szCs w:val="1"/>
                <w:color w:val="auto"/>
              </w:rPr>
            </w:pPr>
          </w:p>
        </w:tc>
      </w:tr>
      <w:tr>
        <w:trPr>
          <w:trHeight w:val="121"/>
        </w:trPr>
        <w:tc>
          <w:tcPr>
            <w:tcW w:w="2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6"/>
                <w:szCs w:val="16"/>
                <w:color w:val="auto"/>
              </w:rPr>
              <w:t>September 30,</w:t>
            </w:r>
          </w:p>
        </w:tc>
        <w:tc>
          <w:tcPr>
            <w:tcW w:w="6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6"/>
                <w:szCs w:val="16"/>
                <w:color w:val="auto"/>
              </w:rPr>
              <w:t>September 30,</w:t>
            </w:r>
          </w:p>
        </w:tc>
        <w:tc>
          <w:tcPr>
            <w:tcW w:w="7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2"/>
            <w:vMerge w:val="continue"/>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40" w:type="dxa"/>
            <w:vAlign w:val="bottom"/>
          </w:tcPr>
          <w:p>
            <w:pPr>
              <w:jc w:val="center"/>
              <w:spacing w:after="0" w:line="121" w:lineRule="exact"/>
              <w:rPr>
                <w:sz w:val="20"/>
                <w:szCs w:val="20"/>
                <w:color w:val="auto"/>
              </w:rPr>
            </w:pPr>
            <w:r>
              <w:rPr>
                <w:rFonts w:ascii="Arial" w:cs="Arial" w:eastAsia="Arial" w:hAnsi="Arial"/>
                <w:sz w:val="13"/>
                <w:szCs w:val="13"/>
                <w:color w:val="auto"/>
              </w:rPr>
              <w:t>(Unfavorable)</w:t>
            </w:r>
          </w:p>
        </w:tc>
        <w:tc>
          <w:tcPr>
            <w:tcW w:w="6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2"/>
            <w:vMerge w:val="continue"/>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360" w:type="dxa"/>
            <w:vAlign w:val="bottom"/>
          </w:tcPr>
          <w:p>
            <w:pPr>
              <w:jc w:val="center"/>
              <w:ind w:left="1"/>
              <w:spacing w:after="0" w:line="121" w:lineRule="exact"/>
              <w:rPr>
                <w:sz w:val="20"/>
                <w:szCs w:val="20"/>
                <w:color w:val="auto"/>
              </w:rPr>
            </w:pPr>
            <w:r>
              <w:rPr>
                <w:rFonts w:ascii="Arial" w:cs="Arial" w:eastAsia="Arial" w:hAnsi="Arial"/>
                <w:sz w:val="13"/>
                <w:szCs w:val="13"/>
                <w:color w:val="auto"/>
              </w:rPr>
              <w:t>(Unfavorable)</w:t>
            </w:r>
          </w:p>
        </w:tc>
        <w:tc>
          <w:tcPr>
            <w:tcW w:w="0" w:type="dxa"/>
            <w:vAlign w:val="bottom"/>
          </w:tcPr>
          <w:p>
            <w:pPr>
              <w:spacing w:after="0"/>
              <w:rPr>
                <w:sz w:val="1"/>
                <w:szCs w:val="1"/>
                <w:color w:val="auto"/>
              </w:rPr>
            </w:pPr>
          </w:p>
        </w:tc>
      </w:tr>
      <w:tr>
        <w:trPr>
          <w:trHeight w:val="221"/>
        </w:trPr>
        <w:tc>
          <w:tcPr>
            <w:tcW w:w="28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w w:val="95"/>
              </w:rPr>
              <w:t>(In thousands, except percentages)</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2021</w:t>
            </w:r>
          </w:p>
        </w:tc>
        <w:tc>
          <w:tcPr>
            <w:tcW w:w="5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w w:val="95"/>
              </w:rPr>
              <w:t>2020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 Change</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color w:val="auto"/>
              </w:rPr>
              <w:t>2021</w:t>
            </w:r>
          </w:p>
        </w:tc>
        <w:tc>
          <w:tcPr>
            <w:tcW w:w="5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2020</w:t>
            </w:r>
          </w:p>
        </w:tc>
        <w:tc>
          <w:tcPr>
            <w:tcW w:w="1360" w:type="dxa"/>
            <w:vAlign w:val="bottom"/>
            <w:tcBorders>
              <w:bottom w:val="single" w:sz="8" w:color="auto"/>
            </w:tcBorders>
          </w:tcPr>
          <w:p>
            <w:pPr>
              <w:jc w:val="center"/>
              <w:ind w:left="21"/>
              <w:spacing w:after="0"/>
              <w:rPr>
                <w:sz w:val="20"/>
                <w:szCs w:val="20"/>
                <w:color w:val="auto"/>
              </w:rPr>
            </w:pPr>
            <w:r>
              <w:rPr>
                <w:rFonts w:ascii="Arial" w:cs="Arial" w:eastAsia="Arial" w:hAnsi="Arial"/>
                <w:sz w:val="16"/>
                <w:szCs w:val="16"/>
                <w:color w:val="auto"/>
                <w:w w:val="88"/>
              </w:rPr>
              <w:t>% Change</w:t>
            </w:r>
          </w:p>
        </w:tc>
        <w:tc>
          <w:tcPr>
            <w:tcW w:w="0" w:type="dxa"/>
            <w:vAlign w:val="bottom"/>
          </w:tcPr>
          <w:p>
            <w:pPr>
              <w:spacing w:after="0"/>
              <w:rPr>
                <w:sz w:val="1"/>
                <w:szCs w:val="1"/>
                <w:color w:val="auto"/>
              </w:rPr>
            </w:pPr>
          </w:p>
        </w:tc>
      </w:tr>
      <w:tr>
        <w:trPr>
          <w:trHeight w:val="197"/>
        </w:trPr>
        <w:tc>
          <w:tcPr>
            <w:tcW w:w="28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Sales volume (lbs)</w:t>
            </w: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27,029</w:t>
            </w: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30,115</w:t>
            </w:r>
          </w:p>
        </w:tc>
        <w:tc>
          <w:tcPr>
            <w:tcW w:w="1440" w:type="dxa"/>
            <w:vAlign w:val="bottom"/>
            <w:shd w:val="clear" w:color="auto" w:fill="CCEEFF"/>
          </w:tcPr>
          <w:p>
            <w:pPr>
              <w:jc w:val="center"/>
              <w:ind w:left="281"/>
              <w:spacing w:after="0"/>
              <w:rPr>
                <w:sz w:val="20"/>
                <w:szCs w:val="20"/>
                <w:color w:val="auto"/>
              </w:rPr>
            </w:pPr>
            <w:r>
              <w:rPr>
                <w:rFonts w:ascii="Arial" w:cs="Arial" w:eastAsia="Arial" w:hAnsi="Arial"/>
                <w:sz w:val="16"/>
                <w:szCs w:val="16"/>
                <w:color w:val="auto"/>
                <w:w w:val="92"/>
              </w:rPr>
              <w:t>(10.2)%</w:t>
            </w: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78,666</w:t>
            </w: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85,059</w:t>
            </w:r>
          </w:p>
        </w:tc>
        <w:tc>
          <w:tcPr>
            <w:tcW w:w="1360" w:type="dxa"/>
            <w:vAlign w:val="bottom"/>
            <w:shd w:val="clear" w:color="auto" w:fill="CCEEFF"/>
          </w:tcPr>
          <w:p>
            <w:pPr>
              <w:jc w:val="center"/>
              <w:ind w:left="361"/>
              <w:spacing w:after="0"/>
              <w:rPr>
                <w:sz w:val="20"/>
                <w:szCs w:val="20"/>
                <w:color w:val="auto"/>
              </w:rPr>
            </w:pPr>
            <w:r>
              <w:rPr>
                <w:rFonts w:ascii="Arial" w:cs="Arial" w:eastAsia="Arial" w:hAnsi="Arial"/>
                <w:sz w:val="16"/>
                <w:szCs w:val="16"/>
                <w:color w:val="auto"/>
                <w:w w:val="93"/>
              </w:rPr>
              <w:t>(7.5)%</w:t>
            </w:r>
          </w:p>
        </w:tc>
        <w:tc>
          <w:tcPr>
            <w:tcW w:w="0" w:type="dxa"/>
            <w:vAlign w:val="bottom"/>
          </w:tcPr>
          <w:p>
            <w:pPr>
              <w:spacing w:after="0"/>
              <w:rPr>
                <w:sz w:val="1"/>
                <w:szCs w:val="1"/>
                <w:color w:val="auto"/>
              </w:rPr>
            </w:pPr>
          </w:p>
        </w:tc>
      </w:tr>
      <w:tr>
        <w:trPr>
          <w:trHeight w:val="209"/>
        </w:trPr>
        <w:tc>
          <w:tcPr>
            <w:tcW w:w="28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Net sales</w:t>
            </w: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36,666</w:t>
            </w:r>
          </w:p>
        </w:tc>
        <w:tc>
          <w:tcPr>
            <w:tcW w:w="5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35,856</w:t>
            </w:r>
          </w:p>
        </w:tc>
        <w:tc>
          <w:tcPr>
            <w:tcW w:w="1440" w:type="dxa"/>
            <w:vAlign w:val="bottom"/>
            <w:tcBorders>
              <w:bottom w:val="single" w:sz="8" w:color="auto"/>
            </w:tcBorders>
          </w:tcPr>
          <w:p>
            <w:pPr>
              <w:jc w:val="center"/>
              <w:ind w:left="301"/>
              <w:spacing w:after="0"/>
              <w:rPr>
                <w:sz w:val="20"/>
                <w:szCs w:val="20"/>
                <w:color w:val="auto"/>
              </w:rPr>
            </w:pPr>
            <w:r>
              <w:rPr>
                <w:rFonts w:ascii="Arial" w:cs="Arial" w:eastAsia="Arial" w:hAnsi="Arial"/>
                <w:sz w:val="16"/>
                <w:szCs w:val="16"/>
                <w:color w:val="auto"/>
                <w:w w:val="93"/>
              </w:rPr>
              <w:t>2.3%</w:t>
            </w:r>
          </w:p>
        </w:tc>
        <w:tc>
          <w:tcPr>
            <w:tcW w:w="6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102,560</w:t>
            </w:r>
          </w:p>
        </w:tc>
        <w:tc>
          <w:tcPr>
            <w:tcW w:w="5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100,534</w:t>
            </w:r>
          </w:p>
        </w:tc>
        <w:tc>
          <w:tcPr>
            <w:tcW w:w="1360" w:type="dxa"/>
            <w:vAlign w:val="bottom"/>
            <w:tcBorders>
              <w:bottom w:val="single" w:sz="8" w:color="auto"/>
            </w:tcBorders>
          </w:tcPr>
          <w:p>
            <w:pPr>
              <w:jc w:val="center"/>
              <w:ind w:left="381"/>
              <w:spacing w:after="0"/>
              <w:rPr>
                <w:sz w:val="20"/>
                <w:szCs w:val="20"/>
                <w:color w:val="auto"/>
              </w:rPr>
            </w:pPr>
            <w:r>
              <w:rPr>
                <w:rFonts w:ascii="Arial" w:cs="Arial" w:eastAsia="Arial" w:hAnsi="Arial"/>
                <w:sz w:val="16"/>
                <w:szCs w:val="16"/>
                <w:color w:val="auto"/>
                <w:w w:val="93"/>
              </w:rPr>
              <w:t>2.0%</w:t>
            </w:r>
          </w:p>
        </w:tc>
        <w:tc>
          <w:tcPr>
            <w:tcW w:w="0" w:type="dxa"/>
            <w:vAlign w:val="bottom"/>
          </w:tcPr>
          <w:p>
            <w:pPr>
              <w:spacing w:after="0"/>
              <w:rPr>
                <w:sz w:val="1"/>
                <w:szCs w:val="1"/>
                <w:color w:val="auto"/>
              </w:rPr>
            </w:pPr>
          </w:p>
        </w:tc>
      </w:tr>
      <w:tr>
        <w:trPr>
          <w:trHeight w:val="205"/>
        </w:trPr>
        <w:tc>
          <w:tcPr>
            <w:tcW w:w="28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Ongoing operations:</w:t>
            </w: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800" w:type="dxa"/>
            <w:vAlign w:val="bottom"/>
          </w:tcPr>
          <w:p>
            <w:pPr>
              <w:ind w:left="520"/>
              <w:spacing w:after="0"/>
              <w:rPr>
                <w:sz w:val="20"/>
                <w:szCs w:val="20"/>
                <w:color w:val="auto"/>
              </w:rPr>
            </w:pPr>
            <w:r>
              <w:rPr>
                <w:rFonts w:ascii="Arial" w:cs="Arial" w:eastAsia="Arial" w:hAnsi="Arial"/>
                <w:sz w:val="16"/>
                <w:szCs w:val="16"/>
                <w:color w:val="auto"/>
              </w:rPr>
              <w:t>EBITDA</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0"/>
              <w:spacing w:after="0"/>
              <w:rPr>
                <w:sz w:val="20"/>
                <w:szCs w:val="20"/>
                <w:color w:val="auto"/>
              </w:rPr>
            </w:pPr>
            <w:r>
              <w:rPr>
                <w:rFonts w:ascii="Arial" w:cs="Arial" w:eastAsia="Arial" w:hAnsi="Arial"/>
                <w:sz w:val="16"/>
                <w:szCs w:val="16"/>
                <w:color w:val="auto"/>
              </w:rPr>
              <w:t>7,396</w:t>
            </w:r>
          </w:p>
        </w:tc>
        <w:tc>
          <w:tcPr>
            <w:tcW w:w="5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9,546</w:t>
            </w:r>
          </w:p>
        </w:tc>
        <w:tc>
          <w:tcPr>
            <w:tcW w:w="1440" w:type="dxa"/>
            <w:vAlign w:val="bottom"/>
          </w:tcPr>
          <w:p>
            <w:pPr>
              <w:jc w:val="center"/>
              <w:ind w:left="281"/>
              <w:spacing w:after="0"/>
              <w:rPr>
                <w:sz w:val="20"/>
                <w:szCs w:val="20"/>
                <w:color w:val="auto"/>
              </w:rPr>
            </w:pPr>
            <w:r>
              <w:rPr>
                <w:rFonts w:ascii="Arial" w:cs="Arial" w:eastAsia="Arial" w:hAnsi="Arial"/>
                <w:sz w:val="16"/>
                <w:szCs w:val="16"/>
                <w:color w:val="auto"/>
                <w:w w:val="92"/>
              </w:rPr>
              <w:t>(22.5)%</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0"/>
              <w:spacing w:after="0"/>
              <w:rPr>
                <w:sz w:val="20"/>
                <w:szCs w:val="20"/>
                <w:color w:val="auto"/>
              </w:rPr>
            </w:pPr>
            <w:r>
              <w:rPr>
                <w:rFonts w:ascii="Arial" w:cs="Arial" w:eastAsia="Arial" w:hAnsi="Arial"/>
                <w:sz w:val="16"/>
                <w:szCs w:val="16"/>
                <w:color w:val="auto"/>
              </w:rPr>
              <w:t>25,296</w:t>
            </w:r>
          </w:p>
        </w:tc>
        <w:tc>
          <w:tcPr>
            <w:tcW w:w="5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22,594</w:t>
            </w:r>
          </w:p>
        </w:tc>
        <w:tc>
          <w:tcPr>
            <w:tcW w:w="1360" w:type="dxa"/>
            <w:vAlign w:val="bottom"/>
          </w:tcPr>
          <w:p>
            <w:pPr>
              <w:jc w:val="center"/>
              <w:ind w:left="381"/>
              <w:spacing w:after="0"/>
              <w:rPr>
                <w:sz w:val="20"/>
                <w:szCs w:val="20"/>
                <w:color w:val="auto"/>
              </w:rPr>
            </w:pPr>
            <w:r>
              <w:rPr>
                <w:rFonts w:ascii="Arial" w:cs="Arial" w:eastAsia="Arial" w:hAnsi="Arial"/>
                <w:sz w:val="16"/>
                <w:szCs w:val="16"/>
                <w:color w:val="auto"/>
                <w:w w:val="92"/>
              </w:rPr>
              <w:t>12.0%</w:t>
            </w:r>
          </w:p>
        </w:tc>
        <w:tc>
          <w:tcPr>
            <w:tcW w:w="0" w:type="dxa"/>
            <w:vAlign w:val="bottom"/>
          </w:tcPr>
          <w:p>
            <w:pPr>
              <w:spacing w:after="0"/>
              <w:rPr>
                <w:sz w:val="1"/>
                <w:szCs w:val="1"/>
                <w:color w:val="auto"/>
              </w:rPr>
            </w:pPr>
          </w:p>
        </w:tc>
      </w:tr>
      <w:tr>
        <w:trPr>
          <w:trHeight w:val="205"/>
        </w:trPr>
        <w:tc>
          <w:tcPr>
            <w:tcW w:w="28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Depreciation &amp; amortization</w:t>
            </w:r>
          </w:p>
        </w:tc>
        <w:tc>
          <w:tcPr>
            <w:tcW w:w="5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(493)</w:t>
            </w:r>
          </w:p>
        </w:tc>
        <w:tc>
          <w:tcPr>
            <w:tcW w:w="5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440" w:type="dxa"/>
            <w:vAlign w:val="bottom"/>
            <w:tcBorders>
              <w:bottom w:val="single" w:sz="8" w:color="auto"/>
            </w:tcBorders>
            <w:shd w:val="clear" w:color="auto" w:fill="CCEEFF"/>
          </w:tcPr>
          <w:p>
            <w:pPr>
              <w:jc w:val="center"/>
              <w:ind w:left="281"/>
              <w:spacing w:after="0"/>
              <w:rPr>
                <w:sz w:val="20"/>
                <w:szCs w:val="20"/>
                <w:color w:val="auto"/>
              </w:rPr>
            </w:pPr>
            <w:r>
              <w:rPr>
                <w:rFonts w:ascii="Arial" w:cs="Arial" w:eastAsia="Arial" w:hAnsi="Arial"/>
                <w:sz w:val="16"/>
                <w:szCs w:val="16"/>
                <w:color w:val="auto"/>
                <w:w w:val="92"/>
              </w:rPr>
              <w:t>(11.3)%</w:t>
            </w:r>
          </w:p>
        </w:tc>
        <w:tc>
          <w:tcPr>
            <w:tcW w:w="6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(1,466)</w:t>
            </w:r>
          </w:p>
        </w:tc>
        <w:tc>
          <w:tcPr>
            <w:tcW w:w="5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(1,306)</w:t>
            </w:r>
          </w:p>
        </w:tc>
        <w:tc>
          <w:tcPr>
            <w:tcW w:w="1360" w:type="dxa"/>
            <w:vAlign w:val="bottom"/>
            <w:tcBorders>
              <w:bottom w:val="single" w:sz="8" w:color="auto"/>
            </w:tcBorders>
            <w:shd w:val="clear" w:color="auto" w:fill="CCEEFF"/>
          </w:tcPr>
          <w:p>
            <w:pPr>
              <w:jc w:val="center"/>
              <w:ind w:left="361"/>
              <w:spacing w:after="0"/>
              <w:rPr>
                <w:sz w:val="20"/>
                <w:szCs w:val="20"/>
                <w:color w:val="auto"/>
              </w:rPr>
            </w:pPr>
            <w:r>
              <w:rPr>
                <w:rFonts w:ascii="Arial" w:cs="Arial" w:eastAsia="Arial" w:hAnsi="Arial"/>
                <w:sz w:val="16"/>
                <w:szCs w:val="16"/>
                <w:color w:val="auto"/>
                <w:w w:val="92"/>
              </w:rPr>
              <w:t>(12.3)%</w:t>
            </w:r>
          </w:p>
        </w:tc>
        <w:tc>
          <w:tcPr>
            <w:tcW w:w="0" w:type="dxa"/>
            <w:vAlign w:val="bottom"/>
          </w:tcPr>
          <w:p>
            <w:pPr>
              <w:spacing w:after="0"/>
              <w:rPr>
                <w:sz w:val="1"/>
                <w:szCs w:val="1"/>
                <w:color w:val="auto"/>
              </w:rPr>
            </w:pPr>
          </w:p>
        </w:tc>
      </w:tr>
      <w:tr>
        <w:trPr>
          <w:trHeight w:val="201"/>
        </w:trPr>
        <w:tc>
          <w:tcPr>
            <w:tcW w:w="280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EBIT*</w:t>
            </w: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6,903</w:t>
            </w:r>
          </w:p>
        </w:tc>
        <w:tc>
          <w:tcPr>
            <w:tcW w:w="5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9,103</w:t>
            </w:r>
          </w:p>
        </w:tc>
        <w:tc>
          <w:tcPr>
            <w:tcW w:w="1440" w:type="dxa"/>
            <w:vAlign w:val="bottom"/>
            <w:tcBorders>
              <w:bottom w:val="single" w:sz="8" w:color="auto"/>
            </w:tcBorders>
          </w:tcPr>
          <w:p>
            <w:pPr>
              <w:jc w:val="center"/>
              <w:ind w:left="281"/>
              <w:spacing w:after="0"/>
              <w:rPr>
                <w:sz w:val="20"/>
                <w:szCs w:val="20"/>
                <w:color w:val="auto"/>
              </w:rPr>
            </w:pPr>
            <w:r>
              <w:rPr>
                <w:rFonts w:ascii="Arial" w:cs="Arial" w:eastAsia="Arial" w:hAnsi="Arial"/>
                <w:sz w:val="16"/>
                <w:szCs w:val="16"/>
                <w:color w:val="auto"/>
                <w:w w:val="92"/>
              </w:rPr>
              <w:t>(24.2)%</w:t>
            </w:r>
          </w:p>
        </w:tc>
        <w:tc>
          <w:tcPr>
            <w:tcW w:w="6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23,830</w:t>
            </w:r>
          </w:p>
        </w:tc>
        <w:tc>
          <w:tcPr>
            <w:tcW w:w="5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21,288</w:t>
            </w:r>
          </w:p>
        </w:tc>
        <w:tc>
          <w:tcPr>
            <w:tcW w:w="1360" w:type="dxa"/>
            <w:vAlign w:val="bottom"/>
            <w:tcBorders>
              <w:bottom w:val="single" w:sz="8" w:color="auto"/>
            </w:tcBorders>
          </w:tcPr>
          <w:p>
            <w:pPr>
              <w:jc w:val="center"/>
              <w:ind w:left="361"/>
              <w:spacing w:after="0"/>
              <w:rPr>
                <w:sz w:val="20"/>
                <w:szCs w:val="20"/>
                <w:color w:val="auto"/>
              </w:rPr>
            </w:pPr>
            <w:r>
              <w:rPr>
                <w:rFonts w:ascii="Arial" w:cs="Arial" w:eastAsia="Arial" w:hAnsi="Arial"/>
                <w:sz w:val="16"/>
                <w:szCs w:val="16"/>
                <w:color w:val="auto"/>
                <w:w w:val="88"/>
              </w:rPr>
              <w:t>11.9%</w:t>
            </w:r>
          </w:p>
        </w:tc>
        <w:tc>
          <w:tcPr>
            <w:tcW w:w="0" w:type="dxa"/>
            <w:vAlign w:val="bottom"/>
          </w:tcPr>
          <w:p>
            <w:pPr>
              <w:spacing w:after="0"/>
              <w:rPr>
                <w:sz w:val="1"/>
                <w:szCs w:val="1"/>
                <w:color w:val="auto"/>
              </w:rPr>
            </w:pPr>
          </w:p>
        </w:tc>
      </w:tr>
      <w:tr>
        <w:trPr>
          <w:trHeight w:val="209"/>
        </w:trPr>
        <w:tc>
          <w:tcPr>
            <w:tcW w:w="28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expenditures</w:t>
            </w:r>
          </w:p>
        </w:tc>
        <w:tc>
          <w:tcPr>
            <w:tcW w:w="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1,895</w:t>
            </w:r>
          </w:p>
        </w:tc>
        <w:tc>
          <w:tcPr>
            <w:tcW w:w="5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14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4,283</w:t>
            </w:r>
          </w:p>
        </w:tc>
        <w:tc>
          <w:tcPr>
            <w:tcW w:w="5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2,448</w:t>
            </w:r>
          </w:p>
        </w:tc>
        <w:tc>
          <w:tcPr>
            <w:tcW w:w="13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380"/>
        <w:spacing w:after="0"/>
        <w:rPr>
          <w:sz w:val="20"/>
          <w:szCs w:val="20"/>
          <w:color w:val="auto"/>
        </w:rPr>
      </w:pPr>
      <w:r>
        <w:rPr>
          <w:rFonts w:ascii="Arial" w:cs="Arial" w:eastAsia="Arial" w:hAnsi="Arial"/>
          <w:sz w:val="16"/>
          <w:szCs w:val="16"/>
          <w:color w:val="auto"/>
        </w:rPr>
        <w:t>* See the table in Note 11 for a reconciliation of this non-GAAP measure to the most comparable measure calculated in accordance with GAAP.</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Third Quarter 2021 Results vs. Third Quarter 2020 Results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Sales volume declined by 10.2% during the third quarter of 2021 versus the third quarter of 2020, primarily due to lower demand, reduced production capacity as a</w:t>
      </w:r>
    </w:p>
    <w:p>
      <w:pPr>
        <w:spacing w:after="0" w:line="44"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result of an equipment failure on a production line and supply chain restrictions, which Terphane believes are impacting others in the industry as well. While the equipment failure is not expected to be fixed until early in 2022, Terphane has adjusted operations for the interim period to meet anticipated customer demand. Net sales in the third quarter of 2021 increased 2.3% compared to the third quarter of 2020, primarily due to higher selling prices from the pass-through of higher resin costs and favorable product mix, partially offset by lower sales volume.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EBITDA from ongoing operations in the third quarter of 2021 decreased by $2.2 million versus the third quarter of 2020 primarily due to:</w:t>
      </w:r>
    </w:p>
    <w:p>
      <w:pPr>
        <w:spacing w:after="0" w:line="93" w:lineRule="exact"/>
        <w:rPr>
          <w:sz w:val="20"/>
          <w:szCs w:val="20"/>
          <w:color w:val="auto"/>
        </w:rPr>
      </w:pPr>
    </w:p>
    <w:p>
      <w:pPr>
        <w:ind w:left="580" w:right="100" w:hanging="222"/>
        <w:spacing w:after="0" w:line="279" w:lineRule="auto"/>
        <w:tabs>
          <w:tab w:leader="none" w:pos="5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Lower sales volume ($1.8 million), higher raw material costs ($4.8 million) and higher selling and general administration expenses ($0.1 million), partially offset by higher selling prices ($3.4 million) from the pass-through of higher resin costs;</w:t>
      </w:r>
    </w:p>
    <w:p>
      <w:pPr>
        <w:spacing w:after="0" w:line="42" w:lineRule="exact"/>
        <w:rPr>
          <w:rFonts w:ascii="Arial" w:cs="Arial" w:eastAsia="Arial" w:hAnsi="Arial"/>
          <w:sz w:val="16"/>
          <w:szCs w:val="16"/>
          <w:color w:val="auto"/>
        </w:rPr>
      </w:pPr>
    </w:p>
    <w:p>
      <w:pPr>
        <w:ind w:left="580" w:hanging="222"/>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favorable foreign currency translation of Real-denominated operating costs ($1.1 million); and</w:t>
      </w:r>
    </w:p>
    <w:p>
      <w:pPr>
        <w:spacing w:after="0" w:line="81" w:lineRule="exact"/>
        <w:rPr>
          <w:rFonts w:ascii="Arial" w:cs="Arial" w:eastAsia="Arial" w:hAnsi="Arial"/>
          <w:sz w:val="16"/>
          <w:szCs w:val="16"/>
          <w:color w:val="auto"/>
        </w:rPr>
      </w:pPr>
    </w:p>
    <w:p>
      <w:pPr>
        <w:ind w:left="580" w:hanging="222"/>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Higher foreign currency transaction gains ($0.2 million) in the third quarter of 2021 versus the third quarter of 2020.</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 xml:space="preserve">First Nine Months of 2021 Results vs. First Nine Months </w:t>
      </w:r>
      <w:r>
        <w:rPr>
          <w:rFonts w:ascii="Arial" w:cs="Arial" w:eastAsia="Arial" w:hAnsi="Arial"/>
          <w:sz w:val="16"/>
          <w:szCs w:val="16"/>
          <w:i w:val="1"/>
          <w:iCs w:val="1"/>
          <w:u w:val="single" w:color="auto"/>
          <w:color w:val="auto"/>
          <w:highlight w:val="white"/>
        </w:rPr>
        <w:t>2020 Results</w:t>
      </w:r>
    </w:p>
    <w:p>
      <w:pPr>
        <w:spacing w:after="0" w:line="93" w:lineRule="exact"/>
        <w:rPr>
          <w:sz w:val="20"/>
          <w:szCs w:val="20"/>
          <w:color w:val="auto"/>
        </w:rPr>
      </w:pPr>
    </w:p>
    <w:p>
      <w:pPr>
        <w:jc w:val="both"/>
        <w:ind w:right="140" w:firstLine="362"/>
        <w:spacing w:after="0" w:line="283" w:lineRule="auto"/>
        <w:rPr>
          <w:sz w:val="20"/>
          <w:szCs w:val="20"/>
          <w:color w:val="auto"/>
        </w:rPr>
      </w:pPr>
      <w:r>
        <w:rPr>
          <w:rFonts w:ascii="Arial" w:cs="Arial" w:eastAsia="Arial" w:hAnsi="Arial"/>
          <w:sz w:val="15"/>
          <w:szCs w:val="15"/>
          <w:color w:val="auto"/>
        </w:rPr>
        <w:t>Sales volume declined by 7.5% during the first nine months of 2021 versus the first nine months of 2020, primarily due to temporary resin supply issues, an equipment failure impacting production and lower demand. The Company believes that the pandemic-related surge in demand that began in early 2020 returned to lower pre-pandemic levels during the second quarter of 2021. Net sales in the first nine months of 2021 increased 2.0% compared to the first nine months of 2020, primarily due to higher selling prices from the pass-through of higher resin costs and favorable product mix, partially offset by lower sales volume.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sectPr>
      </w:pPr>
    </w:p>
    <w:bookmarkStart w:id="29" w:name="page30"/>
    <w:bookmarkEnd w:id="29"/>
    <w:p>
      <w:pPr>
        <w:ind w:left="360"/>
        <w:spacing w:after="0"/>
        <w:rPr>
          <w:sz w:val="20"/>
          <w:szCs w:val="20"/>
          <w:color w:val="auto"/>
        </w:rPr>
      </w:pPr>
      <w:r>
        <w:rPr>
          <w:rFonts w:ascii="Arial" w:cs="Arial" w:eastAsia="Arial" w:hAnsi="Arial"/>
          <w:sz w:val="16"/>
          <w:szCs w:val="16"/>
          <w:color w:val="auto"/>
        </w:rPr>
        <w:t>EBITDA from ongoing operations in the first nine months of 2021 increased by $2.7 million versus the first nine months of 2020 primarily due to:</w:t>
      </w:r>
    </w:p>
    <w:p>
      <w:pPr>
        <w:spacing w:after="0" w:line="81" w:lineRule="exact"/>
        <w:rPr>
          <w:sz w:val="20"/>
          <w:szCs w:val="20"/>
          <w:color w:val="auto"/>
        </w:rPr>
      </w:pPr>
    </w:p>
    <w:p>
      <w:pPr>
        <w:ind w:left="580" w:right="200" w:hanging="222"/>
        <w:spacing w:after="0" w:line="279" w:lineRule="auto"/>
        <w:tabs>
          <w:tab w:leader="none" w:pos="576"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Favorable product mix ($1.7 million), higher selling prices from the pass-through of higher resin costs ($0.8 million), and lower selling and general administration expenses ($0.4 million), offset by lower sales volume ($3.5 million) and higher fixed ($0.8 million) and variable ($0.4 million) costs;</w:t>
      </w:r>
    </w:p>
    <w:p>
      <w:pPr>
        <w:spacing w:after="0" w:line="42" w:lineRule="exact"/>
        <w:rPr>
          <w:rFonts w:ascii="Arial" w:cs="Arial" w:eastAsia="Arial" w:hAnsi="Arial"/>
          <w:sz w:val="16"/>
          <w:szCs w:val="16"/>
          <w:color w:val="auto"/>
        </w:rPr>
      </w:pPr>
    </w:p>
    <w:p>
      <w:pPr>
        <w:ind w:left="580" w:hanging="222"/>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Net favorable currency translation of Real-denominated operating costs ($4.7 million);</w:t>
      </w:r>
    </w:p>
    <w:p>
      <w:pPr>
        <w:spacing w:after="0" w:line="93" w:lineRule="exact"/>
        <w:rPr>
          <w:rFonts w:ascii="Arial" w:cs="Arial" w:eastAsia="Arial" w:hAnsi="Arial"/>
          <w:sz w:val="16"/>
          <w:szCs w:val="16"/>
          <w:color w:val="auto"/>
        </w:rPr>
      </w:pPr>
    </w:p>
    <w:p>
      <w:pPr>
        <w:ind w:left="580" w:hanging="222"/>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Higher foreign currency transaction gains ($0.3 million) in the first nine months of 2021 versus 2020; and</w:t>
      </w:r>
    </w:p>
    <w:p>
      <w:pPr>
        <w:spacing w:after="0" w:line="81" w:lineRule="exact"/>
        <w:rPr>
          <w:rFonts w:ascii="Arial" w:cs="Arial" w:eastAsia="Arial" w:hAnsi="Arial"/>
          <w:sz w:val="16"/>
          <w:szCs w:val="16"/>
          <w:color w:val="auto"/>
        </w:rPr>
      </w:pPr>
    </w:p>
    <w:p>
      <w:pPr>
        <w:ind w:left="580" w:hanging="222"/>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Lower value-added tax credits received in the first nine months of 2021 ($0.5 million) compared with the first nine months of 2020 ($1.2 million).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Projected Capital Expenditures and Depreciation &amp; Amortization</w:t>
      </w:r>
    </w:p>
    <w:p>
      <w:pPr>
        <w:spacing w:after="0" w:line="93" w:lineRule="exact"/>
        <w:rPr>
          <w:sz w:val="20"/>
          <w:szCs w:val="20"/>
          <w:color w:val="auto"/>
        </w:rPr>
      </w:pPr>
    </w:p>
    <w:p>
      <w:pPr>
        <w:ind w:right="140" w:firstLine="362"/>
        <w:spacing w:after="0" w:line="265" w:lineRule="auto"/>
        <w:rPr>
          <w:sz w:val="20"/>
          <w:szCs w:val="20"/>
          <w:color w:val="auto"/>
        </w:rPr>
      </w:pPr>
      <w:r>
        <w:rPr>
          <w:rFonts w:ascii="Arial" w:cs="Arial" w:eastAsia="Arial" w:hAnsi="Arial"/>
          <w:sz w:val="16"/>
          <w:szCs w:val="16"/>
          <w:color w:val="auto"/>
        </w:rPr>
        <w:t>Capital expenditures for Flexible Packaging Films are projected to be $7 million in 2021, including $4 million for new capacity for value-added products and productivity projects and $3 million for capital expenditures required to support continuity of current operations. Depreciation expense is projected to be $2 million in 2021. Amortization expense is projected to be $0.4 million in 2021.</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Corporate Expenses, Interest, Taxes &amp; Other</w:t>
      </w:r>
    </w:p>
    <w:p>
      <w:pPr>
        <w:spacing w:after="0" w:line="106" w:lineRule="exact"/>
        <w:rPr>
          <w:sz w:val="20"/>
          <w:szCs w:val="20"/>
          <w:color w:val="auto"/>
        </w:rPr>
      </w:pPr>
    </w:p>
    <w:p>
      <w:pPr>
        <w:ind w:right="660" w:firstLine="579"/>
        <w:spacing w:after="0" w:line="314" w:lineRule="auto"/>
        <w:rPr>
          <w:sz w:val="20"/>
          <w:szCs w:val="20"/>
          <w:color w:val="auto"/>
        </w:rPr>
      </w:pPr>
      <w:r>
        <w:rPr>
          <w:rFonts w:ascii="Arial" w:cs="Arial" w:eastAsia="Arial" w:hAnsi="Arial"/>
          <w:sz w:val="15"/>
          <w:szCs w:val="15"/>
          <w:color w:val="auto"/>
        </w:rPr>
        <w:t>Corporate expenses, net, increased in the first nine months of 2021 versus the first nine months of 2020, primarily due to higher professional fees related to remediation activities of previously disclosed material weaknesses in the Company’s internal control over financial reporting ($0.6 million).</w:t>
      </w:r>
    </w:p>
    <w:p>
      <w:pPr>
        <w:spacing w:after="0" w:line="19" w:lineRule="exact"/>
        <w:rPr>
          <w:sz w:val="20"/>
          <w:szCs w:val="20"/>
          <w:color w:val="auto"/>
        </w:rPr>
      </w:pPr>
    </w:p>
    <w:p>
      <w:pPr>
        <w:ind w:right="200" w:firstLine="362"/>
        <w:spacing w:after="0" w:line="279" w:lineRule="auto"/>
        <w:rPr>
          <w:sz w:val="20"/>
          <w:szCs w:val="20"/>
          <w:color w:val="auto"/>
        </w:rPr>
      </w:pPr>
      <w:r>
        <w:rPr>
          <w:rFonts w:ascii="Arial" w:cs="Arial" w:eastAsia="Arial" w:hAnsi="Arial"/>
          <w:sz w:val="16"/>
          <w:szCs w:val="16"/>
          <w:color w:val="auto"/>
        </w:rPr>
        <w:t>Interest expense was $2.6 million in the first nine months of 2021 in comparison to $1.6 million in the first nine months of 2020, primarily due to higher average debt levels.</w:t>
      </w:r>
    </w:p>
    <w:p>
      <w:pPr>
        <w:spacing w:after="0" w:line="43" w:lineRule="exact"/>
        <w:rPr>
          <w:sz w:val="20"/>
          <w:szCs w:val="20"/>
          <w:color w:val="auto"/>
        </w:rPr>
      </w:pPr>
    </w:p>
    <w:p>
      <w:pPr>
        <w:ind w:firstLine="362"/>
        <w:spacing w:after="0" w:line="341" w:lineRule="auto"/>
        <w:rPr>
          <w:sz w:val="20"/>
          <w:szCs w:val="20"/>
          <w:color w:val="auto"/>
        </w:rPr>
      </w:pPr>
      <w:r>
        <w:rPr>
          <w:rFonts w:ascii="Arial" w:cs="Arial" w:eastAsia="Arial" w:hAnsi="Arial"/>
          <w:sz w:val="14"/>
          <w:szCs w:val="14"/>
          <w:color w:val="auto"/>
        </w:rPr>
        <w:t>The effective tax rate used to compute income taxes for continuing operations in the first nine months of 2021 was 22.7%, compared to 26.2% in the first nine months of 2020. The differences between the U.S. federal statutory rate and the effective tax rate for the first nine months of 2021 and 2020 are shown in the table provided in Note 12.</w:t>
      </w:r>
    </w:p>
    <w:p>
      <w:pPr>
        <w:spacing w:after="0" w:line="1" w:lineRule="exact"/>
        <w:rPr>
          <w:sz w:val="20"/>
          <w:szCs w:val="20"/>
          <w:color w:val="auto"/>
        </w:rPr>
      </w:pPr>
    </w:p>
    <w:p>
      <w:pPr>
        <w:ind w:firstLine="362"/>
        <w:spacing w:after="0" w:line="276" w:lineRule="auto"/>
        <w:rPr>
          <w:sz w:val="20"/>
          <w:szCs w:val="20"/>
          <w:color w:val="auto"/>
        </w:rPr>
      </w:pPr>
      <w:r>
        <w:rPr>
          <w:rFonts w:ascii="Arial" w:cs="Arial" w:eastAsia="Arial" w:hAnsi="Arial"/>
          <w:sz w:val="15"/>
          <w:szCs w:val="15"/>
          <w:color w:val="auto"/>
        </w:rPr>
        <w:t>Pension expense was $10.5 million in the first nine months of 2021, a favorable change of $0.1 million compared to the first nine months of 2020. The impact on earnings from pension expense is reflected in “Corporate expenses, net” in the net sales and EBITDA from ongoing operations by segment table. Pension expense is projected to be $14 million in 2021, which is determined at the beginning of the year based on the funded status of the Company’s defined benefit pension plan and actuarial assumptions at that time. Tredegar’s frozen defined benefit pension plan was underfunded on a GAAP basis by $103 million at December 31, 2020, comprised of investments at fair value of $233 million and a projected benefit obligation (“PBO”) of $336 million. GAAP accounting requires adjustment for changes in values of assets and the PBO only at the end of each year, even though these values change daily. The Company estimates that changes to the values of pension plan assets and liabilities resulted in a decrease in the underfunding from $103 million at December 31, 2020 to approximately $73 million at September 30, 2021.</w:t>
      </w:r>
    </w:p>
    <w:p>
      <w:pPr>
        <w:spacing w:after="0" w:line="43" w:lineRule="exact"/>
        <w:rPr>
          <w:sz w:val="20"/>
          <w:szCs w:val="20"/>
          <w:color w:val="auto"/>
        </w:rPr>
      </w:pPr>
    </w:p>
    <w:p>
      <w:pPr>
        <w:ind w:right="20" w:firstLine="362"/>
        <w:spacing w:after="0" w:line="263" w:lineRule="auto"/>
        <w:rPr>
          <w:sz w:val="20"/>
          <w:szCs w:val="20"/>
          <w:color w:val="auto"/>
        </w:rPr>
      </w:pPr>
      <w:r>
        <w:rPr>
          <w:rFonts w:ascii="Arial" w:cs="Arial" w:eastAsia="Arial" w:hAnsi="Arial"/>
          <w:sz w:val="15"/>
          <w:szCs w:val="15"/>
          <w:color w:val="auto"/>
        </w:rPr>
        <w:t>Tredegar owns approximately 18% of kaléo, which makes and sells an epinephrine delivery device under the name AUVI-Q</w:t>
      </w:r>
      <w:r>
        <w:rPr>
          <w:rFonts w:ascii="Arial" w:cs="Arial" w:eastAsia="Arial" w:hAnsi="Arial"/>
          <w:sz w:val="19"/>
          <w:szCs w:val="19"/>
          <w:color w:val="auto"/>
          <w:vertAlign w:val="superscript"/>
        </w:rPr>
        <w:t>®</w:t>
      </w:r>
      <w:r>
        <w:rPr>
          <w:rFonts w:ascii="Arial" w:cs="Arial" w:eastAsia="Arial" w:hAnsi="Arial"/>
          <w:sz w:val="15"/>
          <w:szCs w:val="15"/>
          <w:color w:val="auto"/>
        </w:rPr>
        <w:t>. The Company accounts for its investment in kaléo using a fair value method. The Company’s estimate of the fair value of its interest in kaléo at September 30, 2021 was $35.5 million ($30.3 million after taxes), essentially unchanged from the balance at June 30, 2021 of $35.2 million ($30.1 million after taxes) and December 31, 2020 of $34.6 million ($29.7 million after taxes). kaléo’s stock is not publicly traded. The ultimate value of the Company’s ownership interest in kaléo could be materially different from the estimated fair value and will ultimately be determined and realized only if and when a liquidity event occurs. See Note 7 for more information on this investment.</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Net capitalization and other credit measures are provided in </w:t>
      </w:r>
      <w:r>
        <w:rPr>
          <w:rFonts w:ascii="Arial" w:cs="Arial" w:eastAsia="Arial" w:hAnsi="Arial"/>
          <w:sz w:val="16"/>
          <w:szCs w:val="16"/>
          <w:b w:val="1"/>
          <w:bCs w:val="1"/>
          <w:i w:val="1"/>
          <w:iCs w:val="1"/>
          <w:color w:val="auto"/>
        </w:rPr>
        <w:t>Liquidity and Capital Resources</w:t>
      </w:r>
      <w:r>
        <w:rPr>
          <w:rFonts w:ascii="Arial" w:cs="Arial" w:eastAsia="Arial" w:hAnsi="Arial"/>
          <w:sz w:val="16"/>
          <w:szCs w:val="16"/>
          <w:color w:val="auto"/>
        </w:rPr>
        <w:t>.</w:t>
      </w:r>
    </w:p>
    <w:p>
      <w:pPr>
        <w:spacing w:after="0" w:line="77" w:lineRule="exact"/>
        <w:rPr>
          <w:sz w:val="20"/>
          <w:szCs w:val="20"/>
          <w:color w:val="auto"/>
        </w:rPr>
      </w:pPr>
    </w:p>
    <w:p>
      <w:pPr>
        <w:ind w:left="4660"/>
        <w:spacing w:after="0"/>
        <w:rPr>
          <w:sz w:val="20"/>
          <w:szCs w:val="20"/>
          <w:color w:val="auto"/>
        </w:rPr>
      </w:pPr>
      <w:r>
        <w:rPr>
          <w:rFonts w:ascii="Arial" w:cs="Arial" w:eastAsia="Arial" w:hAnsi="Arial"/>
          <w:sz w:val="16"/>
          <w:szCs w:val="16"/>
          <w:b w:val="1"/>
          <w:bCs w:val="1"/>
          <w:u w:val="single" w:color="auto"/>
          <w:color w:val="auto"/>
        </w:rPr>
        <w:t>Critical Accounting Policies</w:t>
      </w:r>
    </w:p>
    <w:p>
      <w:pPr>
        <w:spacing w:after="0" w:line="97" w:lineRule="exact"/>
        <w:rPr>
          <w:sz w:val="20"/>
          <w:szCs w:val="20"/>
          <w:color w:val="auto"/>
        </w:rPr>
      </w:pPr>
    </w:p>
    <w:p>
      <w:pPr>
        <w:ind w:right="60" w:firstLine="362"/>
        <w:spacing w:after="0" w:line="275" w:lineRule="auto"/>
        <w:rPr>
          <w:sz w:val="20"/>
          <w:szCs w:val="20"/>
          <w:color w:val="auto"/>
        </w:rPr>
      </w:pPr>
      <w:r>
        <w:rPr>
          <w:rFonts w:ascii="Arial" w:cs="Arial" w:eastAsia="Arial" w:hAnsi="Arial"/>
          <w:sz w:val="15"/>
          <w:szCs w:val="15"/>
          <w:color w:val="auto"/>
        </w:rPr>
        <w:t>In the ordinary course of business, the Company makes a number of estimates and assumptions relating to the reporting of results of operations and financial position in the preparation of financial statements in conformity with GAAP. The Company believes the estimates, assumptions and judgments described in the section “Management’s Discussion and Analysis of Financial Condition and Results of Operations – Critical Accounting Policies” of the 2020 Form 10-K have the greatest potential impact on our financial statements, so Tredegar considers these to be its critical accounting policies. These policies include accounting for impairment of long-lived assets and goodwill, investment accounted for under the fair value method, pension benefits and income taxes. These policies require management to exercise judgments that are often difficult, subjective and complex due to the necessity of estimating the effect of matters that are inherently uncertain. Actual results could differ significantly from those estimates under different assumptions and conditions. The Company believes the consistent application of these policies enables it to provide readers of the financial statements with useful and reliable information about</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20"/>
          </w:cols>
          <w:pgMar w:left="320" w:top="899" w:right="359" w:bottom="1440" w:gutter="0" w:footer="0" w:header="0"/>
        </w:sectPr>
      </w:pPr>
    </w:p>
    <w:bookmarkStart w:id="30" w:name="page31"/>
    <w:bookmarkEnd w:id="30"/>
    <w:p>
      <w:pPr>
        <w:ind w:right="100"/>
        <w:spacing w:after="0" w:line="279" w:lineRule="auto"/>
        <w:rPr>
          <w:sz w:val="20"/>
          <w:szCs w:val="20"/>
          <w:color w:val="auto"/>
        </w:rPr>
      </w:pPr>
      <w:r>
        <w:rPr>
          <w:rFonts w:ascii="Arial" w:cs="Arial" w:eastAsia="Arial" w:hAnsi="Arial"/>
          <w:sz w:val="16"/>
          <w:szCs w:val="16"/>
          <w:color w:val="auto"/>
        </w:rPr>
        <w:t>our operating results and financial condition. Since December 31, 2020, there have been no changes in these policies that have had a material impact on results of operations or financial position. For more information on new accounting pronouncements, see Note 1.</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u w:val="single" w:color="auto"/>
          <w:color w:val="auto"/>
        </w:rPr>
        <w:t>Results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Third Quarter of 2021 Compared with the Third Quarter of 2020</w:t>
      </w:r>
    </w:p>
    <w:p>
      <w:pPr>
        <w:spacing w:after="0" w:line="93" w:lineRule="exact"/>
        <w:rPr>
          <w:sz w:val="20"/>
          <w:szCs w:val="20"/>
          <w:color w:val="auto"/>
        </w:rPr>
      </w:pPr>
    </w:p>
    <w:p>
      <w:pPr>
        <w:ind w:firstLine="362"/>
        <w:spacing w:after="0" w:line="279" w:lineRule="auto"/>
        <w:rPr>
          <w:sz w:val="20"/>
          <w:szCs w:val="20"/>
          <w:color w:val="auto"/>
        </w:rPr>
      </w:pPr>
      <w:r>
        <w:rPr>
          <w:rFonts w:ascii="Arial" w:cs="Arial" w:eastAsia="Arial" w:hAnsi="Arial"/>
          <w:sz w:val="15"/>
          <w:szCs w:val="15"/>
          <w:color w:val="auto"/>
        </w:rPr>
        <w:t xml:space="preserve">Sales in the third quarter of 2021 increased by 13.6% compared with the third quarter of 2020. Net sales in Aluminum Extrusions increased 18.6% due to the pass-through of higher metal costs and an increase in average selling prices to cover higher operating costs, partially offset by lower volume. Net sales increased 7.8% in PE Films, primarily due to higher pricing associated with the pass-through of increased resin costs, partially offset by lower volume associated with the previously disclosed customer product transitions in Surface Protection. Net sales in Flexible Packaging Films increased 2.3% primarily due to higher selling prices from the pass-through of higher resin costs and favorable product mix, partially offset by lower sales volume. For more information on net sales and volume, see the </w:t>
      </w:r>
      <w:r>
        <w:rPr>
          <w:rFonts w:ascii="Arial" w:cs="Arial" w:eastAsia="Arial" w:hAnsi="Arial"/>
          <w:sz w:val="15"/>
          <w:szCs w:val="15"/>
          <w:b w:val="1"/>
          <w:bCs w:val="1"/>
          <w:i w:val="1"/>
          <w:iCs w:val="1"/>
          <w:color w:val="auto"/>
        </w:rPr>
        <w:t>Executive Summary</w:t>
      </w:r>
      <w:r>
        <w:rPr>
          <w:rFonts w:ascii="Arial" w:cs="Arial" w:eastAsia="Arial" w:hAnsi="Arial"/>
          <w:sz w:val="15"/>
          <w:szCs w:val="15"/>
          <w:color w:val="auto"/>
        </w:rPr>
        <w:t>.</w:t>
      </w:r>
    </w:p>
    <w:p>
      <w:pPr>
        <w:spacing w:after="0" w:line="35" w:lineRule="exact"/>
        <w:rPr>
          <w:sz w:val="20"/>
          <w:szCs w:val="20"/>
          <w:color w:val="auto"/>
        </w:rPr>
      </w:pPr>
    </w:p>
    <w:p>
      <w:pPr>
        <w:ind w:firstLine="362"/>
        <w:spacing w:after="0" w:line="304" w:lineRule="auto"/>
        <w:rPr>
          <w:sz w:val="20"/>
          <w:szCs w:val="20"/>
          <w:color w:val="auto"/>
        </w:rPr>
      </w:pPr>
      <w:r>
        <w:rPr>
          <w:rFonts w:ascii="Arial" w:cs="Arial" w:eastAsia="Arial" w:hAnsi="Arial"/>
          <w:sz w:val="14"/>
          <w:szCs w:val="14"/>
          <w:color w:val="auto"/>
        </w:rPr>
        <w:t>Consolidated gross profit (sales minus cost of goods sold and freight) as a percentage of sales (gross profit margin) was 15.0% in the third quarter of 2021 compared to 22.7% in the third quarter of 2020. The gross profit margin in Aluminum Extrusions decreased primarily due to lower volume, increased operating costs and freight expenses, partially offset by higher pricing. The gross profit margin in PE Films decreased primarily due to lower sales associated with the customer product transitions and the pass-through lag associated with higher resin costs, partially offset by higher sales for products unrelated to the customer product transitions. The gross profit margin in Flexible Packaging Films decreased due to a lower sales volume and higher raw material costs, partially offset by higher selling prices from the pass-through of higher resin costs.</w:t>
      </w:r>
    </w:p>
    <w:p>
      <w:pPr>
        <w:spacing w:after="0" w:line="30" w:lineRule="exact"/>
        <w:rPr>
          <w:sz w:val="20"/>
          <w:szCs w:val="20"/>
          <w:color w:val="auto"/>
        </w:rPr>
      </w:pPr>
    </w:p>
    <w:p>
      <w:pPr>
        <w:ind w:right="180" w:firstLine="362"/>
        <w:spacing w:after="0" w:line="283" w:lineRule="auto"/>
        <w:rPr>
          <w:sz w:val="20"/>
          <w:szCs w:val="20"/>
          <w:color w:val="auto"/>
        </w:rPr>
      </w:pPr>
      <w:r>
        <w:rPr>
          <w:rFonts w:ascii="Arial" w:cs="Arial" w:eastAsia="Arial" w:hAnsi="Arial"/>
          <w:sz w:val="15"/>
          <w:szCs w:val="15"/>
          <w:color w:val="auto"/>
        </w:rPr>
        <w:t>As a percentage of sales, selling, general and administrative (“SG&amp;A”) and research and development ("R&amp;D") expenses were 8.8% in the third quarter of 2021, compared with 12.0% in the third quarter of last year. SG&amp;A expenses were down year-over-year, while net sales increased. Decreased SG&amp;A spending is primarily due to nonrecurring corporate costs associated with the divested Personal Care Films business, lower professional fees associated with business development activities and nonrecurring SG&amp;A expenses related to Bright View Technologies in the third quarter of 2020. R&amp;D expense remained consistent with prior year.</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00"/>
          </w:cols>
          <w:pgMar w:left="320" w:top="899" w:right="379" w:bottom="1440" w:gutter="0" w:footer="0" w:header="0"/>
        </w:sectPr>
      </w:pPr>
    </w:p>
    <w:bookmarkStart w:id="31" w:name="page32"/>
    <w:bookmarkEnd w:id="31"/>
    <w:p>
      <w:pPr>
        <w:ind w:right="160" w:firstLine="362"/>
        <w:spacing w:after="0" w:line="285" w:lineRule="auto"/>
        <w:rPr>
          <w:sz w:val="20"/>
          <w:szCs w:val="20"/>
          <w:color w:val="auto"/>
        </w:rPr>
      </w:pPr>
      <w:r>
        <w:rPr>
          <w:rFonts w:ascii="Arial" w:cs="Arial" w:eastAsia="Arial" w:hAnsi="Arial"/>
          <w:sz w:val="15"/>
          <w:szCs w:val="15"/>
          <w:color w:val="auto"/>
        </w:rPr>
        <w:t>Pre-tax gains and losses associated with plant shutdowns, asset impairments, restructurings and other items for continuing operations in the third quarters of 2021 and 2020 detailed below are shown in the statements of net sales and EBITDA from ongoing operations by segment table in Note 11 and are included in “Asset impairments and costs associated with exit and disposal activities, net of adjustments” in the consolidated statements of income, unless otherwise noted.</w:t>
      </w:r>
    </w:p>
    <w:tbl>
      <w:tblPr>
        <w:tblLayout w:type="fixed"/>
        <w:tblInd w:w="0" w:type="dxa"/>
        <w:tblCellMar>
          <w:top w:w="0" w:type="dxa"/>
          <w:left w:w="0" w:type="dxa"/>
          <w:bottom w:w="0" w:type="dxa"/>
          <w:right w:w="0" w:type="dxa"/>
        </w:tblCellMar>
      </w:tblPr>
      <w:tr>
        <w:trPr>
          <w:trHeight w:val="210"/>
        </w:trPr>
        <w:tc>
          <w:tcPr>
            <w:tcW w:w="854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6"/>
                <w:szCs w:val="16"/>
                <w:color w:val="auto"/>
              </w:rPr>
              <w:t>Three Months Ended September 30,</w:t>
            </w:r>
          </w:p>
        </w:tc>
        <w:tc>
          <w:tcPr>
            <w:tcW w:w="0" w:type="dxa"/>
            <w:vAlign w:val="bottom"/>
          </w:tcPr>
          <w:p>
            <w:pPr>
              <w:spacing w:after="0"/>
              <w:rPr>
                <w:sz w:val="1"/>
                <w:szCs w:val="1"/>
                <w:color w:val="auto"/>
              </w:rPr>
            </w:pPr>
          </w:p>
        </w:tc>
      </w:tr>
      <w:tr>
        <w:trPr>
          <w:trHeight w:val="205"/>
        </w:trPr>
        <w:tc>
          <w:tcPr>
            <w:tcW w:w="85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 in millions)</w:t>
            </w: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2021</w:t>
            </w: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7"/>
        </w:trPr>
        <w:tc>
          <w:tcPr>
            <w:tcW w:w="8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Aluminum Extrusions:</w:t>
            </w: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540" w:type="dxa"/>
            <w:vAlign w:val="bottom"/>
          </w:tcPr>
          <w:p>
            <w:pPr>
              <w:ind w:left="560"/>
              <w:spacing w:after="0"/>
              <w:rPr>
                <w:sz w:val="20"/>
                <w:szCs w:val="20"/>
                <w:color w:val="auto"/>
              </w:rPr>
            </w:pPr>
            <w:r>
              <w:rPr>
                <w:rFonts w:ascii="Arial" w:cs="Arial" w:eastAsia="Arial" w:hAnsi="Arial"/>
                <w:sz w:val="16"/>
                <w:szCs w:val="16"/>
                <w:color w:val="auto"/>
              </w:rPr>
              <w:t>(Gains) losses from sale of assets, investment writedowns and other items:</w:t>
            </w: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540" w:type="dxa"/>
            <w:vAlign w:val="bottom"/>
            <w:shd w:val="clear" w:color="auto" w:fill="CCEEFF"/>
          </w:tcPr>
          <w:p>
            <w:pPr>
              <w:ind w:left="760"/>
              <w:spacing w:after="0" w:line="206" w:lineRule="exact"/>
              <w:rPr>
                <w:sz w:val="20"/>
                <w:szCs w:val="20"/>
                <w:color w:val="auto"/>
              </w:rPr>
            </w:pPr>
            <w:r>
              <w:rPr>
                <w:rFonts w:ascii="Arial" w:cs="Arial" w:eastAsia="Arial" w:hAnsi="Arial"/>
                <w:sz w:val="16"/>
                <w:szCs w:val="16"/>
                <w:color w:val="auto"/>
              </w:rPr>
              <w:t>Consulting expenses for enterprise resource planning feasibility study</w:t>
            </w:r>
            <w:r>
              <w:rPr>
                <w:rFonts w:ascii="Arial" w:cs="Arial" w:eastAsia="Arial" w:hAnsi="Arial"/>
                <w:sz w:val="20"/>
                <w:szCs w:val="20"/>
                <w:color w:val="auto"/>
                <w:vertAlign w:val="superscript"/>
              </w:rPr>
              <w:t>1</w:t>
            </w: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5"/>
        </w:trPr>
        <w:tc>
          <w:tcPr>
            <w:tcW w:w="8540" w:type="dxa"/>
            <w:vAlign w:val="bottom"/>
          </w:tcPr>
          <w:p>
            <w:pPr>
              <w:ind w:left="760"/>
              <w:spacing w:after="0" w:line="206" w:lineRule="exact"/>
              <w:rPr>
                <w:sz w:val="20"/>
                <w:szCs w:val="20"/>
                <w:color w:val="auto"/>
              </w:rPr>
            </w:pPr>
            <w:r>
              <w:rPr>
                <w:rFonts w:ascii="Arial" w:cs="Arial" w:eastAsia="Arial" w:hAnsi="Arial"/>
                <w:sz w:val="16"/>
                <w:szCs w:val="16"/>
                <w:color w:val="auto"/>
              </w:rPr>
              <w:t>Environmental charges at Newnan, Georgia plant</w:t>
            </w:r>
            <w:r>
              <w:rPr>
                <w:rFonts w:ascii="Arial" w:cs="Arial" w:eastAsia="Arial" w:hAnsi="Arial"/>
                <w:sz w:val="20"/>
                <w:szCs w:val="20"/>
                <w:color w:val="auto"/>
                <w:vertAlign w:val="superscript"/>
              </w:rPr>
              <w:t>3</w:t>
            </w:r>
          </w:p>
        </w:tc>
        <w:tc>
          <w:tcPr>
            <w:tcW w:w="440" w:type="dxa"/>
            <w:vAlign w:val="bottom"/>
          </w:tcPr>
          <w:p>
            <w:pPr>
              <w:spacing w:after="0"/>
              <w:rPr>
                <w:sz w:val="17"/>
                <w:szCs w:val="17"/>
                <w:color w:val="auto"/>
              </w:rPr>
            </w:pPr>
          </w:p>
        </w:tc>
        <w:tc>
          <w:tcPr>
            <w:tcW w:w="1020" w:type="dxa"/>
            <w:vAlign w:val="bottom"/>
          </w:tcPr>
          <w:p>
            <w:pPr>
              <w:jc w:val="right"/>
              <w:ind w:right="160"/>
              <w:spacing w:after="0"/>
              <w:rPr>
                <w:sz w:val="20"/>
                <w:szCs w:val="20"/>
                <w:color w:val="auto"/>
              </w:rPr>
            </w:pPr>
            <w:r>
              <w:rPr>
                <w:rFonts w:ascii="Arial" w:cs="Arial" w:eastAsia="Arial" w:hAnsi="Arial"/>
                <w:sz w:val="16"/>
                <w:szCs w:val="16"/>
                <w:color w:val="auto"/>
              </w:rPr>
              <w:t>0.1</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8540" w:type="dxa"/>
            <w:vAlign w:val="bottom"/>
            <w:tcBorders>
              <w:bottom w:val="single" w:sz="8" w:color="auto"/>
            </w:tcBorders>
            <w:shd w:val="clear" w:color="auto" w:fill="CCEEFF"/>
          </w:tcPr>
          <w:p>
            <w:pPr>
              <w:ind w:left="760"/>
              <w:spacing w:after="0" w:line="206" w:lineRule="exact"/>
              <w:rPr>
                <w:sz w:val="20"/>
                <w:szCs w:val="20"/>
                <w:color w:val="auto"/>
              </w:rPr>
            </w:pPr>
            <w:r>
              <w:rPr>
                <w:rFonts w:ascii="Arial" w:cs="Arial" w:eastAsia="Arial" w:hAnsi="Arial"/>
                <w:sz w:val="16"/>
                <w:szCs w:val="16"/>
                <w:color w:val="auto"/>
              </w:rPr>
              <w:t>COVID-19-related expenses, net of relief</w:t>
            </w:r>
            <w:r>
              <w:rPr>
                <w:rFonts w:ascii="Arial" w:cs="Arial" w:eastAsia="Arial" w:hAnsi="Arial"/>
                <w:sz w:val="20"/>
                <w:szCs w:val="20"/>
                <w:color w:val="auto"/>
                <w:vertAlign w:val="superscript"/>
              </w:rPr>
              <w:t>2</w:t>
            </w:r>
          </w:p>
        </w:tc>
        <w:tc>
          <w:tcPr>
            <w:tcW w:w="4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0.1</w:t>
            </w:r>
          </w:p>
        </w:tc>
        <w:tc>
          <w:tcPr>
            <w:tcW w:w="4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97"/>
        </w:trPr>
        <w:tc>
          <w:tcPr>
            <w:tcW w:w="85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Total for Aluminum Extrusions</w:t>
            </w: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0.2</w:t>
            </w:r>
          </w:p>
        </w:tc>
        <w:tc>
          <w:tcPr>
            <w:tcW w:w="4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
        </w:trPr>
        <w:tc>
          <w:tcPr>
            <w:tcW w:w="8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PE Films:</w:t>
            </w:r>
          </w:p>
        </w:tc>
        <w:tc>
          <w:tcPr>
            <w:tcW w:w="4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540" w:type="dxa"/>
            <w:vAlign w:val="bottom"/>
          </w:tcPr>
          <w:p>
            <w:pPr>
              <w:ind w:left="560"/>
              <w:spacing w:after="0"/>
              <w:rPr>
                <w:sz w:val="20"/>
                <w:szCs w:val="20"/>
                <w:color w:val="auto"/>
              </w:rPr>
            </w:pPr>
            <w:r>
              <w:rPr>
                <w:rFonts w:ascii="Arial" w:cs="Arial" w:eastAsia="Arial" w:hAnsi="Arial"/>
                <w:sz w:val="16"/>
                <w:szCs w:val="16"/>
                <w:color w:val="auto"/>
              </w:rPr>
              <w:t>(Gains) losses associated with plant shutdowns, asset impairments and restructurings:</w:t>
            </w: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5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restructuring costs - severance</w:t>
            </w: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0.1</w:t>
            </w: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8540" w:type="dxa"/>
            <w:vAlign w:val="bottom"/>
          </w:tcPr>
          <w:p>
            <w:pPr>
              <w:ind w:left="560"/>
              <w:spacing w:after="0"/>
              <w:rPr>
                <w:sz w:val="20"/>
                <w:szCs w:val="20"/>
                <w:color w:val="auto"/>
              </w:rPr>
            </w:pPr>
            <w:r>
              <w:rPr>
                <w:rFonts w:ascii="Arial" w:cs="Arial" w:eastAsia="Arial" w:hAnsi="Arial"/>
                <w:sz w:val="16"/>
                <w:szCs w:val="16"/>
                <w:color w:val="auto"/>
              </w:rPr>
              <w:t>(Gains) losses from sale of assets, investment writedowns and other items:</w:t>
            </w: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40" w:type="dxa"/>
            <w:vAlign w:val="bottom"/>
            <w:tcBorders>
              <w:bottom w:val="single" w:sz="8" w:color="auto"/>
            </w:tcBorders>
          </w:tcPr>
          <w:p>
            <w:pPr>
              <w:ind w:left="760"/>
              <w:spacing w:after="0" w:line="209" w:lineRule="exact"/>
              <w:rPr>
                <w:sz w:val="20"/>
                <w:szCs w:val="20"/>
                <w:color w:val="auto"/>
              </w:rPr>
            </w:pPr>
            <w:r>
              <w:rPr>
                <w:rFonts w:ascii="Arial" w:cs="Arial" w:eastAsia="Arial" w:hAnsi="Arial"/>
                <w:sz w:val="16"/>
                <w:szCs w:val="16"/>
                <w:color w:val="auto"/>
              </w:rPr>
              <w:t>COVID-19-related expenses</w:t>
            </w:r>
            <w:r>
              <w:rPr>
                <w:rFonts w:ascii="Arial" w:cs="Arial" w:eastAsia="Arial" w:hAnsi="Arial"/>
                <w:sz w:val="20"/>
                <w:szCs w:val="20"/>
                <w:color w:val="auto"/>
                <w:vertAlign w:val="superscript"/>
              </w:rPr>
              <w:t>2</w:t>
            </w: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0.1</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85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Total for PE Films</w:t>
            </w:r>
          </w:p>
        </w:tc>
        <w:tc>
          <w:tcPr>
            <w:tcW w:w="4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0.2</w:t>
            </w:r>
          </w:p>
        </w:tc>
        <w:tc>
          <w:tcPr>
            <w:tcW w:w="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540" w:type="dxa"/>
            <w:vAlign w:val="bottom"/>
          </w:tcPr>
          <w:p>
            <w:pPr>
              <w:ind w:left="380"/>
              <w:spacing w:after="0" w:line="174" w:lineRule="exact"/>
              <w:rPr>
                <w:sz w:val="20"/>
                <w:szCs w:val="20"/>
                <w:color w:val="auto"/>
              </w:rPr>
            </w:pPr>
            <w:r>
              <w:rPr>
                <w:rFonts w:ascii="Arial" w:cs="Arial" w:eastAsia="Arial" w:hAnsi="Arial"/>
                <w:sz w:val="16"/>
                <w:szCs w:val="16"/>
                <w:color w:val="auto"/>
              </w:rPr>
              <w:t>Corporate:</w:t>
            </w: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5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(Gains) losses associated with plant shutdowns, asset impairments and restructurings:</w:t>
            </w: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540" w:type="dxa"/>
            <w:vAlign w:val="bottom"/>
          </w:tcPr>
          <w:p>
            <w:pPr>
              <w:ind w:left="660"/>
              <w:spacing w:after="0"/>
              <w:rPr>
                <w:sz w:val="20"/>
                <w:szCs w:val="20"/>
                <w:color w:val="auto"/>
              </w:rPr>
            </w:pPr>
            <w:r>
              <w:rPr>
                <w:rFonts w:ascii="Arial" w:cs="Arial" w:eastAsia="Arial" w:hAnsi="Arial"/>
                <w:sz w:val="16"/>
                <w:szCs w:val="16"/>
                <w:color w:val="auto"/>
              </w:rPr>
              <w:t>(Gain), net of costs associated with the sale of the Lake Zurich manufacturing facility assets</w:t>
            </w: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(0.2)</w:t>
            </w:r>
          </w:p>
        </w:tc>
        <w:tc>
          <w:tcPr>
            <w:tcW w:w="4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85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(Gains) losses from sale of assets, investment writedowns and other items:</w:t>
            </w: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540" w:type="dxa"/>
            <w:vAlign w:val="bottom"/>
          </w:tcPr>
          <w:p>
            <w:pPr>
              <w:ind w:left="660"/>
              <w:spacing w:after="0" w:line="157" w:lineRule="exact"/>
              <w:rPr>
                <w:sz w:val="20"/>
                <w:szCs w:val="20"/>
                <w:color w:val="auto"/>
              </w:rPr>
            </w:pPr>
            <w:r>
              <w:rPr>
                <w:rFonts w:ascii="Arial" w:cs="Arial" w:eastAsia="Arial" w:hAnsi="Arial"/>
                <w:sz w:val="16"/>
                <w:szCs w:val="16"/>
                <w:color w:val="auto"/>
                <w:w w:val="92"/>
              </w:rPr>
              <w:t>Professional fees associated with: remediation activities and other costs relating to the Company’s material weaknesses</w:t>
            </w:r>
          </w:p>
        </w:tc>
        <w:tc>
          <w:tcPr>
            <w:tcW w:w="440" w:type="dxa"/>
            <w:vAlign w:val="bottom"/>
          </w:tcPr>
          <w:p>
            <w:pPr>
              <w:spacing w:after="0"/>
              <w:rPr>
                <w:sz w:val="13"/>
                <w:szCs w:val="13"/>
                <w:color w:val="auto"/>
              </w:rPr>
            </w:pPr>
          </w:p>
        </w:tc>
        <w:tc>
          <w:tcPr>
            <w:tcW w:w="1020" w:type="dxa"/>
            <w:vAlign w:val="bottom"/>
            <w:vMerge w:val="restart"/>
          </w:tcPr>
          <w:p>
            <w:pPr>
              <w:jc w:val="right"/>
              <w:ind w:right="160"/>
              <w:spacing w:after="0"/>
              <w:rPr>
                <w:sz w:val="20"/>
                <w:szCs w:val="20"/>
                <w:color w:val="auto"/>
              </w:rPr>
            </w:pPr>
            <w:r>
              <w:rPr>
                <w:rFonts w:ascii="Arial" w:cs="Arial" w:eastAsia="Arial" w:hAnsi="Arial"/>
                <w:sz w:val="16"/>
                <w:szCs w:val="16"/>
                <w:color w:val="auto"/>
              </w:rPr>
              <w:t>1.5</w:t>
            </w:r>
          </w:p>
        </w:tc>
        <w:tc>
          <w:tcPr>
            <w:tcW w:w="4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5"/>
        </w:trPr>
        <w:tc>
          <w:tcPr>
            <w:tcW w:w="8540" w:type="dxa"/>
            <w:vAlign w:val="bottom"/>
          </w:tcPr>
          <w:p>
            <w:pPr>
              <w:ind w:left="300"/>
              <w:spacing w:after="0" w:line="206" w:lineRule="exact"/>
              <w:rPr>
                <w:sz w:val="20"/>
                <w:szCs w:val="20"/>
                <w:color w:val="auto"/>
              </w:rPr>
            </w:pPr>
            <w:r>
              <w:rPr>
                <w:rFonts w:ascii="Arial" w:cs="Arial" w:eastAsia="Arial" w:hAnsi="Arial"/>
                <w:sz w:val="16"/>
                <w:szCs w:val="16"/>
                <w:color w:val="auto"/>
              </w:rPr>
              <w:t>in internal control over financial reporting; and business development activities</w:t>
            </w:r>
            <w:r>
              <w:rPr>
                <w:rFonts w:ascii="Arial" w:cs="Arial" w:eastAsia="Arial" w:hAnsi="Arial"/>
                <w:sz w:val="20"/>
                <w:szCs w:val="20"/>
                <w:color w:val="auto"/>
                <w:vertAlign w:val="superscript"/>
              </w:rPr>
              <w:t>1</w:t>
            </w:r>
          </w:p>
        </w:tc>
        <w:tc>
          <w:tcPr>
            <w:tcW w:w="4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540" w:type="dxa"/>
            <w:vAlign w:val="bottom"/>
            <w:shd w:val="clear" w:color="auto" w:fill="CCEEFF"/>
          </w:tcPr>
          <w:p>
            <w:pPr>
              <w:ind w:left="660"/>
              <w:spacing w:after="0" w:line="206" w:lineRule="exact"/>
              <w:rPr>
                <w:sz w:val="20"/>
                <w:szCs w:val="20"/>
                <w:color w:val="auto"/>
              </w:rPr>
            </w:pPr>
            <w:r>
              <w:rPr>
                <w:rFonts w:ascii="Arial" w:cs="Arial" w:eastAsia="Arial" w:hAnsi="Arial"/>
                <w:sz w:val="16"/>
                <w:szCs w:val="16"/>
                <w:color w:val="auto"/>
              </w:rPr>
              <w:t>Write-down of investment in Harbinger Capital Partners Special Situations Fund</w:t>
            </w:r>
            <w:r>
              <w:rPr>
                <w:rFonts w:ascii="Arial" w:cs="Arial" w:eastAsia="Arial" w:hAnsi="Arial"/>
                <w:sz w:val="20"/>
                <w:szCs w:val="20"/>
                <w:color w:val="auto"/>
                <w:vertAlign w:val="superscript"/>
              </w:rPr>
              <w:t>2</w:t>
            </w: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57"/>
        </w:trPr>
        <w:tc>
          <w:tcPr>
            <w:tcW w:w="8540" w:type="dxa"/>
            <w:vAlign w:val="bottom"/>
          </w:tcPr>
          <w:p>
            <w:pPr>
              <w:ind w:left="660"/>
              <w:spacing w:after="0" w:line="157" w:lineRule="exact"/>
              <w:rPr>
                <w:sz w:val="20"/>
                <w:szCs w:val="20"/>
                <w:color w:val="auto"/>
              </w:rPr>
            </w:pPr>
            <w:r>
              <w:rPr>
                <w:rFonts w:ascii="Arial" w:cs="Arial" w:eastAsia="Arial" w:hAnsi="Arial"/>
                <w:sz w:val="16"/>
                <w:szCs w:val="16"/>
                <w:color w:val="auto"/>
                <w:w w:val="94"/>
              </w:rPr>
              <w:t>Stock compensation expense associated with the fair value remeasurement of awards granted at the time of the 2020</w:t>
            </w:r>
          </w:p>
        </w:tc>
        <w:tc>
          <w:tcPr>
            <w:tcW w:w="440" w:type="dxa"/>
            <w:vAlign w:val="bottom"/>
          </w:tcPr>
          <w:p>
            <w:pPr>
              <w:spacing w:after="0"/>
              <w:rPr>
                <w:sz w:val="13"/>
                <w:szCs w:val="13"/>
                <w:color w:val="auto"/>
              </w:rPr>
            </w:pPr>
          </w:p>
        </w:tc>
        <w:tc>
          <w:tcPr>
            <w:tcW w:w="1020" w:type="dxa"/>
            <w:vAlign w:val="bottom"/>
            <w:vMerge w:val="restart"/>
          </w:tcPr>
          <w:p>
            <w:pPr>
              <w:jc w:val="right"/>
              <w:ind w:right="120"/>
              <w:spacing w:after="0"/>
              <w:rPr>
                <w:sz w:val="20"/>
                <w:szCs w:val="20"/>
                <w:color w:val="auto"/>
              </w:rPr>
            </w:pPr>
            <w:r>
              <w:rPr>
                <w:rFonts w:ascii="Arial" w:cs="Arial" w:eastAsia="Arial" w:hAnsi="Arial"/>
                <w:sz w:val="16"/>
                <w:szCs w:val="16"/>
                <w:color w:val="auto"/>
              </w:rPr>
              <w:t>(0.1)</w:t>
            </w:r>
          </w:p>
        </w:tc>
        <w:tc>
          <w:tcPr>
            <w:tcW w:w="4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8540" w:type="dxa"/>
            <w:vAlign w:val="bottom"/>
          </w:tcPr>
          <w:p>
            <w:pPr>
              <w:ind w:left="300"/>
              <w:spacing w:after="0" w:line="206" w:lineRule="exact"/>
              <w:rPr>
                <w:sz w:val="20"/>
                <w:szCs w:val="20"/>
                <w:color w:val="auto"/>
              </w:rPr>
            </w:pPr>
            <w:r>
              <w:rPr>
                <w:rFonts w:ascii="Arial" w:cs="Arial" w:eastAsia="Arial" w:hAnsi="Arial"/>
                <w:sz w:val="16"/>
                <w:szCs w:val="16"/>
                <w:color w:val="auto"/>
              </w:rPr>
              <w:t>special dividend</w:t>
            </w:r>
            <w:r>
              <w:rPr>
                <w:rFonts w:ascii="Arial" w:cs="Arial" w:eastAsia="Arial" w:hAnsi="Arial"/>
                <w:sz w:val="20"/>
                <w:szCs w:val="20"/>
                <w:color w:val="auto"/>
                <w:vertAlign w:val="superscript"/>
              </w:rPr>
              <w:t>1</w:t>
            </w:r>
          </w:p>
        </w:tc>
        <w:tc>
          <w:tcPr>
            <w:tcW w:w="4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540" w:type="dxa"/>
            <w:vAlign w:val="bottom"/>
            <w:tcBorders>
              <w:bottom w:val="single" w:sz="8" w:color="auto"/>
            </w:tcBorders>
            <w:shd w:val="clear" w:color="auto" w:fill="CCEEFF"/>
          </w:tcPr>
          <w:p>
            <w:pPr>
              <w:ind w:left="660"/>
              <w:spacing w:after="0" w:line="206" w:lineRule="exact"/>
              <w:rPr>
                <w:sz w:val="20"/>
                <w:szCs w:val="20"/>
                <w:color w:val="auto"/>
              </w:rPr>
            </w:pPr>
            <w:r>
              <w:rPr>
                <w:rFonts w:ascii="Arial" w:cs="Arial" w:eastAsia="Arial" w:hAnsi="Arial"/>
                <w:sz w:val="16"/>
                <w:szCs w:val="16"/>
                <w:color w:val="auto"/>
              </w:rPr>
              <w:t>Transition service fees, net of corporate costs associated with the divested Personal Care Films business</w:t>
            </w:r>
            <w:r>
              <w:rPr>
                <w:rFonts w:ascii="Arial" w:cs="Arial" w:eastAsia="Arial" w:hAnsi="Arial"/>
                <w:sz w:val="20"/>
                <w:szCs w:val="20"/>
                <w:color w:val="auto"/>
                <w:vertAlign w:val="superscript"/>
              </w:rPr>
              <w:t>2</w:t>
            </w:r>
          </w:p>
        </w:tc>
        <w:tc>
          <w:tcPr>
            <w:tcW w:w="4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0.1</w:t>
            </w:r>
          </w:p>
        </w:tc>
        <w:tc>
          <w:tcPr>
            <w:tcW w:w="4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7"/>
        </w:trPr>
        <w:tc>
          <w:tcPr>
            <w:tcW w:w="85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Total for Corporate</w:t>
            </w: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1.3</w:t>
            </w:r>
          </w:p>
        </w:tc>
        <w:tc>
          <w:tcPr>
            <w:tcW w:w="4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8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20" w:hanging="146"/>
        <w:spacing w:after="0"/>
        <w:tabs>
          <w:tab w:leader="none" w:pos="520" w:val="left"/>
        </w:tabs>
        <w:numPr>
          <w:ilvl w:val="1"/>
          <w:numId w:val="16"/>
        </w:numPr>
        <w:rPr>
          <w:rFonts w:ascii="Arial" w:cs="Arial" w:eastAsia="Arial" w:hAnsi="Arial"/>
          <w:sz w:val="14"/>
          <w:szCs w:val="14"/>
          <w:color w:val="auto"/>
        </w:rPr>
      </w:pPr>
      <w:r>
        <w:rPr>
          <w:rFonts w:ascii="Arial" w:cs="Arial" w:eastAsia="Arial" w:hAnsi="Arial"/>
          <w:sz w:val="14"/>
          <w:szCs w:val="14"/>
          <w:color w:val="auto"/>
        </w:rPr>
        <w:t>Included in “Selling, general and administrative expenses” in the consolidated statements of income.</w:t>
      </w:r>
    </w:p>
    <w:p>
      <w:pPr>
        <w:ind w:left="160" w:hanging="147"/>
        <w:spacing w:after="0" w:line="215" w:lineRule="auto"/>
        <w:tabs>
          <w:tab w:leader="none" w:pos="1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Included in “Other income (expense), net” in the consolidated statements of income.</w:t>
      </w:r>
    </w:p>
    <w:p>
      <w:pPr>
        <w:ind w:left="160" w:hanging="147"/>
        <w:spacing w:after="0"/>
        <w:tabs>
          <w:tab w:leader="none" w:pos="1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Included in “Cost of goods sold” in the consolidated statements of income.</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Average debt outstanding and interest rates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714692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pacing w:after="0" w:line="49" w:lineRule="exact"/>
        <w:rPr>
          <w:sz w:val="20"/>
          <w:szCs w:val="20"/>
          <w:color w:val="auto"/>
        </w:rPr>
      </w:pPr>
    </w:p>
    <w:p>
      <w:pPr>
        <w:ind w:left="8080"/>
        <w:spacing w:after="0"/>
        <w:rPr>
          <w:sz w:val="20"/>
          <w:szCs w:val="20"/>
          <w:color w:val="auto"/>
        </w:rPr>
      </w:pPr>
      <w:r>
        <w:rPr>
          <w:rFonts w:ascii="Arial" w:cs="Arial" w:eastAsia="Arial" w:hAnsi="Arial"/>
          <w:sz w:val="16"/>
          <w:szCs w:val="16"/>
          <w:color w:val="auto"/>
        </w:rPr>
        <w:t>Three Months Ended September 30,</w:t>
      </w:r>
    </w:p>
    <w:p>
      <w:pPr>
        <w:spacing w:after="0" w:line="21" w:lineRule="exact"/>
        <w:rPr>
          <w:sz w:val="20"/>
          <w:szCs w:val="20"/>
          <w:color w:val="auto"/>
        </w:rPr>
      </w:pPr>
    </w:p>
    <w:p>
      <w:pPr>
        <w:ind w:left="380"/>
        <w:spacing w:after="0"/>
        <w:tabs>
          <w:tab w:leader="none" w:pos="7940" w:val="left"/>
          <w:tab w:leader="none" w:pos="10180" w:val="left"/>
        </w:tabs>
        <w:rPr>
          <w:sz w:val="20"/>
          <w:szCs w:val="20"/>
          <w:color w:val="auto"/>
        </w:rPr>
      </w:pPr>
      <w:r>
        <w:rPr>
          <w:rFonts w:ascii="Arial" w:cs="Arial" w:eastAsia="Arial" w:hAnsi="Arial"/>
          <w:sz w:val="16"/>
          <w:szCs w:val="16"/>
          <w:color w:val="auto"/>
        </w:rPr>
        <w:t>(In millions)</w:t>
      </w:r>
      <w:r>
        <w:rPr>
          <w:sz w:val="20"/>
          <w:szCs w:val="20"/>
          <w:color w:val="auto"/>
        </w:rPr>
        <w:tab/>
      </w:r>
      <w:r>
        <w:rPr>
          <w:rFonts w:ascii="Arial" w:cs="Arial" w:eastAsia="Arial" w:hAnsi="Arial"/>
          <w:sz w:val="16"/>
          <w:szCs w:val="16"/>
          <w:color w:val="auto"/>
        </w:rPr>
        <w:t>2021</w:t>
      </w:r>
      <w:r>
        <w:rPr>
          <w:sz w:val="20"/>
          <w:szCs w:val="20"/>
          <w:color w:val="auto"/>
        </w:rPr>
        <w:tab/>
      </w:r>
      <w:r>
        <w:rPr>
          <w:rFonts w:ascii="Arial" w:cs="Arial" w:eastAsia="Arial" w:hAnsi="Arial"/>
          <w:sz w:val="14"/>
          <w:szCs w:val="14"/>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46925" cy="2374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6925" cy="237490"/>
                    </a:xfrm>
                    <a:prstGeom prst="rect">
                      <a:avLst/>
                    </a:prstGeom>
                    <a:noFill/>
                  </pic:spPr>
                </pic:pic>
              </a:graphicData>
            </a:graphic>
          </wp:anchor>
        </w:drawing>
      </w:r>
    </w:p>
    <w:p>
      <w:pPr>
        <w:spacing w:after="0" w:line="13" w:lineRule="exact"/>
        <w:rPr>
          <w:sz w:val="20"/>
          <w:szCs w:val="20"/>
          <w:color w:val="auto"/>
        </w:rPr>
      </w:pPr>
    </w:p>
    <w:p>
      <w:pPr>
        <w:ind w:left="20" w:right="4880" w:firstLine="362"/>
        <w:spacing w:after="0" w:line="236" w:lineRule="auto"/>
        <w:rPr>
          <w:sz w:val="20"/>
          <w:szCs w:val="20"/>
          <w:color w:val="auto"/>
        </w:rPr>
      </w:pPr>
      <w:r>
        <w:rPr>
          <w:rFonts w:ascii="Arial" w:cs="Arial" w:eastAsia="Arial" w:hAnsi="Arial"/>
          <w:sz w:val="16"/>
          <w:szCs w:val="16"/>
          <w:color w:val="auto"/>
        </w:rPr>
        <w:t>Floating-rate debt with interest charged on a rollover basis at one-month LIBOR plus a credit spread:</w:t>
      </w:r>
    </w:p>
    <w:tbl>
      <w:tblPr>
        <w:tblLayout w:type="fixed"/>
        <w:tblInd w:w="0" w:type="dxa"/>
        <w:tblCellMar>
          <w:top w:w="0" w:type="dxa"/>
          <w:left w:w="0" w:type="dxa"/>
          <w:bottom w:w="0" w:type="dxa"/>
          <w:right w:w="0" w:type="dxa"/>
        </w:tblCellMar>
      </w:tblPr>
      <w:tr>
        <w:trPr>
          <w:trHeight w:val="205"/>
        </w:trPr>
        <w:tc>
          <w:tcPr>
            <w:tcW w:w="4180" w:type="dxa"/>
            <w:vAlign w:val="bottom"/>
          </w:tcPr>
          <w:p>
            <w:pPr>
              <w:ind w:left="660"/>
              <w:spacing w:after="0"/>
              <w:rPr>
                <w:sz w:val="20"/>
                <w:szCs w:val="20"/>
                <w:color w:val="auto"/>
              </w:rPr>
            </w:pPr>
            <w:r>
              <w:rPr>
                <w:rFonts w:ascii="Arial" w:cs="Arial" w:eastAsia="Arial" w:hAnsi="Arial"/>
                <w:sz w:val="16"/>
                <w:szCs w:val="16"/>
                <w:color w:val="auto"/>
              </w:rPr>
              <w:t>Average outstanding debt balance</w:t>
            </w:r>
          </w:p>
        </w:tc>
        <w:tc>
          <w:tcPr>
            <w:tcW w:w="354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122.5</w:t>
            </w:r>
          </w:p>
        </w:tc>
        <w:tc>
          <w:tcPr>
            <w:tcW w:w="134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24.3</w:t>
            </w:r>
          </w:p>
        </w:tc>
        <w:tc>
          <w:tcPr>
            <w:tcW w:w="360" w:type="dxa"/>
            <w:vAlign w:val="bottom"/>
          </w:tcPr>
          <w:p>
            <w:pPr>
              <w:spacing w:after="0"/>
              <w:rPr>
                <w:sz w:val="17"/>
                <w:szCs w:val="17"/>
                <w:color w:val="auto"/>
              </w:rPr>
            </w:pPr>
          </w:p>
        </w:tc>
      </w:tr>
      <w:tr>
        <w:trPr>
          <w:trHeight w:val="205"/>
        </w:trPr>
        <w:tc>
          <w:tcPr>
            <w:tcW w:w="41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Average interest rate</w:t>
            </w:r>
          </w:p>
        </w:tc>
        <w:tc>
          <w:tcPr>
            <w:tcW w:w="35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1.8</w:t>
            </w:r>
          </w:p>
        </w:tc>
        <w:tc>
          <w:tcPr>
            <w:tcW w:w="1340" w:type="dxa"/>
            <w:vAlign w:val="bottom"/>
            <w:tcBorders>
              <w:bottom w:val="single" w:sz="8" w:color="auto"/>
            </w:tcBorders>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1.7</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752"/>
        </w:trPr>
        <w:tc>
          <w:tcPr>
            <w:tcW w:w="4180" w:type="dxa"/>
            <w:vAlign w:val="bottom"/>
          </w:tcPr>
          <w:p>
            <w:pPr>
              <w:spacing w:after="0"/>
              <w:rPr>
                <w:sz w:val="24"/>
                <w:szCs w:val="24"/>
                <w:color w:val="auto"/>
              </w:rPr>
            </w:pPr>
          </w:p>
        </w:tc>
        <w:tc>
          <w:tcPr>
            <w:tcW w:w="3540" w:type="dxa"/>
            <w:vAlign w:val="bottom"/>
          </w:tcPr>
          <w:p>
            <w:pPr>
              <w:jc w:val="right"/>
              <w:ind w:right="1940"/>
              <w:spacing w:after="0"/>
              <w:rPr>
                <w:sz w:val="20"/>
                <w:szCs w:val="20"/>
                <w:color w:val="auto"/>
              </w:rPr>
            </w:pPr>
            <w:r>
              <w:rPr>
                <w:rFonts w:ascii="Arial" w:cs="Arial" w:eastAsia="Arial" w:hAnsi="Arial"/>
                <w:sz w:val="16"/>
                <w:szCs w:val="16"/>
                <w:color w:val="auto"/>
              </w:rPr>
              <w:t>32</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01"/>
        </w:trPr>
        <w:tc>
          <w:tcPr>
            <w:tcW w:w="4180" w:type="dxa"/>
            <w:vAlign w:val="bottom"/>
            <w:tcBorders>
              <w:bottom w:val="single" w:sz="8" w:color="9A9A9A"/>
            </w:tcBorders>
          </w:tcPr>
          <w:p>
            <w:pPr>
              <w:spacing w:after="0"/>
              <w:rPr>
                <w:sz w:val="8"/>
                <w:szCs w:val="8"/>
                <w:color w:val="auto"/>
              </w:rPr>
            </w:pPr>
          </w:p>
        </w:tc>
        <w:tc>
          <w:tcPr>
            <w:tcW w:w="35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-27305</wp:posOffset>
            </wp:positionV>
            <wp:extent cx="33020"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sectPr>
      </w:pPr>
    </w:p>
    <w:bookmarkStart w:id="32" w:name="page33"/>
    <w:bookmarkEnd w:id="32"/>
    <w:p>
      <w:pPr>
        <w:spacing w:after="0"/>
        <w:rPr>
          <w:sz w:val="20"/>
          <w:szCs w:val="20"/>
          <w:color w:val="auto"/>
        </w:rPr>
      </w:pPr>
      <w:r>
        <w:rPr>
          <w:rFonts w:ascii="Arial" w:cs="Arial" w:eastAsia="Arial" w:hAnsi="Arial"/>
          <w:sz w:val="16"/>
          <w:szCs w:val="16"/>
          <w:i w:val="1"/>
          <w:iCs w:val="1"/>
          <w:u w:val="single" w:color="auto"/>
          <w:color w:val="auto"/>
        </w:rPr>
        <w:t xml:space="preserve">First Nine Months of 2021 Results vs. First Nine Months </w:t>
      </w:r>
      <w:r>
        <w:rPr>
          <w:rFonts w:ascii="Arial" w:cs="Arial" w:eastAsia="Arial" w:hAnsi="Arial"/>
          <w:sz w:val="16"/>
          <w:szCs w:val="16"/>
          <w:i w:val="1"/>
          <w:iCs w:val="1"/>
          <w:u w:val="single" w:color="auto"/>
          <w:color w:val="auto"/>
          <w:highlight w:val="white"/>
        </w:rPr>
        <w:t>2020 Results</w:t>
      </w:r>
    </w:p>
    <w:p>
      <w:pPr>
        <w:spacing w:after="0" w:line="81" w:lineRule="exact"/>
        <w:rPr>
          <w:sz w:val="20"/>
          <w:szCs w:val="20"/>
          <w:color w:val="auto"/>
        </w:rPr>
      </w:pPr>
    </w:p>
    <w:p>
      <w:pPr>
        <w:ind w:right="40" w:firstLine="362"/>
        <w:spacing w:after="0" w:line="258" w:lineRule="auto"/>
        <w:rPr>
          <w:sz w:val="20"/>
          <w:szCs w:val="20"/>
          <w:color w:val="auto"/>
        </w:rPr>
      </w:pPr>
      <w:r>
        <w:rPr>
          <w:rFonts w:ascii="Arial" w:cs="Arial" w:eastAsia="Arial" w:hAnsi="Arial"/>
          <w:sz w:val="16"/>
          <w:szCs w:val="16"/>
          <w:color w:val="auto"/>
        </w:rPr>
        <w:t xml:space="preserve">Sales in the first nine months of 2021 increased by 7.6% compared with the first nine months of 2020. Net sales increased 16.2% in Aluminum Extrusions due to the pass-through of higher metal costs and an increase in average selling prices to cover higher operating costs, partially offset by lower volume. Net sales decreased 15.0% in PE Films primarily due to lower volume and unfavorable mix associated with the previously disclosed customer product transitions in Surface Protection. Net sales in Flexible Packaging Films increased 2.0% primarily due to higher selling prices from the pass-through of higher resin costs and favorable product mix, partially offset by lower sales volume. For more information on net sales and volume, see the </w:t>
      </w:r>
      <w:r>
        <w:rPr>
          <w:rFonts w:ascii="Arial" w:cs="Arial" w:eastAsia="Arial" w:hAnsi="Arial"/>
          <w:sz w:val="16"/>
          <w:szCs w:val="16"/>
          <w:b w:val="1"/>
          <w:bCs w:val="1"/>
          <w:i w:val="1"/>
          <w:iCs w:val="1"/>
          <w:color w:val="auto"/>
        </w:rPr>
        <w:t>Executive Summary</w:t>
      </w:r>
      <w:r>
        <w:rPr>
          <w:rFonts w:ascii="Arial" w:cs="Arial" w:eastAsia="Arial" w:hAnsi="Arial"/>
          <w:sz w:val="16"/>
          <w:szCs w:val="16"/>
          <w:color w:val="auto"/>
        </w:rPr>
        <w:t>.</w:t>
      </w:r>
    </w:p>
    <w:p>
      <w:pPr>
        <w:spacing w:after="0" w:line="61" w:lineRule="exact"/>
        <w:rPr>
          <w:sz w:val="20"/>
          <w:szCs w:val="20"/>
          <w:color w:val="auto"/>
        </w:rPr>
      </w:pPr>
    </w:p>
    <w:p>
      <w:pPr>
        <w:ind w:firstLine="362"/>
        <w:spacing w:after="0" w:line="277" w:lineRule="auto"/>
        <w:rPr>
          <w:sz w:val="20"/>
          <w:szCs w:val="20"/>
          <w:color w:val="auto"/>
        </w:rPr>
      </w:pPr>
      <w:r>
        <w:rPr>
          <w:rFonts w:ascii="Arial" w:cs="Arial" w:eastAsia="Arial" w:hAnsi="Arial"/>
          <w:sz w:val="15"/>
          <w:szCs w:val="15"/>
          <w:color w:val="auto"/>
        </w:rPr>
        <w:t>Consolidated gross profit (sales minus cost of goods sold and freight) as a percentage of sales (gross profit margin) was 18.9% in the first nine months of 2021 compared to 22.8% in the first nine months of 2020. The gross profit margin in Aluminum Extrusions decreased primarily due to higher freight, labor and employee-related costs and other operational costs. The gross profit margin in PE Films decreased primarily due to lower sales and unfavorable mix associated with the customer product transitions in Surface Protection and margin erosion associated with higher resin costs that occurred before the resin index pricing plan was fully implemented, partially offset by higher sales of products unrelated to the customer product transitions and production efficiencies and cost savings. The gross profit margin in Flexible Packaging Films decreased due to lower sales volume and higher fixed and variable costs partially offset by favorable product mix.</w:t>
      </w:r>
    </w:p>
    <w:p>
      <w:pPr>
        <w:spacing w:after="0" w:line="48" w:lineRule="exact"/>
        <w:rPr>
          <w:sz w:val="20"/>
          <w:szCs w:val="20"/>
          <w:color w:val="auto"/>
        </w:rPr>
      </w:pPr>
    </w:p>
    <w:p>
      <w:pPr>
        <w:ind w:right="160" w:firstLine="362"/>
        <w:spacing w:after="0" w:line="291" w:lineRule="auto"/>
        <w:rPr>
          <w:sz w:val="20"/>
          <w:szCs w:val="20"/>
          <w:color w:val="auto"/>
        </w:rPr>
      </w:pPr>
      <w:r>
        <w:rPr>
          <w:rFonts w:ascii="Arial" w:cs="Arial" w:eastAsia="Arial" w:hAnsi="Arial"/>
          <w:sz w:val="15"/>
          <w:szCs w:val="15"/>
          <w:color w:val="auto"/>
        </w:rPr>
        <w:t>As a percentage of sales, SG&amp;A and R&amp;D expenses were 9.9% in the first nine months of 2021, compared with 12.0% in the first nine months of last year. SG&amp;A and R&amp;D expenses were down year-over-year, while net sales increased. Decreased spending is primarily due to nonrecurring corporate costs associated with the divested Personal Care Films business, lower R&amp;D spending, and nonrecurring SG&amp;A expenses related to Bright View Technologies in the first nine months of 2020.</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3" w:name="page34"/>
    <w:bookmarkEnd w:id="33"/>
    <w:p>
      <w:pPr>
        <w:ind w:right="160" w:firstLine="362"/>
        <w:spacing w:after="0" w:line="291" w:lineRule="auto"/>
        <w:rPr>
          <w:sz w:val="20"/>
          <w:szCs w:val="20"/>
          <w:color w:val="auto"/>
        </w:rPr>
      </w:pPr>
      <w:r>
        <w:rPr>
          <w:rFonts w:ascii="Arial" w:cs="Arial" w:eastAsia="Arial" w:hAnsi="Arial"/>
          <w:sz w:val="15"/>
          <w:szCs w:val="15"/>
          <w:color w:val="auto"/>
        </w:rPr>
        <w:t>Pre-tax gains and losses associated with plant shutdowns, asset impairments, restructurings and other items for continuing operations in the first nine months of 2021 and 2020 detailed below are shown in the statements of net sales and EBITDA from ongoing operations by segment table in Note 11 and are included in “Asset impairments and costs associated with exit and disposal activities, net of adjustments” in the consolidated statements of income, unless otherwise noted.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6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6"/>
                <w:szCs w:val="16"/>
                <w:color w:val="auto"/>
                <w:w w:val="91"/>
              </w:rPr>
              <w:t>Nine Months Ended September 30,</w:t>
            </w:r>
          </w:p>
        </w:tc>
        <w:tc>
          <w:tcPr>
            <w:tcW w:w="0" w:type="dxa"/>
            <w:vAlign w:val="bottom"/>
          </w:tcPr>
          <w:p>
            <w:pPr>
              <w:spacing w:after="0"/>
              <w:rPr>
                <w:sz w:val="1"/>
                <w:szCs w:val="1"/>
                <w:color w:val="auto"/>
              </w:rPr>
            </w:pPr>
          </w:p>
        </w:tc>
      </w:tr>
      <w:tr>
        <w:trPr>
          <w:trHeight w:val="205"/>
        </w:trPr>
        <w:tc>
          <w:tcPr>
            <w:tcW w:w="8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in millions)</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2021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7"/>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Aluminum Extrusions: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80" w:type="dxa"/>
            <w:vAlign w:val="bottom"/>
          </w:tcPr>
          <w:p>
            <w:pPr>
              <w:ind w:left="200"/>
              <w:spacing w:after="0"/>
              <w:rPr>
                <w:sz w:val="20"/>
                <w:szCs w:val="20"/>
                <w:color w:val="auto"/>
              </w:rPr>
            </w:pPr>
            <w:r>
              <w:rPr>
                <w:rFonts w:ascii="Arial" w:cs="Arial" w:eastAsia="Arial" w:hAnsi="Arial"/>
                <w:sz w:val="16"/>
                <w:szCs w:val="16"/>
                <w:color w:val="auto"/>
              </w:rPr>
              <w:t>(Gains) losses from sale of assets, investment writedowns and other items: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80" w:type="dxa"/>
            <w:vAlign w:val="bottom"/>
            <w:shd w:val="clear" w:color="auto" w:fill="CCEEFF"/>
          </w:tcPr>
          <w:p>
            <w:pPr>
              <w:ind w:left="400"/>
              <w:spacing w:after="0" w:line="206" w:lineRule="exact"/>
              <w:rPr>
                <w:sz w:val="20"/>
                <w:szCs w:val="20"/>
                <w:color w:val="auto"/>
              </w:rPr>
            </w:pPr>
            <w:r>
              <w:rPr>
                <w:rFonts w:ascii="Arial" w:cs="Arial" w:eastAsia="Arial" w:hAnsi="Arial"/>
                <w:sz w:val="16"/>
                <w:szCs w:val="16"/>
                <w:color w:val="auto"/>
              </w:rPr>
              <w:t>Consulting expenses for enterprise resource planning feasibility study</w:t>
            </w:r>
            <w:r>
              <w:rPr>
                <w:rFonts w:ascii="Arial" w:cs="Arial" w:eastAsia="Arial" w:hAnsi="Arial"/>
                <w:sz w:val="20"/>
                <w:szCs w:val="20"/>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5"/>
        </w:trPr>
        <w:tc>
          <w:tcPr>
            <w:tcW w:w="8680" w:type="dxa"/>
            <w:vAlign w:val="bottom"/>
          </w:tcPr>
          <w:p>
            <w:pPr>
              <w:ind w:left="400"/>
              <w:spacing w:after="0" w:line="206" w:lineRule="exact"/>
              <w:rPr>
                <w:sz w:val="20"/>
                <w:szCs w:val="20"/>
                <w:color w:val="auto"/>
              </w:rPr>
            </w:pPr>
            <w:r>
              <w:rPr>
                <w:rFonts w:ascii="Arial" w:cs="Arial" w:eastAsia="Arial" w:hAnsi="Arial"/>
                <w:sz w:val="16"/>
                <w:szCs w:val="16"/>
                <w:color w:val="auto"/>
              </w:rPr>
              <w:t>Environmental charges at Newnan, Georgia plant</w:t>
            </w:r>
            <w:r>
              <w:rPr>
                <w:rFonts w:ascii="Arial" w:cs="Arial" w:eastAsia="Arial" w:hAnsi="Arial"/>
                <w:sz w:val="20"/>
                <w:szCs w:val="20"/>
                <w:color w:val="auto"/>
                <w:vertAlign w:val="superscript"/>
              </w:rPr>
              <w:t>3</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0.1</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8680" w:type="dxa"/>
            <w:vAlign w:val="bottom"/>
            <w:tcBorders>
              <w:bottom w:val="single" w:sz="8" w:color="auto"/>
            </w:tcBorders>
            <w:shd w:val="clear" w:color="auto" w:fill="CCEEFF"/>
          </w:tcPr>
          <w:p>
            <w:pPr>
              <w:ind w:left="400"/>
              <w:spacing w:after="0" w:line="206" w:lineRule="exact"/>
              <w:rPr>
                <w:sz w:val="20"/>
                <w:szCs w:val="20"/>
                <w:color w:val="auto"/>
              </w:rPr>
            </w:pPr>
            <w:r>
              <w:rPr>
                <w:rFonts w:ascii="Arial" w:cs="Arial" w:eastAsia="Arial" w:hAnsi="Arial"/>
                <w:sz w:val="16"/>
                <w:szCs w:val="16"/>
                <w:color w:val="auto"/>
              </w:rPr>
              <w:t>COVID-19-related expenses, net of relief</w:t>
            </w:r>
            <w:r>
              <w:rPr>
                <w:rFonts w:ascii="Arial" w:cs="Arial" w:eastAsia="Arial" w:hAnsi="Arial"/>
                <w:sz w:val="20"/>
                <w:szCs w:val="20"/>
                <w:color w:val="auto"/>
                <w:vertAlign w:val="superscript"/>
              </w:rPr>
              <w:t>2</w:t>
            </w: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7"/>
        </w:trPr>
        <w:tc>
          <w:tcPr>
            <w:tcW w:w="8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for Aluminum Extrusions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8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 Films:</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680" w:type="dxa"/>
            <w:vAlign w:val="bottom"/>
          </w:tcPr>
          <w:p>
            <w:pPr>
              <w:ind w:left="200"/>
              <w:spacing w:after="0"/>
              <w:rPr>
                <w:sz w:val="20"/>
                <w:szCs w:val="20"/>
                <w:color w:val="auto"/>
              </w:rPr>
            </w:pPr>
            <w:r>
              <w:rPr>
                <w:rFonts w:ascii="Arial" w:cs="Arial" w:eastAsia="Arial" w:hAnsi="Arial"/>
                <w:sz w:val="16"/>
                <w:szCs w:val="16"/>
                <w:color w:val="auto"/>
              </w:rPr>
              <w:t>(Gains) losses associated with plant shutdowns, asset impairments and restructurings: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Other restructuring costs - severance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5"/>
        </w:trPr>
        <w:tc>
          <w:tcPr>
            <w:tcW w:w="8680" w:type="dxa"/>
            <w:vAlign w:val="bottom"/>
          </w:tcPr>
          <w:p>
            <w:pPr>
              <w:ind w:left="200"/>
              <w:spacing w:after="0"/>
              <w:rPr>
                <w:sz w:val="20"/>
                <w:szCs w:val="20"/>
                <w:color w:val="auto"/>
              </w:rPr>
            </w:pPr>
            <w:r>
              <w:rPr>
                <w:rFonts w:ascii="Arial" w:cs="Arial" w:eastAsia="Arial" w:hAnsi="Arial"/>
                <w:sz w:val="16"/>
                <w:szCs w:val="16"/>
                <w:color w:val="auto"/>
              </w:rPr>
              <w:t>(Gains) losses from sale of assets, investment writedowns and other items: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80" w:type="dxa"/>
            <w:vAlign w:val="bottom"/>
            <w:tcBorders>
              <w:bottom w:val="single" w:sz="8" w:color="auto"/>
            </w:tcBorders>
          </w:tcPr>
          <w:p>
            <w:pPr>
              <w:ind w:left="400"/>
              <w:spacing w:after="0" w:line="206" w:lineRule="exact"/>
              <w:rPr>
                <w:sz w:val="20"/>
                <w:szCs w:val="20"/>
                <w:color w:val="auto"/>
              </w:rPr>
            </w:pPr>
            <w:r>
              <w:rPr>
                <w:rFonts w:ascii="Arial" w:cs="Arial" w:eastAsia="Arial" w:hAnsi="Arial"/>
                <w:sz w:val="16"/>
                <w:szCs w:val="16"/>
                <w:color w:val="auto"/>
              </w:rPr>
              <w:t>COVID-19-related expenses</w:t>
            </w:r>
            <w:r>
              <w:rPr>
                <w:rFonts w:ascii="Arial" w:cs="Arial" w:eastAsia="Arial" w:hAnsi="Arial"/>
                <w:sz w:val="20"/>
                <w:szCs w:val="20"/>
                <w:color w:val="auto"/>
                <w:vertAlign w:val="superscript"/>
              </w:rPr>
              <w:t>2</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22"/>
        </w:trPr>
        <w:tc>
          <w:tcPr>
            <w:tcW w:w="8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for PE Films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680" w:type="dxa"/>
            <w:vAlign w:val="bottom"/>
          </w:tcPr>
          <w:p>
            <w:pPr>
              <w:ind w:left="20"/>
              <w:spacing w:after="0" w:line="174" w:lineRule="exact"/>
              <w:rPr>
                <w:sz w:val="20"/>
                <w:szCs w:val="20"/>
                <w:color w:val="auto"/>
              </w:rPr>
            </w:pPr>
            <w:r>
              <w:rPr>
                <w:rFonts w:ascii="Arial" w:cs="Arial" w:eastAsia="Arial" w:hAnsi="Arial"/>
                <w:sz w:val="16"/>
                <w:szCs w:val="16"/>
                <w:color w:val="auto"/>
              </w:rPr>
              <w:t>Flexible Packaging Films:</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(Gains) losses from sale of assets, investment writedowns and other items: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680" w:type="dxa"/>
            <w:vAlign w:val="bottom"/>
          </w:tcPr>
          <w:p>
            <w:pPr>
              <w:ind w:left="400"/>
              <w:spacing w:after="0" w:line="157" w:lineRule="exact"/>
              <w:rPr>
                <w:sz w:val="20"/>
                <w:szCs w:val="20"/>
                <w:color w:val="auto"/>
              </w:rPr>
            </w:pPr>
            <w:r>
              <w:rPr>
                <w:rFonts w:ascii="Arial" w:cs="Arial" w:eastAsia="Arial" w:hAnsi="Arial"/>
                <w:sz w:val="16"/>
                <w:szCs w:val="16"/>
                <w:color w:val="auto"/>
                <w:w w:val="97"/>
              </w:rPr>
              <w:t>One-time tax credit in Brazil for PIS/COFINS social contribution non-income taxes resulting from a favorable decision by</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(8.5)</w:t>
            </w:r>
          </w:p>
        </w:tc>
        <w:tc>
          <w:tcPr>
            <w:tcW w:w="300" w:type="dxa"/>
            <w:vAlign w:val="bottom"/>
            <w:vMerge w:val="restart"/>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8680" w:type="dxa"/>
            <w:vAlign w:val="bottom"/>
          </w:tcPr>
          <w:p>
            <w:pPr>
              <w:ind w:left="400"/>
              <w:spacing w:after="0" w:line="206" w:lineRule="exact"/>
              <w:rPr>
                <w:sz w:val="20"/>
                <w:szCs w:val="20"/>
                <w:color w:val="auto"/>
              </w:rPr>
            </w:pPr>
            <w:r>
              <w:rPr>
                <w:rFonts w:ascii="Arial" w:cs="Arial" w:eastAsia="Arial" w:hAnsi="Arial"/>
                <w:sz w:val="16"/>
                <w:szCs w:val="16"/>
                <w:color w:val="auto"/>
              </w:rPr>
              <w:t>Brazil’s Supreme Court regarding the calculation of such taxes</w:t>
            </w:r>
            <w:r>
              <w:rPr>
                <w:rFonts w:ascii="Arial" w:cs="Arial" w:eastAsia="Arial" w:hAnsi="Arial"/>
                <w:sz w:val="20"/>
                <w:szCs w:val="20"/>
                <w:color w:val="auto"/>
                <w:vertAlign w:val="superscript"/>
              </w:rPr>
              <w:t>2,4</w:t>
            </w:r>
          </w:p>
        </w:tc>
        <w:tc>
          <w:tcPr>
            <w:tcW w:w="12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80" w:type="dxa"/>
            <w:vAlign w:val="bottom"/>
            <w:tcBorders>
              <w:bottom w:val="single" w:sz="8" w:color="auto"/>
            </w:tcBorders>
            <w:shd w:val="clear" w:color="auto" w:fill="CCEEFF"/>
          </w:tcPr>
          <w:p>
            <w:pPr>
              <w:ind w:left="400"/>
              <w:spacing w:after="0" w:line="206" w:lineRule="exact"/>
              <w:rPr>
                <w:sz w:val="20"/>
                <w:szCs w:val="20"/>
                <w:color w:val="auto"/>
              </w:rPr>
            </w:pPr>
            <w:r>
              <w:rPr>
                <w:rFonts w:ascii="Arial" w:cs="Arial" w:eastAsia="Arial" w:hAnsi="Arial"/>
                <w:sz w:val="16"/>
                <w:szCs w:val="16"/>
                <w:color w:val="auto"/>
              </w:rPr>
              <w:t>COVID-19-related expenses</w:t>
            </w:r>
            <w:r>
              <w:rPr>
                <w:rFonts w:ascii="Arial" w:cs="Arial" w:eastAsia="Arial" w:hAnsi="Arial"/>
                <w:sz w:val="20"/>
                <w:szCs w:val="20"/>
                <w:color w:val="auto"/>
                <w:vertAlign w:val="superscript"/>
              </w:rPr>
              <w:t>2</w:t>
            </w: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8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for Flexible Packaging Films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680" w:type="dxa"/>
            <w:vAlign w:val="bottom"/>
          </w:tcPr>
          <w:p>
            <w:pPr>
              <w:ind w:left="200"/>
              <w:spacing w:after="0"/>
              <w:rPr>
                <w:sz w:val="20"/>
                <w:szCs w:val="20"/>
                <w:color w:val="auto"/>
              </w:rPr>
            </w:pPr>
            <w:r>
              <w:rPr>
                <w:rFonts w:ascii="Arial" w:cs="Arial" w:eastAsia="Arial" w:hAnsi="Arial"/>
                <w:sz w:val="16"/>
                <w:szCs w:val="16"/>
                <w:color w:val="auto"/>
              </w:rPr>
              <w:t>(Gains) losses associated with plant shutdowns, asset impairments and restructurings: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Costs, net of gain associated with the sale of the Lake Zurich manufacturing facility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8680" w:type="dxa"/>
            <w:vAlign w:val="bottom"/>
          </w:tcPr>
          <w:p>
            <w:pPr>
              <w:ind w:left="200"/>
              <w:spacing w:after="0"/>
              <w:rPr>
                <w:sz w:val="20"/>
                <w:szCs w:val="20"/>
                <w:color w:val="auto"/>
              </w:rPr>
            </w:pPr>
            <w:r>
              <w:rPr>
                <w:rFonts w:ascii="Arial" w:cs="Arial" w:eastAsia="Arial" w:hAnsi="Arial"/>
                <w:sz w:val="16"/>
                <w:szCs w:val="16"/>
                <w:color w:val="auto"/>
              </w:rPr>
              <w:t>(Gains) losses from sale of assets, investment writedowns and other items: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680" w:type="dxa"/>
            <w:vAlign w:val="bottom"/>
            <w:shd w:val="clear" w:color="auto" w:fill="CCEEFF"/>
          </w:tcPr>
          <w:p>
            <w:pPr>
              <w:ind w:left="300"/>
              <w:spacing w:after="0" w:line="157" w:lineRule="exact"/>
              <w:rPr>
                <w:sz w:val="20"/>
                <w:szCs w:val="20"/>
                <w:color w:val="auto"/>
              </w:rPr>
            </w:pPr>
            <w:r>
              <w:rPr>
                <w:rFonts w:ascii="Arial" w:cs="Arial" w:eastAsia="Arial" w:hAnsi="Arial"/>
                <w:sz w:val="16"/>
                <w:szCs w:val="16"/>
                <w:color w:val="auto"/>
                <w:w w:val="90"/>
              </w:rPr>
              <w:t>Professional fees associated with: remediation activities and other costs relating to the Company’s material weaknesses in internal</w:t>
            </w:r>
          </w:p>
        </w:tc>
        <w:tc>
          <w:tcPr>
            <w:tcW w:w="1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3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5"/>
        </w:trPr>
        <w:tc>
          <w:tcPr>
            <w:tcW w:w="8680" w:type="dxa"/>
            <w:vAlign w:val="bottom"/>
            <w:shd w:val="clear" w:color="auto" w:fill="CCEEFF"/>
          </w:tcPr>
          <w:p>
            <w:pPr>
              <w:ind w:left="300"/>
              <w:spacing w:after="0" w:line="206" w:lineRule="exact"/>
              <w:rPr>
                <w:sz w:val="20"/>
                <w:szCs w:val="20"/>
                <w:color w:val="auto"/>
              </w:rPr>
            </w:pPr>
            <w:r>
              <w:rPr>
                <w:rFonts w:ascii="Arial" w:cs="Arial" w:eastAsia="Arial" w:hAnsi="Arial"/>
                <w:sz w:val="16"/>
                <w:szCs w:val="16"/>
                <w:color w:val="auto"/>
              </w:rPr>
              <w:t>control over financial reporting; and business development activities</w:t>
            </w:r>
            <w:r>
              <w:rPr>
                <w:rFonts w:ascii="Arial" w:cs="Arial" w:eastAsia="Arial" w:hAnsi="Arial"/>
                <w:sz w:val="20"/>
                <w:szCs w:val="20"/>
                <w:color w:val="auto"/>
                <w:vertAlign w:val="superscript"/>
              </w:rPr>
              <w:t>1</w:t>
            </w:r>
          </w:p>
        </w:tc>
        <w:tc>
          <w:tcPr>
            <w:tcW w:w="1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80" w:type="dxa"/>
            <w:vAlign w:val="bottom"/>
          </w:tcPr>
          <w:p>
            <w:pPr>
              <w:ind w:left="300"/>
              <w:spacing w:after="0" w:line="206" w:lineRule="exact"/>
              <w:rPr>
                <w:sz w:val="20"/>
                <w:szCs w:val="20"/>
                <w:color w:val="auto"/>
              </w:rPr>
            </w:pPr>
            <w:r>
              <w:rPr>
                <w:rFonts w:ascii="Arial" w:cs="Arial" w:eastAsia="Arial" w:hAnsi="Arial"/>
                <w:sz w:val="16"/>
                <w:szCs w:val="16"/>
                <w:color w:val="auto"/>
              </w:rPr>
              <w:t>Write-down of investment in Harbinger Capital Partners Special Situations Fund</w:t>
            </w:r>
            <w:r>
              <w:rPr>
                <w:rFonts w:ascii="Arial" w:cs="Arial" w:eastAsia="Arial" w:hAnsi="Arial"/>
                <w:sz w:val="20"/>
                <w:szCs w:val="20"/>
                <w:color w:val="auto"/>
                <w:vertAlign w:val="superscript"/>
              </w:rPr>
              <w:t>2</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0.5</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57"/>
        </w:trPr>
        <w:tc>
          <w:tcPr>
            <w:tcW w:w="8680" w:type="dxa"/>
            <w:vAlign w:val="bottom"/>
            <w:shd w:val="clear" w:color="auto" w:fill="CCEEFF"/>
          </w:tcPr>
          <w:p>
            <w:pPr>
              <w:ind w:left="300"/>
              <w:spacing w:after="0" w:line="157" w:lineRule="exact"/>
              <w:rPr>
                <w:sz w:val="20"/>
                <w:szCs w:val="20"/>
                <w:color w:val="auto"/>
              </w:rPr>
            </w:pPr>
            <w:r>
              <w:rPr>
                <w:rFonts w:ascii="Arial" w:cs="Arial" w:eastAsia="Arial" w:hAnsi="Arial"/>
                <w:sz w:val="16"/>
                <w:szCs w:val="16"/>
                <w:color w:val="auto"/>
                <w:w w:val="94"/>
              </w:rPr>
              <w:t>Stock compensation expense associated with the fair value remeasurement of awards granted at the time of the 2020 special</w:t>
            </w:r>
          </w:p>
        </w:tc>
        <w:tc>
          <w:tcPr>
            <w:tcW w:w="1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3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8680" w:type="dxa"/>
            <w:vAlign w:val="bottom"/>
            <w:shd w:val="clear" w:color="auto" w:fill="CCEEFF"/>
          </w:tcPr>
          <w:p>
            <w:pPr>
              <w:ind w:left="300"/>
              <w:spacing w:after="0" w:line="206" w:lineRule="exact"/>
              <w:rPr>
                <w:sz w:val="20"/>
                <w:szCs w:val="20"/>
                <w:color w:val="auto"/>
              </w:rPr>
            </w:pPr>
            <w:r>
              <w:rPr>
                <w:rFonts w:ascii="Arial" w:cs="Arial" w:eastAsia="Arial" w:hAnsi="Arial"/>
                <w:sz w:val="16"/>
                <w:szCs w:val="16"/>
                <w:color w:val="auto"/>
              </w:rPr>
              <w:t>dividend</w:t>
            </w:r>
            <w:r>
              <w:rPr>
                <w:rFonts w:ascii="Arial" w:cs="Arial" w:eastAsia="Arial" w:hAnsi="Arial"/>
                <w:sz w:val="20"/>
                <w:szCs w:val="20"/>
                <w:color w:val="auto"/>
                <w:vertAlign w:val="superscript"/>
              </w:rPr>
              <w:t>1</w:t>
            </w:r>
          </w:p>
        </w:tc>
        <w:tc>
          <w:tcPr>
            <w:tcW w:w="1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80" w:type="dxa"/>
            <w:vAlign w:val="bottom"/>
          </w:tcPr>
          <w:p>
            <w:pPr>
              <w:ind w:left="300"/>
              <w:spacing w:after="0" w:line="206" w:lineRule="exact"/>
              <w:rPr>
                <w:sz w:val="20"/>
                <w:szCs w:val="20"/>
                <w:color w:val="auto"/>
              </w:rPr>
            </w:pPr>
            <w:r>
              <w:rPr>
                <w:rFonts w:ascii="Arial" w:cs="Arial" w:eastAsia="Arial" w:hAnsi="Arial"/>
                <w:sz w:val="16"/>
                <w:szCs w:val="16"/>
                <w:color w:val="auto"/>
              </w:rPr>
              <w:t>Transition service fees, net of corporate costs associated with the divested Personal Care Films business</w:t>
            </w:r>
            <w:r>
              <w:rPr>
                <w:rFonts w:ascii="Arial" w:cs="Arial" w:eastAsia="Arial" w:hAnsi="Arial"/>
                <w:sz w:val="20"/>
                <w:szCs w:val="20"/>
                <w:color w:val="auto"/>
                <w:vertAlign w:val="superscript"/>
              </w:rPr>
              <w:t>2</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(0.5)</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5"/>
        </w:trPr>
        <w:tc>
          <w:tcPr>
            <w:tcW w:w="8680" w:type="dxa"/>
            <w:vAlign w:val="bottom"/>
            <w:tcBorders>
              <w:bottom w:val="single" w:sz="8" w:color="auto"/>
            </w:tcBorders>
            <w:shd w:val="clear" w:color="auto" w:fill="CCEEFF"/>
          </w:tcPr>
          <w:p>
            <w:pPr>
              <w:ind w:left="300"/>
              <w:spacing w:after="0" w:line="206" w:lineRule="exact"/>
              <w:rPr>
                <w:sz w:val="20"/>
                <w:szCs w:val="20"/>
                <w:color w:val="auto"/>
              </w:rPr>
            </w:pPr>
            <w:r>
              <w:rPr>
                <w:rFonts w:ascii="Arial" w:cs="Arial" w:eastAsia="Arial" w:hAnsi="Arial"/>
                <w:sz w:val="16"/>
                <w:szCs w:val="16"/>
                <w:color w:val="auto"/>
              </w:rPr>
              <w:t>Accelerated recognition of stock-based compensation expense</w:t>
            </w:r>
            <w:r>
              <w:rPr>
                <w:rFonts w:ascii="Arial" w:cs="Arial" w:eastAsia="Arial" w:hAnsi="Arial"/>
                <w:sz w:val="20"/>
                <w:szCs w:val="20"/>
                <w:color w:val="auto"/>
                <w:vertAlign w:val="superscript"/>
              </w:rPr>
              <w:t>1</w:t>
            </w: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7"/>
        </w:trPr>
        <w:tc>
          <w:tcPr>
            <w:tcW w:w="8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for Corporate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
        </w:trPr>
        <w:tc>
          <w:tcPr>
            <w:tcW w:w="8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60" w:hanging="147"/>
        <w:spacing w:after="0"/>
        <w:tabs>
          <w:tab w:leader="none" w:pos="1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Included in “Selling, general and administrative expenses” in the consolidated statements of income.</w:t>
      </w:r>
    </w:p>
    <w:p>
      <w:pPr>
        <w:ind w:left="160" w:hanging="147"/>
        <w:spacing w:after="0" w:line="215" w:lineRule="auto"/>
        <w:tabs>
          <w:tab w:leader="none" w:pos="1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Included in “Other income (expense), net” in the consolidated statements of income.</w:t>
      </w:r>
    </w:p>
    <w:p>
      <w:pPr>
        <w:ind w:left="160" w:hanging="147"/>
        <w:spacing w:after="0" w:line="215" w:lineRule="auto"/>
        <w:tabs>
          <w:tab w:leader="none" w:pos="1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Included in “Cost of goods sold” in the consolidated statements of income.</w:t>
      </w:r>
    </w:p>
    <w:p>
      <w:pPr>
        <w:ind w:left="160" w:hanging="147"/>
        <w:spacing w:after="0"/>
        <w:tabs>
          <w:tab w:leader="none" w:pos="1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See Note 13 to the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sectPr>
      </w:pPr>
    </w:p>
    <w:bookmarkStart w:id="34" w:name="page35"/>
    <w:bookmarkEnd w:id="34"/>
    <w:p>
      <w:pPr>
        <w:ind w:left="363"/>
        <w:spacing w:after="0"/>
        <w:rPr>
          <w:sz w:val="20"/>
          <w:szCs w:val="20"/>
          <w:color w:val="auto"/>
        </w:rPr>
      </w:pPr>
      <w:r>
        <w:rPr>
          <w:rFonts w:ascii="Arial" w:cs="Arial" w:eastAsia="Arial" w:hAnsi="Arial"/>
          <w:sz w:val="16"/>
          <w:szCs w:val="16"/>
          <w:color w:val="auto"/>
        </w:rPr>
        <w:t>Average debt outstanding and interest rates were as follows:</w:t>
      </w:r>
    </w:p>
    <w:p>
      <w:pPr>
        <w:spacing w:after="0" w:line="26" w:lineRule="exact"/>
        <w:rPr>
          <w:sz w:val="20"/>
          <w:szCs w:val="20"/>
          <w:color w:val="auto"/>
        </w:rPr>
      </w:pPr>
    </w:p>
    <w:tbl>
      <w:tblPr>
        <w:tblLayout w:type="fixed"/>
        <w:tblInd w:w="3" w:type="dxa"/>
        <w:tblCellMar>
          <w:top w:w="0" w:type="dxa"/>
          <w:left w:w="0" w:type="dxa"/>
          <w:bottom w:w="0" w:type="dxa"/>
          <w:right w:w="0" w:type="dxa"/>
        </w:tblCellMar>
      </w:tblPr>
      <w:tr>
        <w:trPr>
          <w:trHeight w:val="229"/>
        </w:trPr>
        <w:tc>
          <w:tcPr>
            <w:tcW w:w="7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0" w:type="dxa"/>
            <w:vAlign w:val="bottom"/>
            <w:tcBorders>
              <w:top w:val="single" w:sz="8" w:color="auto"/>
            </w:tcBorders>
            <w:gridSpan w:val="4"/>
          </w:tcPr>
          <w:p>
            <w:pPr>
              <w:jc w:val="right"/>
              <w:ind w:right="420"/>
              <w:spacing w:after="0"/>
              <w:rPr>
                <w:sz w:val="20"/>
                <w:szCs w:val="20"/>
                <w:color w:val="auto"/>
              </w:rPr>
            </w:pPr>
            <w:r>
              <w:rPr>
                <w:rFonts w:ascii="Arial" w:cs="Arial" w:eastAsia="Arial" w:hAnsi="Arial"/>
                <w:sz w:val="16"/>
                <w:szCs w:val="16"/>
                <w:color w:val="auto"/>
              </w:rPr>
              <w:t>Nine Months Ended September 30,</w:t>
            </w:r>
          </w:p>
        </w:tc>
        <w:tc>
          <w:tcPr>
            <w:tcW w:w="360" w:type="dxa"/>
            <w:vAlign w:val="bottom"/>
            <w:tcBorders>
              <w:top w:val="single" w:sz="8" w:color="auto"/>
            </w:tcBorders>
          </w:tcPr>
          <w:p>
            <w:pPr>
              <w:spacing w:after="0"/>
              <w:rPr>
                <w:sz w:val="19"/>
                <w:szCs w:val="19"/>
                <w:color w:val="auto"/>
              </w:rPr>
            </w:pPr>
          </w:p>
        </w:tc>
      </w:tr>
      <w:tr>
        <w:trPr>
          <w:trHeight w:val="205"/>
        </w:trPr>
        <w:tc>
          <w:tcPr>
            <w:tcW w:w="71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 millions)</w:t>
            </w: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2021</w:t>
            </w:r>
          </w:p>
        </w:tc>
        <w:tc>
          <w:tcPr>
            <w:tcW w:w="5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2020</w:t>
            </w:r>
          </w:p>
        </w:tc>
        <w:tc>
          <w:tcPr>
            <w:tcW w:w="360" w:type="dxa"/>
            <w:vAlign w:val="bottom"/>
            <w:tcBorders>
              <w:bottom w:val="single" w:sz="8" w:color="auto"/>
            </w:tcBorders>
          </w:tcPr>
          <w:p>
            <w:pPr>
              <w:spacing w:after="0"/>
              <w:rPr>
                <w:sz w:val="17"/>
                <w:szCs w:val="17"/>
                <w:color w:val="auto"/>
              </w:rPr>
            </w:pPr>
          </w:p>
        </w:tc>
      </w:tr>
      <w:tr>
        <w:trPr>
          <w:trHeight w:val="197"/>
        </w:trPr>
        <w:tc>
          <w:tcPr>
            <w:tcW w:w="71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4"/>
              </w:rPr>
              <w:t>Floating-rate debt with interest charged on a rollover basis at one-month LIBOR plus a credit spread:</w:t>
            </w:r>
          </w:p>
        </w:tc>
        <w:tc>
          <w:tcPr>
            <w:tcW w:w="6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r>
      <w:tr>
        <w:trPr>
          <w:trHeight w:val="205"/>
        </w:trPr>
        <w:tc>
          <w:tcPr>
            <w:tcW w:w="7100" w:type="dxa"/>
            <w:vAlign w:val="bottom"/>
          </w:tcPr>
          <w:p>
            <w:pPr>
              <w:ind w:left="660"/>
              <w:spacing w:after="0"/>
              <w:rPr>
                <w:sz w:val="20"/>
                <w:szCs w:val="20"/>
                <w:color w:val="auto"/>
              </w:rPr>
            </w:pPr>
            <w:r>
              <w:rPr>
                <w:rFonts w:ascii="Arial" w:cs="Arial" w:eastAsia="Arial" w:hAnsi="Arial"/>
                <w:sz w:val="16"/>
                <w:szCs w:val="16"/>
                <w:color w:val="auto"/>
              </w:rPr>
              <w:t>Average outstanding debt balance</w:t>
            </w:r>
          </w:p>
        </w:tc>
        <w:tc>
          <w:tcPr>
            <w:tcW w:w="6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131.5</w:t>
            </w:r>
          </w:p>
        </w:tc>
        <w:tc>
          <w:tcPr>
            <w:tcW w:w="580" w:type="dxa"/>
            <w:vAlign w:val="bottom"/>
          </w:tcPr>
          <w:p>
            <w:pPr>
              <w:spacing w:after="0"/>
              <w:rPr>
                <w:sz w:val="17"/>
                <w:szCs w:val="17"/>
                <w:color w:val="auto"/>
              </w:rPr>
            </w:pPr>
          </w:p>
        </w:tc>
        <w:tc>
          <w:tcPr>
            <w:tcW w:w="64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37.0</w:t>
            </w:r>
          </w:p>
        </w:tc>
        <w:tc>
          <w:tcPr>
            <w:tcW w:w="360" w:type="dxa"/>
            <w:vAlign w:val="bottom"/>
          </w:tcPr>
          <w:p>
            <w:pPr>
              <w:spacing w:after="0"/>
              <w:rPr>
                <w:sz w:val="17"/>
                <w:szCs w:val="17"/>
                <w:color w:val="auto"/>
              </w:rPr>
            </w:pPr>
          </w:p>
        </w:tc>
      </w:tr>
      <w:tr>
        <w:trPr>
          <w:trHeight w:val="205"/>
        </w:trPr>
        <w:tc>
          <w:tcPr>
            <w:tcW w:w="71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Average interest rate</w:t>
            </w:r>
          </w:p>
        </w:tc>
        <w:tc>
          <w:tcPr>
            <w:tcW w:w="6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1.7</w:t>
            </w:r>
          </w:p>
        </w:tc>
        <w:tc>
          <w:tcPr>
            <w:tcW w:w="5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2.5</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128" w:lineRule="exact"/>
        <w:rPr>
          <w:sz w:val="20"/>
          <w:szCs w:val="20"/>
          <w:color w:val="auto"/>
        </w:rPr>
      </w:pPr>
    </w:p>
    <w:p>
      <w:pPr>
        <w:jc w:val="center"/>
        <w:ind w:left="360"/>
        <w:spacing w:after="0"/>
        <w:rPr>
          <w:sz w:val="20"/>
          <w:szCs w:val="20"/>
          <w:color w:val="auto"/>
        </w:rPr>
      </w:pPr>
      <w:r>
        <w:rPr>
          <w:rFonts w:ascii="Arial" w:cs="Arial" w:eastAsia="Arial" w:hAnsi="Arial"/>
          <w:sz w:val="16"/>
          <w:szCs w:val="16"/>
          <w:b w:val="1"/>
          <w:bCs w:val="1"/>
          <w:u w:val="single" w:color="auto"/>
          <w:color w:val="auto"/>
        </w:rPr>
        <w:t>Liquidity and Capital Resources</w:t>
      </w:r>
    </w:p>
    <w:p>
      <w:pPr>
        <w:spacing w:after="0" w:line="97" w:lineRule="exact"/>
        <w:rPr>
          <w:sz w:val="20"/>
          <w:szCs w:val="20"/>
          <w:color w:val="auto"/>
        </w:rPr>
      </w:pPr>
    </w:p>
    <w:p>
      <w:pPr>
        <w:ind w:left="3" w:firstLine="362"/>
        <w:spacing w:after="0" w:line="261" w:lineRule="auto"/>
        <w:rPr>
          <w:sz w:val="20"/>
          <w:szCs w:val="20"/>
          <w:color w:val="auto"/>
        </w:rPr>
      </w:pPr>
      <w:r>
        <w:rPr>
          <w:rFonts w:ascii="Arial" w:cs="Arial" w:eastAsia="Arial" w:hAnsi="Arial"/>
          <w:sz w:val="16"/>
          <w:szCs w:val="16"/>
          <w:color w:val="auto"/>
        </w:rPr>
        <w:t>The Company continues to focus on improving working capital management. Measures such as days sales outstanding (“DSO”), days inventory outstanding (“DIO”) and days payables outstanding (“DPO”) are used to evaluate changes in working capital. Changes in operating assets and liabilities from continuing operations from December 31, 2020 to September 30, 2021 are summarized below. Cash flows for discontinued operations have not been separately disclosed in the consolidated statements of cash flows.</w:t>
      </w:r>
    </w:p>
    <w:p>
      <w:pPr>
        <w:spacing w:after="0" w:line="44" w:lineRule="exact"/>
        <w:rPr>
          <w:sz w:val="20"/>
          <w:szCs w:val="20"/>
          <w:color w:val="auto"/>
        </w:rPr>
      </w:pPr>
    </w:p>
    <w:p>
      <w:pPr>
        <w:ind w:left="363" w:hanging="363"/>
        <w:spacing w:after="0"/>
        <w:tabs>
          <w:tab w:leader="none" w:pos="363"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Accounts and other receivables increased $10.9 million (12.6%).</w:t>
      </w:r>
    </w:p>
    <w:p>
      <w:pPr>
        <w:spacing w:after="0" w:line="93" w:lineRule="exact"/>
        <w:rPr>
          <w:rFonts w:ascii="Arial" w:cs="Arial" w:eastAsia="Arial" w:hAnsi="Arial"/>
          <w:sz w:val="16"/>
          <w:szCs w:val="16"/>
          <w:color w:val="auto"/>
        </w:rPr>
      </w:pPr>
    </w:p>
    <w:p>
      <w:pPr>
        <w:ind w:left="723" w:right="240" w:hanging="362"/>
        <w:spacing w:after="0" w:line="283" w:lineRule="auto"/>
        <w:tabs>
          <w:tab w:leader="none" w:pos="720" w:val="left"/>
        </w:tabs>
        <w:numPr>
          <w:ilvl w:val="1"/>
          <w:numId w:val="19"/>
        </w:numPr>
        <w:rPr>
          <w:rFonts w:ascii="Arial" w:cs="Arial" w:eastAsia="Arial" w:hAnsi="Arial"/>
          <w:sz w:val="15"/>
          <w:szCs w:val="15"/>
          <w:color w:val="auto"/>
        </w:rPr>
      </w:pPr>
      <w:r>
        <w:rPr>
          <w:rFonts w:ascii="Arial" w:cs="Arial" w:eastAsia="Arial" w:hAnsi="Arial"/>
          <w:sz w:val="15"/>
          <w:szCs w:val="15"/>
          <w:color w:val="auto"/>
        </w:rPr>
        <w:t>Accounts and other receivables in Aluminum Extrusions increased by $13.8 million primarily due to higher selling prices from the pass-through of higher metal costs and an increase in average selling prices to cover higher operating costs, partially offset by lower volume and improved collection efforts during the nine months ended 2021. DSO (represents trailing 12 months net sales divided by a rolling 12-month average of accounts and other receivables balances) was approximately 47.2 days for the 12 months ended September 30, 2021 and 47.5 days for the 12 months ended December 31, 2020.</w:t>
      </w:r>
    </w:p>
    <w:p>
      <w:pPr>
        <w:spacing w:after="0" w:line="42" w:lineRule="exact"/>
        <w:rPr>
          <w:rFonts w:ascii="Arial" w:cs="Arial" w:eastAsia="Arial" w:hAnsi="Arial"/>
          <w:sz w:val="15"/>
          <w:szCs w:val="15"/>
          <w:color w:val="auto"/>
        </w:rPr>
      </w:pPr>
    </w:p>
    <w:p>
      <w:pPr>
        <w:ind w:left="723" w:right="40" w:hanging="362"/>
        <w:spacing w:after="0" w:line="291" w:lineRule="auto"/>
        <w:tabs>
          <w:tab w:leader="none" w:pos="720" w:val="left"/>
        </w:tabs>
        <w:numPr>
          <w:ilvl w:val="1"/>
          <w:numId w:val="19"/>
        </w:numPr>
        <w:rPr>
          <w:rFonts w:ascii="Arial" w:cs="Arial" w:eastAsia="Arial" w:hAnsi="Arial"/>
          <w:sz w:val="15"/>
          <w:szCs w:val="15"/>
          <w:color w:val="auto"/>
        </w:rPr>
      </w:pPr>
      <w:r>
        <w:rPr>
          <w:rFonts w:ascii="Arial" w:cs="Arial" w:eastAsia="Arial" w:hAnsi="Arial"/>
          <w:sz w:val="15"/>
          <w:szCs w:val="15"/>
          <w:color w:val="auto"/>
        </w:rPr>
        <w:t>Accounts and other receivables in PE Films decreased by $3.4 million due to lower volume and unfavorable mix associated with the previously disclosed customer product transitions in Surface Protection, partially offset by higher pricing associated with the pass-through of increased resin costs. DSO was approximately 28.7 days for the 12 months ended September 30, 2021 and 30.2 days for the 12 months ended December 31, 2020.</w:t>
      </w:r>
    </w:p>
    <w:p>
      <w:pPr>
        <w:spacing w:after="0" w:line="24" w:lineRule="exact"/>
        <w:rPr>
          <w:rFonts w:ascii="Arial" w:cs="Arial" w:eastAsia="Arial" w:hAnsi="Arial"/>
          <w:sz w:val="15"/>
          <w:szCs w:val="15"/>
          <w:color w:val="auto"/>
        </w:rPr>
      </w:pPr>
    </w:p>
    <w:p>
      <w:pPr>
        <w:jc w:val="both"/>
        <w:ind w:left="723" w:right="320" w:hanging="362"/>
        <w:spacing w:after="0" w:line="265" w:lineRule="auto"/>
        <w:tabs>
          <w:tab w:leader="none" w:pos="7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Accounts and other receivables in Flexible Packaging Films increased by $1.1 million primarily due to a one-time tax credit in Brazil for unemployment/social security insurance non-income taxes ("PIS/COFINS") received during the second quarter of 2021. DSO was approximately 39.8 days for the 12 months ended September 30, 2021 and 41.0 days for the 12 months ended December 31, 2020.</w:t>
      </w:r>
    </w:p>
    <w:p>
      <w:pPr>
        <w:spacing w:after="0" w:line="54" w:lineRule="exact"/>
        <w:rPr>
          <w:rFonts w:ascii="Arial" w:cs="Arial" w:eastAsia="Arial" w:hAnsi="Arial"/>
          <w:sz w:val="16"/>
          <w:szCs w:val="16"/>
          <w:color w:val="auto"/>
        </w:rPr>
      </w:pPr>
    </w:p>
    <w:p>
      <w:pPr>
        <w:ind w:left="363" w:hanging="363"/>
        <w:spacing w:after="0"/>
        <w:tabs>
          <w:tab w:leader="none" w:pos="363"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Inventories increased $19.2 million (29.0%).</w:t>
      </w:r>
    </w:p>
    <w:p>
      <w:pPr>
        <w:spacing w:after="0" w:line="93" w:lineRule="exact"/>
        <w:rPr>
          <w:rFonts w:ascii="Arial" w:cs="Arial" w:eastAsia="Arial" w:hAnsi="Arial"/>
          <w:sz w:val="16"/>
          <w:szCs w:val="16"/>
          <w:color w:val="auto"/>
        </w:rPr>
      </w:pPr>
    </w:p>
    <w:p>
      <w:pPr>
        <w:ind w:left="723" w:right="60" w:hanging="362"/>
        <w:spacing w:after="0" w:line="261" w:lineRule="auto"/>
        <w:tabs>
          <w:tab w:leader="none" w:pos="7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Inventories in Aluminum Extrusions increased by $15.4 million due to higher average aluminum prices and the impact of COVID-19-related operational and production inefficiencies on the timing of shipments. DIO (represents trailing 12 months costs of goods sold calculated on a first-in first-out basis divided by a rolling 12-month average of inventory balances calculated on the first-in first-out basis) was approximately 40.0 days for the 12 months ended September 30, 2021 and 39.3 days for the 12 months ended December 31, 2020.</w:t>
      </w:r>
    </w:p>
    <w:p>
      <w:pPr>
        <w:spacing w:after="0" w:line="44" w:lineRule="exact"/>
        <w:rPr>
          <w:rFonts w:ascii="Arial" w:cs="Arial" w:eastAsia="Arial" w:hAnsi="Arial"/>
          <w:sz w:val="16"/>
          <w:szCs w:val="16"/>
          <w:color w:val="auto"/>
        </w:rPr>
      </w:pPr>
    </w:p>
    <w:p>
      <w:pPr>
        <w:ind w:left="723" w:right="60" w:hanging="362"/>
        <w:spacing w:after="0" w:line="291" w:lineRule="auto"/>
        <w:tabs>
          <w:tab w:leader="none" w:pos="720" w:val="left"/>
        </w:tabs>
        <w:numPr>
          <w:ilvl w:val="1"/>
          <w:numId w:val="19"/>
        </w:numPr>
        <w:rPr>
          <w:rFonts w:ascii="Arial" w:cs="Arial" w:eastAsia="Arial" w:hAnsi="Arial"/>
          <w:sz w:val="15"/>
          <w:szCs w:val="15"/>
          <w:color w:val="auto"/>
        </w:rPr>
      </w:pPr>
      <w:r>
        <w:rPr>
          <w:rFonts w:ascii="Arial" w:cs="Arial" w:eastAsia="Arial" w:hAnsi="Arial"/>
          <w:sz w:val="15"/>
          <w:szCs w:val="15"/>
          <w:color w:val="auto"/>
        </w:rPr>
        <w:t>Inventories in PE Films decreased $1.2 million due to lower planned raw material and finished good levels due to declining sales volume relative to 2020, partially offset by increased resin costs. DIO of approximately 62.4 days for the 12 months ended September 30, 2021 was higher compared 59.2 days for the 12 months ended December 31, 2020 due to the lower Surface Protection 12-month average of costs of goods sold as a result of lower sales volume.</w:t>
      </w:r>
    </w:p>
    <w:p>
      <w:pPr>
        <w:spacing w:after="0" w:line="24" w:lineRule="exact"/>
        <w:rPr>
          <w:rFonts w:ascii="Arial" w:cs="Arial" w:eastAsia="Arial" w:hAnsi="Arial"/>
          <w:sz w:val="15"/>
          <w:szCs w:val="15"/>
          <w:color w:val="auto"/>
        </w:rPr>
      </w:pPr>
    </w:p>
    <w:p>
      <w:pPr>
        <w:ind w:left="723" w:right="60" w:hanging="362"/>
        <w:spacing w:after="0" w:line="236" w:lineRule="auto"/>
        <w:tabs>
          <w:tab w:leader="none" w:pos="7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Inventories in Flexible Packaging Films increased by $5.1 million primarily due to higher finished good levels due to lower than anticipated sales volume and higher planned raw material levels due to anticipated freight delays. DIO was approximately 94.4 days for the 12 months ended September 30, 2021 and 89.4 days for the 12 months ended December 31, 2020.</w:t>
      </w:r>
    </w:p>
    <w:p>
      <w:pPr>
        <w:spacing w:after="0" w:line="60" w:lineRule="exact"/>
        <w:rPr>
          <w:rFonts w:ascii="Arial" w:cs="Arial" w:eastAsia="Arial" w:hAnsi="Arial"/>
          <w:sz w:val="16"/>
          <w:szCs w:val="16"/>
          <w:color w:val="auto"/>
        </w:rPr>
      </w:pPr>
    </w:p>
    <w:p>
      <w:pPr>
        <w:ind w:left="363" w:right="560" w:hanging="363"/>
        <w:spacing w:after="0" w:line="279" w:lineRule="auto"/>
        <w:tabs>
          <w:tab w:leader="none" w:pos="359"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Net property, plant and equipment increased $1.4 million primarily due to capital expenditures of $19.0 million, partially offset by depreciation expense of $16.2 million, disposals, net of cash proceeds of $0.5 million and unfavorable changes in foreign exchange rates of $0.6 million.</w:t>
      </w:r>
    </w:p>
    <w:p>
      <w:pPr>
        <w:spacing w:after="0" w:line="30" w:lineRule="exact"/>
        <w:rPr>
          <w:rFonts w:ascii="Arial" w:cs="Arial" w:eastAsia="Arial" w:hAnsi="Arial"/>
          <w:sz w:val="16"/>
          <w:szCs w:val="16"/>
          <w:color w:val="auto"/>
        </w:rPr>
      </w:pPr>
    </w:p>
    <w:p>
      <w:pPr>
        <w:ind w:left="363" w:hanging="363"/>
        <w:spacing w:after="0"/>
        <w:tabs>
          <w:tab w:leader="none" w:pos="363" w:val="left"/>
        </w:tabs>
        <w:numPr>
          <w:ilvl w:val="0"/>
          <w:numId w:val="19"/>
        </w:numPr>
        <w:rPr>
          <w:rFonts w:ascii="Arial" w:cs="Arial" w:eastAsia="Arial" w:hAnsi="Arial"/>
          <w:sz w:val="16"/>
          <w:szCs w:val="16"/>
          <w:color w:val="auto"/>
        </w:rPr>
      </w:pPr>
      <w:r>
        <w:rPr>
          <w:rFonts w:ascii="Arial" w:cs="Arial" w:eastAsia="Arial" w:hAnsi="Arial"/>
          <w:sz w:val="16"/>
          <w:szCs w:val="16"/>
          <w:color w:val="auto"/>
        </w:rPr>
        <w:t>Identifiable intangible assets, net decreased by $2.2 million (11.8%) due to amortization expense.</w:t>
      </w:r>
    </w:p>
    <w:p>
      <w:pPr>
        <w:spacing w:after="0" w:line="93" w:lineRule="exact"/>
        <w:rPr>
          <w:rFonts w:ascii="Arial" w:cs="Arial" w:eastAsia="Arial" w:hAnsi="Arial"/>
          <w:sz w:val="16"/>
          <w:szCs w:val="16"/>
          <w:color w:val="auto"/>
        </w:rPr>
      </w:pPr>
    </w:p>
    <w:p>
      <w:pPr>
        <w:ind w:left="363" w:hanging="363"/>
        <w:spacing w:after="0"/>
        <w:tabs>
          <w:tab w:leader="none" w:pos="363"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Accounts payable increased $26.2 million (29.2%).</w:t>
      </w:r>
    </w:p>
    <w:p>
      <w:pPr>
        <w:spacing w:after="0" w:line="93" w:lineRule="exact"/>
        <w:rPr>
          <w:rFonts w:ascii="Arial" w:cs="Arial" w:eastAsia="Arial" w:hAnsi="Arial"/>
          <w:sz w:val="16"/>
          <w:szCs w:val="16"/>
          <w:color w:val="auto"/>
        </w:rPr>
      </w:pPr>
    </w:p>
    <w:p>
      <w:pPr>
        <w:jc w:val="both"/>
        <w:ind w:left="723" w:right="120" w:hanging="362"/>
        <w:spacing w:after="0" w:line="265" w:lineRule="auto"/>
        <w:tabs>
          <w:tab w:leader="none" w:pos="7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Accounts payable in Aluminum Extrusions increased by $22.0 million primarily due to higher average aluminum prices and favorable payment terms with certain vendors. DPO (represents trailing 12 months costs of goods sold calculated on a first-in first-out basis divided by a rolling 12-month average of accounts payable balances) was</w:t>
      </w:r>
    </w:p>
    <w:p>
      <w:pPr>
        <w:spacing w:after="0" w:line="200" w:lineRule="exact"/>
        <w:rPr>
          <w:sz w:val="20"/>
          <w:szCs w:val="20"/>
          <w:color w:val="auto"/>
        </w:rPr>
      </w:pPr>
    </w:p>
    <w:p>
      <w:pPr>
        <w:spacing w:after="0" w:line="26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7232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3"/>
          </w:cols>
          <w:pgMar w:left="317" w:top="899" w:right="319" w:bottom="1440" w:gutter="0" w:footer="0" w:header="0"/>
        </w:sectPr>
      </w:pPr>
    </w:p>
    <w:bookmarkStart w:id="35" w:name="page36"/>
    <w:bookmarkEnd w:id="35"/>
    <w:p>
      <w:pPr>
        <w:ind w:left="720"/>
        <w:spacing w:after="0"/>
        <w:rPr>
          <w:sz w:val="20"/>
          <w:szCs w:val="20"/>
          <w:color w:val="auto"/>
        </w:rPr>
      </w:pPr>
      <w:r>
        <w:rPr>
          <w:rFonts w:ascii="Arial" w:cs="Arial" w:eastAsia="Arial" w:hAnsi="Arial"/>
          <w:sz w:val="16"/>
          <w:szCs w:val="16"/>
          <w:color w:val="auto"/>
        </w:rPr>
        <w:t>approximately 58.7 days for the 12 months ended September 30, 2021 and 53.1 days for the 12 months ended December 31, 2020.</w:t>
      </w:r>
    </w:p>
    <w:p>
      <w:pPr>
        <w:spacing w:after="0" w:line="81" w:lineRule="exact"/>
        <w:rPr>
          <w:sz w:val="20"/>
          <w:szCs w:val="20"/>
          <w:color w:val="auto"/>
        </w:rPr>
      </w:pPr>
    </w:p>
    <w:p>
      <w:pPr>
        <w:ind w:left="720" w:right="720" w:hanging="362"/>
        <w:spacing w:after="0" w:line="314" w:lineRule="auto"/>
        <w:tabs>
          <w:tab w:leader="none" w:pos="717" w:val="left"/>
        </w:tabs>
        <w:numPr>
          <w:ilvl w:val="0"/>
          <w:numId w:val="20"/>
        </w:numPr>
        <w:rPr>
          <w:rFonts w:ascii="Arial" w:cs="Arial" w:eastAsia="Arial" w:hAnsi="Arial"/>
          <w:sz w:val="15"/>
          <w:szCs w:val="15"/>
          <w:color w:val="auto"/>
        </w:rPr>
      </w:pPr>
      <w:r>
        <w:rPr>
          <w:rFonts w:ascii="Arial" w:cs="Arial" w:eastAsia="Arial" w:hAnsi="Arial"/>
          <w:sz w:val="15"/>
          <w:szCs w:val="15"/>
          <w:color w:val="auto"/>
        </w:rPr>
        <w:t>Accounts payable in PE Films increased by $4.2 million primarily due to higher resin costs and favorable payment terms with certain vendors. DPO was approximately 38.7 days for the 12 months ended September 30, 2021 and 36.8 days for the 12 months ended December 31, 2020.</w:t>
      </w:r>
    </w:p>
    <w:p>
      <w:pPr>
        <w:spacing w:after="0" w:line="19" w:lineRule="exact"/>
        <w:rPr>
          <w:rFonts w:ascii="Arial" w:cs="Arial" w:eastAsia="Arial" w:hAnsi="Arial"/>
          <w:sz w:val="15"/>
          <w:szCs w:val="15"/>
          <w:color w:val="auto"/>
        </w:rPr>
      </w:pPr>
    </w:p>
    <w:p>
      <w:pPr>
        <w:ind w:left="720" w:right="520" w:hanging="362"/>
        <w:spacing w:after="0" w:line="314" w:lineRule="auto"/>
        <w:tabs>
          <w:tab w:leader="none" w:pos="717" w:val="left"/>
        </w:tabs>
        <w:numPr>
          <w:ilvl w:val="0"/>
          <w:numId w:val="20"/>
        </w:numPr>
        <w:rPr>
          <w:rFonts w:ascii="Arial" w:cs="Arial" w:eastAsia="Arial" w:hAnsi="Arial"/>
          <w:sz w:val="15"/>
          <w:szCs w:val="15"/>
          <w:color w:val="auto"/>
        </w:rPr>
      </w:pPr>
      <w:r>
        <w:rPr>
          <w:rFonts w:ascii="Arial" w:cs="Arial" w:eastAsia="Arial" w:hAnsi="Arial"/>
          <w:sz w:val="15"/>
          <w:szCs w:val="15"/>
          <w:color w:val="auto"/>
        </w:rPr>
        <w:t>Accounts payable in Flexible Packaging Films increased $1.5 million due to higher resin costs and favorable payment terms with certain vendors. DPO was approximately 68.2 days for the 12 months ended September 30, 2021 and 61.7 days for the 12 months ended December 31, 2020.</w:t>
      </w:r>
    </w:p>
    <w:p>
      <w:pPr>
        <w:spacing w:after="0" w:line="19" w:lineRule="exact"/>
        <w:rPr>
          <w:sz w:val="20"/>
          <w:szCs w:val="20"/>
          <w:color w:val="auto"/>
        </w:rPr>
      </w:pPr>
    </w:p>
    <w:p>
      <w:pPr>
        <w:ind w:right="100" w:firstLine="362"/>
        <w:spacing w:after="0" w:line="265" w:lineRule="auto"/>
        <w:rPr>
          <w:sz w:val="20"/>
          <w:szCs w:val="20"/>
          <w:color w:val="auto"/>
        </w:rPr>
      </w:pPr>
      <w:r>
        <w:rPr>
          <w:rFonts w:ascii="Arial" w:cs="Arial" w:eastAsia="Arial" w:hAnsi="Arial"/>
          <w:sz w:val="16"/>
          <w:szCs w:val="16"/>
          <w:color w:val="auto"/>
        </w:rPr>
        <w:t>Net cash provided by operating activities was $51.5 million in the first nine months of 2021 compared to $66.3 million in the first nine months of 2020. The decrease was primarily due to lower net working capital ($10.6 million) and lower EBITDA for business segments of $6.6 million in the first nine months of 2021 versus the first nine months months of 2020.</w:t>
      </w:r>
    </w:p>
    <w:p>
      <w:pPr>
        <w:spacing w:after="0" w:line="42" w:lineRule="exact"/>
        <w:rPr>
          <w:sz w:val="20"/>
          <w:szCs w:val="20"/>
          <w:color w:val="auto"/>
        </w:rPr>
      </w:pPr>
    </w:p>
    <w:p>
      <w:pPr>
        <w:ind w:right="60" w:firstLine="362"/>
        <w:spacing w:after="0" w:line="279" w:lineRule="auto"/>
        <w:rPr>
          <w:sz w:val="20"/>
          <w:szCs w:val="20"/>
          <w:color w:val="auto"/>
        </w:rPr>
      </w:pPr>
      <w:r>
        <w:rPr>
          <w:rFonts w:ascii="Arial" w:cs="Arial" w:eastAsia="Arial" w:hAnsi="Arial"/>
          <w:sz w:val="16"/>
          <w:szCs w:val="16"/>
          <w:color w:val="auto"/>
        </w:rPr>
        <w:t>Net cash used in investing activities increased during the first nine months of 2021 compared to the first nine months of 2020 due to higher capital expenditure spending of $6.2 million, partially offset by $4.7 million cash proceeds from the sale of the Lake Zurich manufacturing facility assets.</w:t>
      </w:r>
    </w:p>
    <w:p>
      <w:pPr>
        <w:spacing w:after="0" w:line="43" w:lineRule="exact"/>
        <w:rPr>
          <w:sz w:val="20"/>
          <w:szCs w:val="20"/>
          <w:color w:val="auto"/>
        </w:rPr>
      </w:pPr>
    </w:p>
    <w:p>
      <w:pPr>
        <w:jc w:val="both"/>
        <w:ind w:right="220" w:firstLine="362"/>
        <w:spacing w:after="0" w:line="320" w:lineRule="auto"/>
        <w:rPr>
          <w:sz w:val="20"/>
          <w:szCs w:val="20"/>
          <w:color w:val="auto"/>
        </w:rPr>
      </w:pPr>
      <w:r>
        <w:rPr>
          <w:rFonts w:ascii="Arial" w:cs="Arial" w:eastAsia="Arial" w:hAnsi="Arial"/>
          <w:sz w:val="14"/>
          <w:szCs w:val="14"/>
          <w:color w:val="auto"/>
        </w:rPr>
        <w:t>Net cash used in financing activities of $18.2 million in the first nine months of 2021, compared to $47.6 million in the first nine months of 2020, decreased primarily due to higher net repayments ($28.0 million) in 2020 under the Credit Agreement (as defined below), partially offset by $0.9 million of proceeds from the exercise of stock options in the first nine months of 2021 and repurchases of employee common stock for tax withholdings of $0.6 million in the first nine months of 2020.</w:t>
      </w:r>
    </w:p>
    <w:p>
      <w:pPr>
        <w:spacing w:after="0" w:line="20" w:lineRule="exact"/>
        <w:rPr>
          <w:sz w:val="20"/>
          <w:szCs w:val="20"/>
          <w:color w:val="auto"/>
        </w:rPr>
      </w:pPr>
    </w:p>
    <w:p>
      <w:pPr>
        <w:ind w:right="80" w:firstLine="362"/>
        <w:spacing w:after="0" w:line="279" w:lineRule="auto"/>
        <w:rPr>
          <w:sz w:val="20"/>
          <w:szCs w:val="20"/>
          <w:color w:val="auto"/>
        </w:rPr>
      </w:pPr>
      <w:r>
        <w:rPr>
          <w:rFonts w:ascii="Arial" w:cs="Arial" w:eastAsia="Arial" w:hAnsi="Arial"/>
          <w:sz w:val="16"/>
          <w:szCs w:val="16"/>
          <w:color w:val="auto"/>
        </w:rPr>
        <w:t>Tredegar has a five-year secured revolving credit agreement (the “Credit Agreement”) providing for aggregate borrowings in an amount of $375 million, which matures in June 2024.</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capitalization and indebtedness as defined under the Credit Agreement as of September 30, 2021 were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60" w:type="dxa"/>
            <w:vAlign w:val="bottom"/>
            <w:tcBorders>
              <w:top w:val="single" w:sz="8" w:color="auto"/>
            </w:tcBorders>
          </w:tcPr>
          <w:p>
            <w:pPr>
              <w:spacing w:after="0"/>
              <w:rPr>
                <w:sz w:val="19"/>
                <w:szCs w:val="19"/>
                <w:color w:val="auto"/>
              </w:rPr>
            </w:pPr>
          </w:p>
        </w:tc>
        <w:tc>
          <w:tcPr>
            <w:tcW w:w="6740" w:type="dxa"/>
            <w:vAlign w:val="bottom"/>
            <w:tcBorders>
              <w:top w:val="single" w:sz="8" w:color="auto"/>
            </w:tcBorders>
          </w:tcPr>
          <w:p>
            <w:pPr>
              <w:jc w:val="right"/>
              <w:ind w:right="2420"/>
              <w:spacing w:after="0"/>
              <w:rPr>
                <w:sz w:val="20"/>
                <w:szCs w:val="20"/>
                <w:color w:val="auto"/>
              </w:rPr>
            </w:pPr>
            <w:r>
              <w:rPr>
                <w:rFonts w:ascii="Arial" w:cs="Arial" w:eastAsia="Arial" w:hAnsi="Arial"/>
                <w:sz w:val="16"/>
                <w:szCs w:val="16"/>
                <w:color w:val="auto"/>
                <w:w w:val="94"/>
              </w:rPr>
              <w:t>Net Capitalization and Indebtedness as of September 30, 2021</w:t>
            </w:r>
          </w:p>
        </w:tc>
        <w:tc>
          <w:tcPr>
            <w:tcW w:w="960" w:type="dxa"/>
            <w:vAlign w:val="bottom"/>
            <w:tcBorders>
              <w:top w:val="single" w:sz="8" w:color="auto"/>
            </w:tcBorders>
          </w:tcPr>
          <w:p>
            <w:pPr>
              <w:spacing w:after="0"/>
              <w:rPr>
                <w:sz w:val="19"/>
                <w:szCs w:val="19"/>
                <w:color w:val="auto"/>
              </w:rPr>
            </w:pPr>
          </w:p>
        </w:tc>
      </w:tr>
      <w:tr>
        <w:trPr>
          <w:trHeight w:val="205"/>
        </w:trPr>
        <w:tc>
          <w:tcPr>
            <w:tcW w:w="3560" w:type="dxa"/>
            <w:vAlign w:val="bottom"/>
            <w:tcBorders>
              <w:bottom w:val="single" w:sz="8" w:color="auto"/>
            </w:tcBorders>
          </w:tcPr>
          <w:p>
            <w:pPr>
              <w:spacing w:after="0"/>
              <w:rPr>
                <w:sz w:val="17"/>
                <w:szCs w:val="17"/>
                <w:color w:val="auto"/>
              </w:rPr>
            </w:pPr>
          </w:p>
        </w:tc>
        <w:tc>
          <w:tcPr>
            <w:tcW w:w="6740" w:type="dxa"/>
            <w:vAlign w:val="bottom"/>
            <w:tcBorders>
              <w:bottom w:val="single" w:sz="8" w:color="auto"/>
            </w:tcBorders>
          </w:tcPr>
          <w:p>
            <w:pPr>
              <w:jc w:val="right"/>
              <w:ind w:right="3960"/>
              <w:spacing w:after="0"/>
              <w:rPr>
                <w:sz w:val="20"/>
                <w:szCs w:val="20"/>
                <w:color w:val="auto"/>
              </w:rPr>
            </w:pPr>
            <w:r>
              <w:rPr>
                <w:rFonts w:ascii="Arial" w:cs="Arial" w:eastAsia="Arial" w:hAnsi="Arial"/>
                <w:sz w:val="16"/>
                <w:szCs w:val="16"/>
                <w:color w:val="auto"/>
              </w:rPr>
              <w:t>(In thousands)</w:t>
            </w:r>
          </w:p>
        </w:tc>
        <w:tc>
          <w:tcPr>
            <w:tcW w:w="960" w:type="dxa"/>
            <w:vAlign w:val="bottom"/>
            <w:tcBorders>
              <w:bottom w:val="single" w:sz="8" w:color="auto"/>
            </w:tcBorders>
          </w:tcPr>
          <w:p>
            <w:pPr>
              <w:spacing w:after="0"/>
              <w:rPr>
                <w:sz w:val="17"/>
                <w:szCs w:val="17"/>
                <w:color w:val="auto"/>
              </w:rPr>
            </w:pPr>
          </w:p>
        </w:tc>
      </w:tr>
      <w:tr>
        <w:trPr>
          <w:trHeight w:val="197"/>
        </w:trPr>
        <w:tc>
          <w:tcPr>
            <w:tcW w:w="35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capitalization:</w:t>
            </w:r>
          </w:p>
        </w:tc>
        <w:tc>
          <w:tcPr>
            <w:tcW w:w="67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5"/>
        </w:trPr>
        <w:tc>
          <w:tcPr>
            <w:tcW w:w="3560" w:type="dxa"/>
            <w:vAlign w:val="bottom"/>
          </w:tcPr>
          <w:p>
            <w:pPr>
              <w:ind w:left="660"/>
              <w:spacing w:after="0"/>
              <w:rPr>
                <w:sz w:val="20"/>
                <w:szCs w:val="20"/>
                <w:color w:val="auto"/>
              </w:rPr>
            </w:pPr>
            <w:r>
              <w:rPr>
                <w:rFonts w:ascii="Arial" w:cs="Arial" w:eastAsia="Arial" w:hAnsi="Arial"/>
                <w:sz w:val="16"/>
                <w:szCs w:val="16"/>
                <w:color w:val="auto"/>
              </w:rPr>
              <w:t>Cash and cash equivalents</w:t>
            </w:r>
          </w:p>
        </w:tc>
        <w:tc>
          <w:tcPr>
            <w:tcW w:w="674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30,253</w:t>
            </w:r>
          </w:p>
        </w:tc>
      </w:tr>
      <w:tr>
        <w:trPr>
          <w:trHeight w:val="205"/>
        </w:trPr>
        <w:tc>
          <w:tcPr>
            <w:tcW w:w="35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Debt:</w:t>
            </w:r>
          </w:p>
        </w:tc>
        <w:tc>
          <w:tcPr>
            <w:tcW w:w="67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5"/>
        </w:trPr>
        <w:tc>
          <w:tcPr>
            <w:tcW w:w="356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Credit Agreement</w:t>
            </w:r>
          </w:p>
        </w:tc>
        <w:tc>
          <w:tcPr>
            <w:tcW w:w="67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127,000</w:t>
            </w:r>
          </w:p>
        </w:tc>
      </w:tr>
      <w:tr>
        <w:trPr>
          <w:trHeight w:val="197"/>
        </w:trPr>
        <w:tc>
          <w:tcPr>
            <w:tcW w:w="35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Debt, net of cash and cash equivalents</w:t>
            </w:r>
          </w:p>
        </w:tc>
        <w:tc>
          <w:tcPr>
            <w:tcW w:w="67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96,747</w:t>
            </w:r>
          </w:p>
        </w:tc>
      </w:tr>
      <w:tr>
        <w:trPr>
          <w:trHeight w:val="205"/>
        </w:trPr>
        <w:tc>
          <w:tcPr>
            <w:tcW w:w="356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Shareholders’ equity</w:t>
            </w:r>
          </w:p>
        </w:tc>
        <w:tc>
          <w:tcPr>
            <w:tcW w:w="67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146,279</w:t>
            </w:r>
          </w:p>
        </w:tc>
      </w:tr>
      <w:tr>
        <w:trPr>
          <w:trHeight w:val="201"/>
        </w:trPr>
        <w:tc>
          <w:tcPr>
            <w:tcW w:w="35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Net capitalization</w:t>
            </w:r>
          </w:p>
        </w:tc>
        <w:tc>
          <w:tcPr>
            <w:tcW w:w="674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243,026</w:t>
            </w:r>
          </w:p>
        </w:tc>
      </w:tr>
      <w:tr>
        <w:trPr>
          <w:trHeight w:val="205"/>
        </w:trPr>
        <w:tc>
          <w:tcPr>
            <w:tcW w:w="3560" w:type="dxa"/>
            <w:vAlign w:val="bottom"/>
          </w:tcPr>
          <w:p>
            <w:pPr>
              <w:ind w:left="380"/>
              <w:spacing w:after="0"/>
              <w:rPr>
                <w:sz w:val="20"/>
                <w:szCs w:val="20"/>
                <w:color w:val="auto"/>
              </w:rPr>
            </w:pPr>
            <w:r>
              <w:rPr>
                <w:rFonts w:ascii="Arial" w:cs="Arial" w:eastAsia="Arial" w:hAnsi="Arial"/>
                <w:sz w:val="16"/>
                <w:szCs w:val="16"/>
                <w:color w:val="auto"/>
                <w:w w:val="97"/>
              </w:rPr>
              <w:t>Indebtedness as defined in Credit Agreement:</w:t>
            </w:r>
          </w:p>
        </w:tc>
        <w:tc>
          <w:tcPr>
            <w:tcW w:w="67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5"/>
        </w:trPr>
        <w:tc>
          <w:tcPr>
            <w:tcW w:w="35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Total debt</w:t>
            </w:r>
          </w:p>
        </w:tc>
        <w:tc>
          <w:tcPr>
            <w:tcW w:w="674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127,000</w:t>
            </w:r>
          </w:p>
        </w:tc>
      </w:tr>
      <w:tr>
        <w:trPr>
          <w:trHeight w:val="201"/>
        </w:trPr>
        <w:tc>
          <w:tcPr>
            <w:tcW w:w="356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Indebtedness</w:t>
            </w:r>
          </w:p>
        </w:tc>
        <w:tc>
          <w:tcPr>
            <w:tcW w:w="67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127,000</w:t>
            </w:r>
          </w:p>
        </w:tc>
      </w:tr>
    </w:tbl>
    <w:p>
      <w:pPr>
        <w:spacing w:after="0" w:line="156" w:lineRule="exact"/>
        <w:rPr>
          <w:sz w:val="20"/>
          <w:szCs w:val="20"/>
          <w:color w:val="auto"/>
        </w:rPr>
      </w:pPr>
    </w:p>
    <w:p>
      <w:pPr>
        <w:ind w:right="500" w:firstLine="362"/>
        <w:spacing w:after="0" w:line="279" w:lineRule="auto"/>
        <w:rPr>
          <w:sz w:val="20"/>
          <w:szCs w:val="20"/>
          <w:color w:val="auto"/>
        </w:rPr>
      </w:pPr>
      <w:r>
        <w:rPr>
          <w:rFonts w:ascii="Arial" w:cs="Arial" w:eastAsia="Arial" w:hAnsi="Arial"/>
          <w:sz w:val="16"/>
          <w:szCs w:val="16"/>
          <w:color w:val="auto"/>
        </w:rPr>
        <w:t>Borrowings under the Credit Agreement bear an interest rate of LIBOR plus a credit spread and commitment fees charged on the unused amount under the Credit Agreement at various indebtedness-to-Credit EBITDA levels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714692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jc w:val="center"/>
        <w:ind w:left="360"/>
        <w:spacing w:after="0"/>
        <w:rPr>
          <w:sz w:val="20"/>
          <w:szCs w:val="20"/>
          <w:color w:val="auto"/>
        </w:rPr>
      </w:pPr>
      <w:r>
        <w:rPr>
          <w:rFonts w:ascii="Arial" w:cs="Arial" w:eastAsia="Arial" w:hAnsi="Arial"/>
          <w:sz w:val="16"/>
          <w:szCs w:val="16"/>
          <w:color w:val="auto"/>
        </w:rPr>
        <w:t>Pricing Under The Credit Agreement (Basis Points)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80" w:type="dxa"/>
            <w:vAlign w:val="bottom"/>
            <w:tcBorders>
              <w:top w:val="single" w:sz="8" w:color="auto"/>
            </w:tcBorders>
            <w:vMerge w:val="restart"/>
          </w:tcPr>
          <w:p>
            <w:pPr>
              <w:ind w:left="380"/>
              <w:spacing w:after="0"/>
              <w:rPr>
                <w:sz w:val="20"/>
                <w:szCs w:val="20"/>
                <w:color w:val="auto"/>
              </w:rPr>
            </w:pPr>
            <w:r>
              <w:rPr>
                <w:rFonts w:ascii="Arial" w:cs="Arial" w:eastAsia="Arial" w:hAnsi="Arial"/>
                <w:sz w:val="16"/>
                <w:szCs w:val="16"/>
                <w:color w:val="auto"/>
              </w:rPr>
              <w:t>Indebtedness-to-Credit EBITDA Ratio</w:t>
            </w:r>
          </w:p>
        </w:tc>
        <w:tc>
          <w:tcPr>
            <w:tcW w:w="4240" w:type="dxa"/>
            <w:vAlign w:val="bottom"/>
            <w:tcBorders>
              <w:top w:val="single" w:sz="8" w:color="auto"/>
            </w:tcBorders>
          </w:tcPr>
          <w:p>
            <w:pPr>
              <w:jc w:val="right"/>
              <w:ind w:right="220"/>
              <w:spacing w:after="0" w:line="149" w:lineRule="exact"/>
              <w:rPr>
                <w:sz w:val="20"/>
                <w:szCs w:val="20"/>
                <w:color w:val="auto"/>
              </w:rPr>
            </w:pPr>
            <w:r>
              <w:rPr>
                <w:rFonts w:ascii="Arial" w:cs="Arial" w:eastAsia="Arial" w:hAnsi="Arial"/>
                <w:sz w:val="16"/>
                <w:szCs w:val="16"/>
                <w:color w:val="auto"/>
              </w:rPr>
              <w:t>Credit Spread</w:t>
            </w:r>
          </w:p>
        </w:tc>
        <w:tc>
          <w:tcPr>
            <w:tcW w:w="1240" w:type="dxa"/>
            <w:vAlign w:val="bottom"/>
            <w:tcBorders>
              <w:top w:val="single" w:sz="8" w:color="auto"/>
            </w:tcBorders>
          </w:tcPr>
          <w:p>
            <w:pPr>
              <w:jc w:val="right"/>
              <w:ind w:right="40"/>
              <w:spacing w:after="0" w:line="149" w:lineRule="exact"/>
              <w:rPr>
                <w:sz w:val="20"/>
                <w:szCs w:val="20"/>
                <w:color w:val="auto"/>
              </w:rPr>
            </w:pPr>
            <w:r>
              <w:rPr>
                <w:rFonts w:ascii="Arial" w:cs="Arial" w:eastAsia="Arial" w:hAnsi="Arial"/>
                <w:sz w:val="16"/>
                <w:szCs w:val="16"/>
                <w:color w:val="auto"/>
              </w:rPr>
              <w:t>Commitment</w:t>
            </w:r>
          </w:p>
        </w:tc>
        <w:tc>
          <w:tcPr>
            <w:tcW w:w="0" w:type="dxa"/>
            <w:vAlign w:val="bottom"/>
          </w:tcPr>
          <w:p>
            <w:pPr>
              <w:spacing w:after="0"/>
              <w:rPr>
                <w:sz w:val="1"/>
                <w:szCs w:val="1"/>
                <w:color w:val="auto"/>
              </w:rPr>
            </w:pPr>
          </w:p>
        </w:tc>
      </w:tr>
      <w:tr>
        <w:trPr>
          <w:trHeight w:val="205"/>
        </w:trPr>
        <w:tc>
          <w:tcPr>
            <w:tcW w:w="5780" w:type="dxa"/>
            <w:vAlign w:val="bottom"/>
            <w:tcBorders>
              <w:bottom w:val="single" w:sz="8" w:color="auto"/>
            </w:tcBorders>
            <w:vMerge w:val="continue"/>
          </w:tcPr>
          <w:p>
            <w:pPr>
              <w:spacing w:after="0"/>
              <w:rPr>
                <w:sz w:val="17"/>
                <w:szCs w:val="17"/>
                <w:color w:val="auto"/>
              </w:rPr>
            </w:pPr>
          </w:p>
        </w:tc>
        <w:tc>
          <w:tcPr>
            <w:tcW w:w="42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Over LIBOR</w:t>
            </w:r>
          </w:p>
        </w:tc>
        <w:tc>
          <w:tcPr>
            <w:tcW w:w="124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Fee</w:t>
            </w: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&gt; 3.5x but &lt;= 4.0x</w:t>
            </w:r>
          </w:p>
        </w:tc>
        <w:tc>
          <w:tcPr>
            <w:tcW w:w="42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200.0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5"/>
        </w:trPr>
        <w:tc>
          <w:tcPr>
            <w:tcW w:w="5780" w:type="dxa"/>
            <w:vAlign w:val="bottom"/>
          </w:tcPr>
          <w:p>
            <w:pPr>
              <w:ind w:left="380"/>
              <w:spacing w:after="0"/>
              <w:rPr>
                <w:sz w:val="20"/>
                <w:szCs w:val="20"/>
                <w:color w:val="auto"/>
              </w:rPr>
            </w:pPr>
            <w:r>
              <w:rPr>
                <w:rFonts w:ascii="Arial" w:cs="Arial" w:eastAsia="Arial" w:hAnsi="Arial"/>
                <w:sz w:val="16"/>
                <w:szCs w:val="16"/>
                <w:color w:val="auto"/>
              </w:rPr>
              <w:t>&gt; 3.0x but &lt;= 3.5x</w:t>
            </w:r>
          </w:p>
        </w:tc>
        <w:tc>
          <w:tcPr>
            <w:tcW w:w="4240" w:type="dxa"/>
            <w:vAlign w:val="bottom"/>
          </w:tcPr>
          <w:p>
            <w:pPr>
              <w:jc w:val="right"/>
              <w:ind w:right="180"/>
              <w:spacing w:after="0"/>
              <w:rPr>
                <w:sz w:val="20"/>
                <w:szCs w:val="20"/>
                <w:color w:val="auto"/>
              </w:rPr>
            </w:pPr>
            <w:r>
              <w:rPr>
                <w:rFonts w:ascii="Arial" w:cs="Arial" w:eastAsia="Arial" w:hAnsi="Arial"/>
                <w:sz w:val="16"/>
                <w:szCs w:val="16"/>
                <w:color w:val="auto"/>
              </w:rPr>
              <w:t>187.5</w:t>
            </w:r>
          </w:p>
        </w:tc>
        <w:tc>
          <w:tcPr>
            <w:tcW w:w="124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5"/>
        </w:trPr>
        <w:tc>
          <w:tcPr>
            <w:tcW w:w="57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&gt; 2.0x but &lt;= 3.0x</w:t>
            </w:r>
          </w:p>
        </w:tc>
        <w:tc>
          <w:tcPr>
            <w:tcW w:w="42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175.0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5"/>
        </w:trPr>
        <w:tc>
          <w:tcPr>
            <w:tcW w:w="5780" w:type="dxa"/>
            <w:vAlign w:val="bottom"/>
          </w:tcPr>
          <w:p>
            <w:pPr>
              <w:ind w:left="380"/>
              <w:spacing w:after="0"/>
              <w:rPr>
                <w:sz w:val="20"/>
                <w:szCs w:val="20"/>
                <w:color w:val="auto"/>
              </w:rPr>
            </w:pPr>
            <w:r>
              <w:rPr>
                <w:rFonts w:ascii="Arial" w:cs="Arial" w:eastAsia="Arial" w:hAnsi="Arial"/>
                <w:sz w:val="16"/>
                <w:szCs w:val="16"/>
                <w:color w:val="auto"/>
              </w:rPr>
              <w:t>&gt; 1.0x but &lt;= 2.0x</w:t>
            </w:r>
          </w:p>
        </w:tc>
        <w:tc>
          <w:tcPr>
            <w:tcW w:w="4240" w:type="dxa"/>
            <w:vAlign w:val="bottom"/>
          </w:tcPr>
          <w:p>
            <w:pPr>
              <w:jc w:val="right"/>
              <w:ind w:right="180"/>
              <w:spacing w:after="0"/>
              <w:rPr>
                <w:sz w:val="20"/>
                <w:szCs w:val="20"/>
                <w:color w:val="auto"/>
              </w:rPr>
            </w:pPr>
            <w:r>
              <w:rPr>
                <w:rFonts w:ascii="Arial" w:cs="Arial" w:eastAsia="Arial" w:hAnsi="Arial"/>
                <w:sz w:val="16"/>
                <w:szCs w:val="16"/>
                <w:color w:val="auto"/>
              </w:rPr>
              <w:t>162.5</w:t>
            </w:r>
          </w:p>
        </w:tc>
        <w:tc>
          <w:tcPr>
            <w:tcW w:w="124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9"/>
        </w:trPr>
        <w:tc>
          <w:tcPr>
            <w:tcW w:w="57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&lt;= 1.0x</w:t>
            </w:r>
          </w:p>
        </w:tc>
        <w:tc>
          <w:tcPr>
            <w:tcW w:w="42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150.0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sectPr>
      </w:pPr>
    </w:p>
    <w:bookmarkStart w:id="36" w:name="page37"/>
    <w:bookmarkEnd w:id="36"/>
    <w:p>
      <w:pPr>
        <w:ind w:right="180" w:firstLine="362"/>
        <w:spacing w:after="0" w:line="279" w:lineRule="auto"/>
        <w:rPr>
          <w:sz w:val="20"/>
          <w:szCs w:val="20"/>
          <w:color w:val="auto"/>
        </w:rPr>
      </w:pPr>
      <w:r>
        <w:rPr>
          <w:rFonts w:ascii="Arial" w:cs="Arial" w:eastAsia="Arial" w:hAnsi="Arial"/>
          <w:sz w:val="16"/>
          <w:szCs w:val="16"/>
          <w:color w:val="auto"/>
        </w:rPr>
        <w:t>At September 30, 2021, the interest rate on debt under the Credit Agreement existing at that date was priced at one-month LIBOR plus the applicable credit spread of 162.5 basis points.</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most restrictive covenants in the Credit Agreement include:</w:t>
      </w:r>
    </w:p>
    <w:p>
      <w:pPr>
        <w:spacing w:after="0" w:line="81" w:lineRule="exact"/>
        <w:rPr>
          <w:sz w:val="20"/>
          <w:szCs w:val="20"/>
          <w:color w:val="auto"/>
        </w:rPr>
      </w:pPr>
    </w:p>
    <w:p>
      <w:pPr>
        <w:ind w:left="720" w:hanging="362"/>
        <w:spacing w:after="0"/>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Maximum indebtedness-to-Credit EBITDA (“Leverage Ratio”) of 4.00x;</w:t>
      </w:r>
    </w:p>
    <w:p>
      <w:pPr>
        <w:spacing w:after="0" w:line="93" w:lineRule="exact"/>
        <w:rPr>
          <w:rFonts w:ascii="Arial" w:cs="Arial" w:eastAsia="Arial" w:hAnsi="Arial"/>
          <w:sz w:val="16"/>
          <w:szCs w:val="16"/>
          <w:color w:val="auto"/>
        </w:rPr>
      </w:pPr>
    </w:p>
    <w:p>
      <w:pPr>
        <w:ind w:left="720" w:hanging="362"/>
        <w:spacing w:after="0"/>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Minimum Credit EBITDA-to-interest expense of 3.00x; and</w:t>
      </w:r>
    </w:p>
    <w:p>
      <w:pPr>
        <w:spacing w:after="0" w:line="93" w:lineRule="exact"/>
        <w:rPr>
          <w:rFonts w:ascii="Arial" w:cs="Arial" w:eastAsia="Arial" w:hAnsi="Arial"/>
          <w:sz w:val="16"/>
          <w:szCs w:val="16"/>
          <w:color w:val="auto"/>
        </w:rPr>
      </w:pPr>
    </w:p>
    <w:p>
      <w:pPr>
        <w:ind w:left="720" w:hanging="362"/>
        <w:spacing w:after="0" w:line="265" w:lineRule="auto"/>
        <w:tabs>
          <w:tab w:leader="none" w:pos="716"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Maximum aggregate distributions to shareholders over the remaining term of the Credit Agreement of $75 million; provided, that if the Leverage Ratio of equal to or greater than 3.00x, a limitation on such payments for the succeeding quarter at the greater of (i) $4.75 million and (ii) 50% of consolidated net income for the most recent fiscal quarter.</w:t>
      </w:r>
    </w:p>
    <w:p>
      <w:pPr>
        <w:spacing w:after="0" w:line="42" w:lineRule="exact"/>
        <w:rPr>
          <w:sz w:val="20"/>
          <w:szCs w:val="20"/>
          <w:color w:val="auto"/>
        </w:rPr>
      </w:pPr>
    </w:p>
    <w:p>
      <w:pPr>
        <w:ind w:right="100" w:firstLine="362"/>
        <w:spacing w:after="0" w:line="291" w:lineRule="auto"/>
        <w:rPr>
          <w:sz w:val="20"/>
          <w:szCs w:val="20"/>
          <w:color w:val="auto"/>
        </w:rPr>
      </w:pPr>
      <w:r>
        <w:rPr>
          <w:rFonts w:ascii="Arial" w:cs="Arial" w:eastAsia="Arial" w:hAnsi="Arial"/>
          <w:sz w:val="15"/>
          <w:szCs w:val="15"/>
          <w:color w:val="auto"/>
        </w:rPr>
        <w:t>The Credit Agreement is secured by substantially all of the Company’s and its domestic subsidiaries’ assets, including equity in certain material first-tier foreign subsidiaries. At September 30, 2021, based upon the most restrictive covenant within the Credit Agreement, available credit under the Credit Agreement was approximately $248 million. Total debt outstanding was $127 million and $134 million as of September 30, 2021 and December 31, 2020, respectively.</w:t>
      </w:r>
    </w:p>
    <w:p>
      <w:pPr>
        <w:spacing w:after="0" w:line="36" w:lineRule="exact"/>
        <w:rPr>
          <w:sz w:val="20"/>
          <w:szCs w:val="20"/>
          <w:color w:val="auto"/>
        </w:rPr>
      </w:pPr>
    </w:p>
    <w:p>
      <w:pPr>
        <w:ind w:right="20" w:firstLine="362"/>
        <w:spacing w:after="0" w:line="265" w:lineRule="auto"/>
        <w:rPr>
          <w:sz w:val="20"/>
          <w:szCs w:val="20"/>
          <w:color w:val="auto"/>
        </w:rPr>
      </w:pPr>
      <w:r>
        <w:rPr>
          <w:rFonts w:ascii="Arial" w:cs="Arial" w:eastAsia="Arial" w:hAnsi="Arial"/>
          <w:sz w:val="16"/>
          <w:szCs w:val="16"/>
          <w:color w:val="auto"/>
        </w:rPr>
        <w:t>Credit EBITDA is not intended to represent net income (loss) or cash flow from operations as defined by GAAP and should not be considered as an alternative to either net income (loss) or to cash flow. The computations of Credit EBITDA and the leverage ratio and interest coverage ratio as defined in the Credit Agreement are presented below.</w:t>
      </w: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180"/>
          </w:cols>
          <w:pgMar w:left="320" w:top="911" w:right="399" w:bottom="1440" w:gutter="0" w:footer="0" w:header="0"/>
        </w:sectPr>
      </w:pPr>
    </w:p>
    <w:bookmarkStart w:id="37" w:name="page38"/>
    <w:bookmarkEnd w:id="37"/>
    <w:p>
      <w:pPr>
        <w:jc w:val="center"/>
        <w:ind w:right="20"/>
        <w:spacing w:after="0" w:line="23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201295</wp:posOffset>
            </wp:positionH>
            <wp:positionV relativeFrom="page">
              <wp:posOffset>594360</wp:posOffset>
            </wp:positionV>
            <wp:extent cx="714692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6925" cy="15240"/>
                    </a:xfrm>
                    <a:prstGeom prst="rect">
                      <a:avLst/>
                    </a:prstGeom>
                    <a:noFill/>
                  </pic:spPr>
                </pic:pic>
              </a:graphicData>
            </a:graphic>
          </wp:anchor>
        </w:drawing>
        <w:t>Computations of Credit EBITDA and Leverage Ratio and Interest Coverage Ratio as Defined in the Credit Agreement Along with Related Most Restrictive Covenants as of and for the Twelve Months Ended September 30, 2021 (In Thousands)</w:t>
      </w:r>
    </w:p>
    <w:tbl>
      <w:tblPr>
        <w:tblLayout w:type="fixed"/>
        <w:tblInd w:w="0" w:type="dxa"/>
        <w:tblCellMar>
          <w:top w:w="0" w:type="dxa"/>
          <w:left w:w="0" w:type="dxa"/>
          <w:bottom w:w="0" w:type="dxa"/>
          <w:right w:w="0" w:type="dxa"/>
        </w:tblCellMar>
      </w:tblPr>
      <w:tr>
        <w:trPr>
          <w:trHeight w:val="197"/>
        </w:trPr>
        <w:tc>
          <w:tcPr>
            <w:tcW w:w="998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Computation of Credit EBITDA for the twelve months ended September 30, 2021:</w:t>
            </w:r>
          </w:p>
        </w:tc>
        <w:tc>
          <w:tcPr>
            <w:tcW w:w="5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income (loss)</w:t>
            </w:r>
          </w:p>
        </w:tc>
        <w:tc>
          <w:tcPr>
            <w:tcW w:w="5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37,366</w:t>
            </w:r>
          </w:p>
        </w:tc>
        <w:tc>
          <w:tcPr>
            <w:tcW w:w="0" w:type="dxa"/>
            <w:vAlign w:val="bottom"/>
          </w:tcPr>
          <w:p>
            <w:pPr>
              <w:spacing w:after="0"/>
              <w:rPr>
                <w:sz w:val="1"/>
                <w:szCs w:val="1"/>
                <w:color w:val="auto"/>
              </w:rPr>
            </w:pPr>
          </w:p>
        </w:tc>
      </w:tr>
      <w:tr>
        <w:trPr>
          <w:trHeight w:val="205"/>
        </w:trPr>
        <w:tc>
          <w:tcPr>
            <w:tcW w:w="9980" w:type="dxa"/>
            <w:vAlign w:val="bottom"/>
          </w:tcPr>
          <w:p>
            <w:pPr>
              <w:ind w:left="300"/>
              <w:spacing w:after="0"/>
              <w:rPr>
                <w:sz w:val="20"/>
                <w:szCs w:val="20"/>
                <w:color w:val="auto"/>
              </w:rPr>
            </w:pPr>
            <w:r>
              <w:rPr>
                <w:rFonts w:ascii="Arial" w:cs="Arial" w:eastAsia="Arial" w:hAnsi="Arial"/>
                <w:sz w:val="16"/>
                <w:szCs w:val="16"/>
                <w:color w:val="auto"/>
              </w:rPr>
              <w:t>Plus:</w:t>
            </w: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9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After-tax losses related to discontinued operations</w:t>
            </w: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5,684</w:t>
            </w:r>
          </w:p>
        </w:tc>
        <w:tc>
          <w:tcPr>
            <w:tcW w:w="0" w:type="dxa"/>
            <w:vAlign w:val="bottom"/>
          </w:tcPr>
          <w:p>
            <w:pPr>
              <w:spacing w:after="0"/>
              <w:rPr>
                <w:sz w:val="1"/>
                <w:szCs w:val="1"/>
                <w:color w:val="auto"/>
              </w:rPr>
            </w:pPr>
          </w:p>
        </w:tc>
      </w:tr>
      <w:tr>
        <w:trPr>
          <w:trHeight w:val="205"/>
        </w:trPr>
        <w:tc>
          <w:tcPr>
            <w:tcW w:w="9980" w:type="dxa"/>
            <w:vAlign w:val="bottom"/>
          </w:tcPr>
          <w:p>
            <w:pPr>
              <w:ind w:left="600"/>
              <w:spacing w:after="0"/>
              <w:rPr>
                <w:sz w:val="20"/>
                <w:szCs w:val="20"/>
                <w:color w:val="auto"/>
              </w:rPr>
            </w:pPr>
            <w:r>
              <w:rPr>
                <w:rFonts w:ascii="Arial" w:cs="Arial" w:eastAsia="Arial" w:hAnsi="Arial"/>
                <w:sz w:val="16"/>
                <w:szCs w:val="16"/>
                <w:color w:val="auto"/>
              </w:rPr>
              <w:t>Total income tax expense for continuing operations</w:t>
            </w: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10,823</w:t>
            </w:r>
          </w:p>
        </w:tc>
        <w:tc>
          <w:tcPr>
            <w:tcW w:w="0" w:type="dxa"/>
            <w:vAlign w:val="bottom"/>
          </w:tcPr>
          <w:p>
            <w:pPr>
              <w:spacing w:after="0"/>
              <w:rPr>
                <w:sz w:val="1"/>
                <w:szCs w:val="1"/>
                <w:color w:val="auto"/>
              </w:rPr>
            </w:pPr>
          </w:p>
        </w:tc>
      </w:tr>
      <w:tr>
        <w:trPr>
          <w:trHeight w:val="205"/>
        </w:trPr>
        <w:tc>
          <w:tcPr>
            <w:tcW w:w="99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Interest expense</w:t>
            </w: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3,544</w:t>
            </w:r>
          </w:p>
        </w:tc>
        <w:tc>
          <w:tcPr>
            <w:tcW w:w="0" w:type="dxa"/>
            <w:vAlign w:val="bottom"/>
          </w:tcPr>
          <w:p>
            <w:pPr>
              <w:spacing w:after="0"/>
              <w:rPr>
                <w:sz w:val="1"/>
                <w:szCs w:val="1"/>
                <w:color w:val="auto"/>
              </w:rPr>
            </w:pPr>
          </w:p>
        </w:tc>
      </w:tr>
      <w:tr>
        <w:trPr>
          <w:trHeight w:val="205"/>
        </w:trPr>
        <w:tc>
          <w:tcPr>
            <w:tcW w:w="9980" w:type="dxa"/>
            <w:vAlign w:val="bottom"/>
          </w:tcPr>
          <w:p>
            <w:pPr>
              <w:ind w:left="600"/>
              <w:spacing w:after="0"/>
              <w:rPr>
                <w:sz w:val="20"/>
                <w:szCs w:val="20"/>
                <w:color w:val="auto"/>
              </w:rPr>
            </w:pPr>
            <w:r>
              <w:rPr>
                <w:rFonts w:ascii="Arial" w:cs="Arial" w:eastAsia="Arial" w:hAnsi="Arial"/>
                <w:sz w:val="16"/>
                <w:szCs w:val="16"/>
                <w:color w:val="auto"/>
              </w:rPr>
              <w:t>Depreciation and amortization expense for continuing operations</w:t>
            </w: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25,677</w:t>
            </w:r>
          </w:p>
        </w:tc>
        <w:tc>
          <w:tcPr>
            <w:tcW w:w="0" w:type="dxa"/>
            <w:vAlign w:val="bottom"/>
          </w:tcPr>
          <w:p>
            <w:pPr>
              <w:spacing w:after="0"/>
              <w:rPr>
                <w:sz w:val="1"/>
                <w:szCs w:val="1"/>
                <w:color w:val="auto"/>
              </w:rPr>
            </w:pPr>
          </w:p>
        </w:tc>
      </w:tr>
      <w:tr>
        <w:trPr>
          <w:trHeight w:val="157"/>
        </w:trPr>
        <w:tc>
          <w:tcPr>
            <w:tcW w:w="9980" w:type="dxa"/>
            <w:vAlign w:val="bottom"/>
            <w:shd w:val="clear" w:color="auto" w:fill="CCEEFF"/>
          </w:tcPr>
          <w:p>
            <w:pPr>
              <w:ind w:left="600"/>
              <w:spacing w:after="0" w:line="157" w:lineRule="exact"/>
              <w:rPr>
                <w:sz w:val="20"/>
                <w:szCs w:val="20"/>
                <w:color w:val="auto"/>
              </w:rPr>
            </w:pPr>
            <w:r>
              <w:rPr>
                <w:rFonts w:ascii="Arial" w:cs="Arial" w:eastAsia="Arial" w:hAnsi="Arial"/>
                <w:sz w:val="16"/>
                <w:szCs w:val="16"/>
                <w:color w:val="auto"/>
                <w:w w:val="90"/>
              </w:rPr>
              <w:t>All non-cash losses and expenses, plus cash losses and expenses not to exceed $10,000, for continuing operations that are classified as unusual,</w:t>
            </w:r>
          </w:p>
        </w:tc>
        <w:tc>
          <w:tcPr>
            <w:tcW w:w="5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12,203</w:t>
            </w:r>
          </w:p>
        </w:tc>
        <w:tc>
          <w:tcPr>
            <w:tcW w:w="0" w:type="dxa"/>
            <w:vAlign w:val="bottom"/>
          </w:tcPr>
          <w:p>
            <w:pPr>
              <w:spacing w:after="0"/>
              <w:rPr>
                <w:sz w:val="1"/>
                <w:szCs w:val="1"/>
                <w:color w:val="auto"/>
              </w:rPr>
            </w:pPr>
          </w:p>
        </w:tc>
      </w:tr>
      <w:tr>
        <w:trPr>
          <w:trHeight w:val="205"/>
        </w:trPr>
        <w:tc>
          <w:tcPr>
            <w:tcW w:w="99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extraordinary or which are related to plant shutdowns, asset impairments and/or restructurings (cash-related of $9,233)</w:t>
            </w:r>
          </w:p>
        </w:tc>
        <w:tc>
          <w:tcPr>
            <w:tcW w:w="5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980" w:type="dxa"/>
            <w:vAlign w:val="bottom"/>
          </w:tcPr>
          <w:p>
            <w:pPr>
              <w:ind w:left="600"/>
              <w:spacing w:after="0"/>
              <w:rPr>
                <w:sz w:val="20"/>
                <w:szCs w:val="20"/>
                <w:color w:val="auto"/>
              </w:rPr>
            </w:pPr>
            <w:r>
              <w:rPr>
                <w:rFonts w:ascii="Arial" w:cs="Arial" w:eastAsia="Arial" w:hAnsi="Arial"/>
                <w:sz w:val="16"/>
                <w:szCs w:val="16"/>
                <w:color w:val="auto"/>
              </w:rPr>
              <w:t>Charges related to stock option grants and awards accounted for under the fair value-based method</w:t>
            </w: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2,092</w:t>
            </w:r>
          </w:p>
        </w:tc>
        <w:tc>
          <w:tcPr>
            <w:tcW w:w="0" w:type="dxa"/>
            <w:vAlign w:val="bottom"/>
          </w:tcPr>
          <w:p>
            <w:pPr>
              <w:spacing w:after="0"/>
              <w:rPr>
                <w:sz w:val="1"/>
                <w:szCs w:val="1"/>
                <w:color w:val="auto"/>
              </w:rPr>
            </w:pPr>
          </w:p>
        </w:tc>
      </w:tr>
      <w:tr>
        <w:trPr>
          <w:trHeight w:val="205"/>
        </w:trPr>
        <w:tc>
          <w:tcPr>
            <w:tcW w:w="99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Losses related to the application of the equity method of accounting</w:t>
            </w: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9980" w:type="dxa"/>
            <w:vAlign w:val="bottom"/>
          </w:tcPr>
          <w:p>
            <w:pPr>
              <w:ind w:left="600"/>
              <w:spacing w:after="0"/>
              <w:rPr>
                <w:sz w:val="20"/>
                <w:szCs w:val="20"/>
                <w:color w:val="auto"/>
              </w:rPr>
            </w:pPr>
            <w:r>
              <w:rPr>
                <w:rFonts w:ascii="Arial" w:cs="Arial" w:eastAsia="Arial" w:hAnsi="Arial"/>
                <w:sz w:val="16"/>
                <w:szCs w:val="16"/>
                <w:color w:val="auto"/>
              </w:rPr>
              <w:t>Losses related to adjustments in the estimated fair value of assets accounted for under the fair value method of accounting</w:t>
            </w: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9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Minus:</w:t>
            </w: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980" w:type="dxa"/>
            <w:vAlign w:val="bottom"/>
          </w:tcPr>
          <w:p>
            <w:pPr>
              <w:ind w:left="600"/>
              <w:spacing w:after="0"/>
              <w:rPr>
                <w:sz w:val="20"/>
                <w:szCs w:val="20"/>
                <w:color w:val="auto"/>
              </w:rPr>
            </w:pPr>
            <w:r>
              <w:rPr>
                <w:rFonts w:ascii="Arial" w:cs="Arial" w:eastAsia="Arial" w:hAnsi="Arial"/>
                <w:sz w:val="16"/>
                <w:szCs w:val="16"/>
                <w:color w:val="auto"/>
              </w:rPr>
              <w:t>After-tax income related to discontinued operations</w:t>
            </w: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99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income tax benefits for continuing operations</w:t>
            </w: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9980" w:type="dxa"/>
            <w:vAlign w:val="bottom"/>
          </w:tcPr>
          <w:p>
            <w:pPr>
              <w:ind w:left="600"/>
              <w:spacing w:after="0"/>
              <w:rPr>
                <w:sz w:val="20"/>
                <w:szCs w:val="20"/>
                <w:color w:val="auto"/>
              </w:rPr>
            </w:pPr>
            <w:r>
              <w:rPr>
                <w:rFonts w:ascii="Arial" w:cs="Arial" w:eastAsia="Arial" w:hAnsi="Arial"/>
                <w:sz w:val="16"/>
                <w:szCs w:val="16"/>
                <w:color w:val="auto"/>
              </w:rPr>
              <w:t>Interest income</w:t>
            </w: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57"/>
        </w:trPr>
        <w:tc>
          <w:tcPr>
            <w:tcW w:w="9980" w:type="dxa"/>
            <w:vAlign w:val="bottom"/>
            <w:shd w:val="clear" w:color="auto" w:fill="CCEEFF"/>
          </w:tcPr>
          <w:p>
            <w:pPr>
              <w:ind w:left="600"/>
              <w:spacing w:after="0" w:line="157" w:lineRule="exact"/>
              <w:rPr>
                <w:sz w:val="20"/>
                <w:szCs w:val="20"/>
                <w:color w:val="auto"/>
              </w:rPr>
            </w:pPr>
            <w:r>
              <w:rPr>
                <w:rFonts w:ascii="Arial" w:cs="Arial" w:eastAsia="Arial" w:hAnsi="Arial"/>
                <w:sz w:val="16"/>
                <w:szCs w:val="16"/>
                <w:color w:val="auto"/>
                <w:w w:val="96"/>
              </w:rPr>
              <w:t>All non-cash gains and income, plus cash gains and income in excess of $10,000, for continuing operations that are classified as unusual,</w:t>
            </w:r>
          </w:p>
        </w:tc>
        <w:tc>
          <w:tcPr>
            <w:tcW w:w="5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99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extraordinary or which are related to plant shutdowns, asset impairments and/or restructurings</w:t>
            </w:r>
          </w:p>
        </w:tc>
        <w:tc>
          <w:tcPr>
            <w:tcW w:w="5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980" w:type="dxa"/>
            <w:vAlign w:val="bottom"/>
          </w:tcPr>
          <w:p>
            <w:pPr>
              <w:ind w:left="600"/>
              <w:spacing w:after="0"/>
              <w:rPr>
                <w:sz w:val="20"/>
                <w:szCs w:val="20"/>
                <w:color w:val="auto"/>
              </w:rPr>
            </w:pPr>
            <w:r>
              <w:rPr>
                <w:rFonts w:ascii="Arial" w:cs="Arial" w:eastAsia="Arial" w:hAnsi="Arial"/>
                <w:sz w:val="16"/>
                <w:szCs w:val="16"/>
                <w:color w:val="auto"/>
              </w:rPr>
              <w:t>Income related to changes in estimates for stock option grants and awards accounted for under the fair value-based method</w:t>
            </w: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99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Income related to the application of the equity method of accounting</w:t>
            </w: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9980" w:type="dxa"/>
            <w:vAlign w:val="bottom"/>
          </w:tcPr>
          <w:p>
            <w:pPr>
              <w:ind w:left="600"/>
              <w:spacing w:after="0"/>
              <w:rPr>
                <w:sz w:val="20"/>
                <w:szCs w:val="20"/>
                <w:color w:val="auto"/>
              </w:rPr>
            </w:pPr>
            <w:r>
              <w:rPr>
                <w:rFonts w:ascii="Arial" w:cs="Arial" w:eastAsia="Arial" w:hAnsi="Arial"/>
                <w:sz w:val="16"/>
                <w:szCs w:val="16"/>
                <w:color w:val="auto"/>
              </w:rPr>
              <w:t>Income related to adjustments in the estimated fair value of assets accounted for under the fair value method of accounting</w:t>
            </w: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(1,297)</w:t>
            </w:r>
          </w:p>
        </w:tc>
        <w:tc>
          <w:tcPr>
            <w:tcW w:w="0" w:type="dxa"/>
            <w:vAlign w:val="bottom"/>
          </w:tcPr>
          <w:p>
            <w:pPr>
              <w:spacing w:after="0"/>
              <w:rPr>
                <w:sz w:val="1"/>
                <w:szCs w:val="1"/>
                <w:color w:val="auto"/>
              </w:rPr>
            </w:pPr>
          </w:p>
        </w:tc>
      </w:tr>
      <w:tr>
        <w:trPr>
          <w:trHeight w:val="205"/>
        </w:trPr>
        <w:tc>
          <w:tcPr>
            <w:tcW w:w="9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Plus cash dividends declared on investments in an amount not to exceed $10,000 for such period</w:t>
            </w: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05"/>
        </w:trPr>
        <w:tc>
          <w:tcPr>
            <w:tcW w:w="9980" w:type="dxa"/>
            <w:vAlign w:val="bottom"/>
          </w:tcPr>
          <w:p>
            <w:pPr>
              <w:ind w:left="300"/>
              <w:spacing w:after="0"/>
              <w:rPr>
                <w:sz w:val="20"/>
                <w:szCs w:val="20"/>
                <w:color w:val="auto"/>
              </w:rPr>
            </w:pPr>
            <w:r>
              <w:rPr>
                <w:rFonts w:ascii="Arial" w:cs="Arial" w:eastAsia="Arial" w:hAnsi="Arial"/>
                <w:sz w:val="16"/>
                <w:szCs w:val="16"/>
                <w:color w:val="auto"/>
              </w:rPr>
              <w:t>Plus or minus, as applicable, pro forma EBITDA adjustments associated with acquisitions and asset dispositions</w:t>
            </w: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99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w w:val="98"/>
              </w:rPr>
              <w:t>Plus or minus, as applicable, pro forma EBITDA adjustments to pension expense associated with the early payment of pension obligations</w:t>
            </w:r>
          </w:p>
        </w:tc>
        <w:tc>
          <w:tcPr>
            <w:tcW w:w="5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99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Credit EBITDA as defined in Credit Agreement</w:t>
            </w:r>
          </w:p>
        </w:tc>
        <w:tc>
          <w:tcPr>
            <w:tcW w:w="5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96,369</w:t>
            </w:r>
          </w:p>
        </w:tc>
        <w:tc>
          <w:tcPr>
            <w:tcW w:w="0" w:type="dxa"/>
            <w:vAlign w:val="bottom"/>
          </w:tcPr>
          <w:p>
            <w:pPr>
              <w:spacing w:after="0"/>
              <w:rPr>
                <w:sz w:val="1"/>
                <w:szCs w:val="1"/>
                <w:color w:val="auto"/>
              </w:rPr>
            </w:pPr>
          </w:p>
        </w:tc>
      </w:tr>
      <w:tr>
        <w:trPr>
          <w:trHeight w:val="205"/>
        </w:trPr>
        <w:tc>
          <w:tcPr>
            <w:tcW w:w="9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Computations of leverage and interest coverage ratios as defined in the Credit Agreement at September 30, 2021:</w:t>
            </w: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980" w:type="dxa"/>
            <w:vAlign w:val="bottom"/>
          </w:tcPr>
          <w:p>
            <w:pPr>
              <w:ind w:left="300"/>
              <w:spacing w:after="0"/>
              <w:rPr>
                <w:sz w:val="20"/>
                <w:szCs w:val="20"/>
                <w:color w:val="auto"/>
              </w:rPr>
            </w:pPr>
            <w:r>
              <w:rPr>
                <w:rFonts w:ascii="Arial" w:cs="Arial" w:eastAsia="Arial" w:hAnsi="Arial"/>
                <w:sz w:val="16"/>
                <w:szCs w:val="16"/>
                <w:color w:val="auto"/>
              </w:rPr>
              <w:t>Leverage ratio (indebtedness-to-Credit EBITDA)</w:t>
            </w: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1.32x</w:t>
            </w:r>
          </w:p>
        </w:tc>
        <w:tc>
          <w:tcPr>
            <w:tcW w:w="0" w:type="dxa"/>
            <w:vAlign w:val="bottom"/>
          </w:tcPr>
          <w:p>
            <w:pPr>
              <w:spacing w:after="0"/>
              <w:rPr>
                <w:sz w:val="1"/>
                <w:szCs w:val="1"/>
                <w:color w:val="auto"/>
              </w:rPr>
            </w:pPr>
          </w:p>
        </w:tc>
      </w:tr>
      <w:tr>
        <w:trPr>
          <w:trHeight w:val="205"/>
        </w:trPr>
        <w:tc>
          <w:tcPr>
            <w:tcW w:w="9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coverage ratio (Credit EBITDA-to-interest expense)</w:t>
            </w: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27.19x</w:t>
            </w:r>
          </w:p>
        </w:tc>
        <w:tc>
          <w:tcPr>
            <w:tcW w:w="0" w:type="dxa"/>
            <w:vAlign w:val="bottom"/>
          </w:tcPr>
          <w:p>
            <w:pPr>
              <w:spacing w:after="0"/>
              <w:rPr>
                <w:sz w:val="1"/>
                <w:szCs w:val="1"/>
                <w:color w:val="auto"/>
              </w:rPr>
            </w:pPr>
          </w:p>
        </w:tc>
      </w:tr>
      <w:tr>
        <w:trPr>
          <w:trHeight w:val="205"/>
        </w:trPr>
        <w:tc>
          <w:tcPr>
            <w:tcW w:w="9980" w:type="dxa"/>
            <w:vAlign w:val="bottom"/>
          </w:tcPr>
          <w:p>
            <w:pPr>
              <w:ind w:left="20"/>
              <w:spacing w:after="0"/>
              <w:rPr>
                <w:sz w:val="20"/>
                <w:szCs w:val="20"/>
                <w:color w:val="auto"/>
              </w:rPr>
            </w:pPr>
            <w:r>
              <w:rPr>
                <w:rFonts w:ascii="Arial" w:cs="Arial" w:eastAsia="Arial" w:hAnsi="Arial"/>
                <w:sz w:val="16"/>
                <w:szCs w:val="16"/>
                <w:color w:val="auto"/>
              </w:rPr>
              <w:t>Most restrictive covenants as defined in the Credit Agreement:</w:t>
            </w: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9980" w:type="dxa"/>
            <w:vAlign w:val="bottom"/>
            <w:shd w:val="clear" w:color="auto" w:fill="CCEEFF"/>
          </w:tcPr>
          <w:p>
            <w:pPr>
              <w:ind w:left="300"/>
              <w:spacing w:after="0" w:line="157" w:lineRule="exact"/>
              <w:rPr>
                <w:sz w:val="20"/>
                <w:szCs w:val="20"/>
                <w:color w:val="auto"/>
              </w:rPr>
            </w:pPr>
            <w:r>
              <w:rPr>
                <w:rFonts w:ascii="Arial" w:cs="Arial" w:eastAsia="Arial" w:hAnsi="Arial"/>
                <w:sz w:val="16"/>
                <w:szCs w:val="16"/>
                <w:color w:val="auto"/>
                <w:w w:val="96"/>
              </w:rPr>
              <w:t>Available balance of maximum permitted aggregate amount of dividends that can be paid by Tredegar during the remaining term of the Credit</w:t>
            </w:r>
          </w:p>
        </w:tc>
        <w:tc>
          <w:tcPr>
            <w:tcW w:w="5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58,866</w:t>
            </w:r>
          </w:p>
        </w:tc>
        <w:tc>
          <w:tcPr>
            <w:tcW w:w="0" w:type="dxa"/>
            <w:vAlign w:val="bottom"/>
          </w:tcPr>
          <w:p>
            <w:pPr>
              <w:spacing w:after="0"/>
              <w:rPr>
                <w:sz w:val="1"/>
                <w:szCs w:val="1"/>
                <w:color w:val="auto"/>
              </w:rPr>
            </w:pPr>
          </w:p>
        </w:tc>
      </w:tr>
      <w:tr>
        <w:trPr>
          <w:trHeight w:val="205"/>
        </w:trPr>
        <w:tc>
          <w:tcPr>
            <w:tcW w:w="9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Agreement ($75,000 minus $16,134 of dividends paid after December 1, 2020)</w:t>
            </w:r>
          </w:p>
        </w:tc>
        <w:tc>
          <w:tcPr>
            <w:tcW w:w="5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980" w:type="dxa"/>
            <w:vAlign w:val="bottom"/>
          </w:tcPr>
          <w:p>
            <w:pPr>
              <w:ind w:left="300"/>
              <w:spacing w:after="0"/>
              <w:rPr>
                <w:sz w:val="20"/>
                <w:szCs w:val="20"/>
                <w:color w:val="auto"/>
              </w:rPr>
            </w:pPr>
            <w:r>
              <w:rPr>
                <w:rFonts w:ascii="Arial" w:cs="Arial" w:eastAsia="Arial" w:hAnsi="Arial"/>
                <w:sz w:val="16"/>
                <w:szCs w:val="16"/>
                <w:color w:val="auto"/>
              </w:rPr>
              <w:t>Maximum leverage ratio permitted</w:t>
            </w: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4.00x</w:t>
            </w:r>
          </w:p>
        </w:tc>
        <w:tc>
          <w:tcPr>
            <w:tcW w:w="0" w:type="dxa"/>
            <w:vAlign w:val="bottom"/>
          </w:tcPr>
          <w:p>
            <w:pPr>
              <w:spacing w:after="0"/>
              <w:rPr>
                <w:sz w:val="1"/>
                <w:szCs w:val="1"/>
                <w:color w:val="auto"/>
              </w:rPr>
            </w:pPr>
          </w:p>
        </w:tc>
      </w:tr>
      <w:tr>
        <w:trPr>
          <w:trHeight w:val="209"/>
        </w:trPr>
        <w:tc>
          <w:tcPr>
            <w:tcW w:w="99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Minimum interest coverage ratio permitted</w:t>
            </w:r>
          </w:p>
        </w:tc>
        <w:tc>
          <w:tcPr>
            <w:tcW w:w="5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3.00x</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right="20" w:firstLine="362"/>
        <w:spacing w:after="0" w:line="261" w:lineRule="auto"/>
        <w:rPr>
          <w:sz w:val="20"/>
          <w:szCs w:val="20"/>
          <w:color w:val="auto"/>
        </w:rPr>
      </w:pPr>
      <w:r>
        <w:rPr>
          <w:rFonts w:ascii="Arial" w:cs="Arial" w:eastAsia="Arial" w:hAnsi="Arial"/>
          <w:sz w:val="16"/>
          <w:szCs w:val="16"/>
          <w:color w:val="auto"/>
        </w:rPr>
        <w:t>Tredegar was in compliance with all of its debt covenants as of September 30, 2021. Noncompliance with any of the debt covenants may have a material adverse effect on its financial condition or liquidity, in the event such noncompliance cannot be cured or should the Company be unable to obtain a waiver from the lenders. Renegotiation of the covenant through an amendment to the Credit Agreement may effectively cure the noncompliance, but may have an effect on its financial condition or liquidity depending upon how the covenant is renegotiated.</w:t>
      </w:r>
    </w:p>
    <w:p>
      <w:pPr>
        <w:spacing w:after="0" w:line="56" w:lineRule="exact"/>
        <w:rPr>
          <w:sz w:val="20"/>
          <w:szCs w:val="20"/>
          <w:color w:val="auto"/>
        </w:rPr>
      </w:pPr>
    </w:p>
    <w:p>
      <w:pPr>
        <w:ind w:right="260" w:firstLine="362"/>
        <w:spacing w:after="0" w:line="279" w:lineRule="auto"/>
        <w:rPr>
          <w:sz w:val="20"/>
          <w:szCs w:val="20"/>
          <w:color w:val="auto"/>
        </w:rPr>
      </w:pPr>
      <w:r>
        <w:rPr>
          <w:rFonts w:ascii="Arial" w:cs="Arial" w:eastAsia="Arial" w:hAnsi="Arial"/>
          <w:sz w:val="16"/>
          <w:szCs w:val="16"/>
          <w:color w:val="auto"/>
        </w:rPr>
        <w:t>At September 30, 2021, the Company had cash and cash equivalents of $30.3 million, including cash and cash equivalents held by locations outside the U.S. of $17.7 million.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959" w:right="319" w:bottom="1440" w:gutter="0" w:footer="0" w:header="0"/>
        </w:sectPr>
      </w:pPr>
    </w:p>
    <w:bookmarkStart w:id="38" w:name="page39"/>
    <w:bookmarkEnd w:id="38"/>
    <w:p>
      <w:pPr>
        <w:spacing w:after="0"/>
        <w:tabs>
          <w:tab w:leader="none" w:pos="62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85" w:lineRule="exact"/>
        <w:rPr>
          <w:sz w:val="20"/>
          <w:szCs w:val="20"/>
          <w:color w:val="auto"/>
        </w:rPr>
      </w:pPr>
    </w:p>
    <w:p>
      <w:pPr>
        <w:ind w:right="140" w:firstLine="362"/>
        <w:spacing w:after="0" w:line="265" w:lineRule="auto"/>
        <w:rPr>
          <w:sz w:val="20"/>
          <w:szCs w:val="20"/>
          <w:color w:val="auto"/>
        </w:rPr>
      </w:pPr>
      <w:r>
        <w:rPr>
          <w:rFonts w:ascii="Arial" w:cs="Arial" w:eastAsia="Arial" w:hAnsi="Arial"/>
          <w:sz w:val="16"/>
          <w:szCs w:val="16"/>
          <w:color w:val="auto"/>
        </w:rPr>
        <w:t xml:space="preserve">Tredegar has exposure to the volatility of interest rates, polyethylene and polypropylene resin prices, Terephthalic Acid (“PTA”) and Monoethylene Glycol (“MEG”) prices, aluminum ingot and scrap prices, energy prices, foreign currencies and emerging markets. See </w:t>
      </w:r>
      <w:r>
        <w:rPr>
          <w:rFonts w:ascii="Arial" w:cs="Arial" w:eastAsia="Arial" w:hAnsi="Arial"/>
          <w:sz w:val="16"/>
          <w:szCs w:val="16"/>
          <w:b w:val="1"/>
          <w:bCs w:val="1"/>
          <w:i w:val="1"/>
          <w:iCs w:val="1"/>
          <w:color w:val="auto"/>
        </w:rPr>
        <w:t>Liquidity and Capital Resources</w:t>
      </w:r>
      <w:r>
        <w:rPr>
          <w:rFonts w:ascii="Arial" w:cs="Arial" w:eastAsia="Arial" w:hAnsi="Arial"/>
          <w:sz w:val="16"/>
          <w:szCs w:val="16"/>
          <w:color w:val="auto"/>
        </w:rPr>
        <w:t xml:space="preserve"> regarding interest rate exposures related to borrowings under the Credit Agreement.</w:t>
      </w:r>
    </w:p>
    <w:p>
      <w:pPr>
        <w:spacing w:after="0" w:line="54" w:lineRule="exact"/>
        <w:rPr>
          <w:sz w:val="20"/>
          <w:szCs w:val="20"/>
          <w:color w:val="auto"/>
        </w:rPr>
      </w:pPr>
    </w:p>
    <w:p>
      <w:pPr>
        <w:ind w:firstLine="362"/>
        <w:spacing w:after="0" w:line="283" w:lineRule="auto"/>
        <w:rPr>
          <w:sz w:val="20"/>
          <w:szCs w:val="20"/>
          <w:color w:val="auto"/>
        </w:rPr>
      </w:pPr>
      <w:r>
        <w:rPr>
          <w:rFonts w:ascii="Arial" w:cs="Arial" w:eastAsia="Arial" w:hAnsi="Arial"/>
          <w:sz w:val="15"/>
          <w:szCs w:val="15"/>
          <w:color w:val="auto"/>
        </w:rPr>
        <w:t>Profit margins in Aluminum Extrusions are sensitive to fluctuations in aluminum ingot and scrap prices as well as natural gas prices (natural gas is the principal energy source used to operate its casting furnaces). Changes in polyethylene resin prices and the timing of those changes could have a significant impact on profit margins in PE Films. Changes in polyester resin, PTA and MEG prices, and the timing of those changes, could have a significant impact on profit margins in Flexible Packaging Films. There is no assurance of the Company’s ability to pass through higher raw material and energy costs to its customers.</w:t>
      </w:r>
    </w:p>
    <w:p>
      <w:pPr>
        <w:spacing w:after="0" w:line="43" w:lineRule="exact"/>
        <w:rPr>
          <w:sz w:val="20"/>
          <w:szCs w:val="20"/>
          <w:color w:val="auto"/>
        </w:rPr>
      </w:pPr>
    </w:p>
    <w:p>
      <w:pPr>
        <w:ind w:right="160" w:firstLine="362"/>
        <w:spacing w:after="0" w:line="261" w:lineRule="auto"/>
        <w:rPr>
          <w:sz w:val="20"/>
          <w:szCs w:val="20"/>
          <w:color w:val="auto"/>
        </w:rPr>
      </w:pPr>
      <w:r>
        <w:rPr>
          <w:rFonts w:ascii="Arial" w:cs="Arial" w:eastAsia="Arial" w:hAnsi="Arial"/>
          <w:sz w:val="16"/>
          <w:szCs w:val="16"/>
          <w:color w:val="auto"/>
        </w:rPr>
        <w:t>In the normal course of business, Aluminum Extrusions enters into fixed-price forward sales contracts with certain customers for the sale of fixed quantities of aluminum extrusions at scheduled intervals. In order to hedge its exposure to aluminum price volatility (see the chart below) under these fixed-price arrangements, which generally have a duration of not more than 12 months, the Company enters into a combination of forward purchase commitments and futures contracts to acquire or hedge aluminum, based on the scheduled deliveries. See Note 8 for additional information.</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volatility of quarterly average aluminum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67310</wp:posOffset>
            </wp:positionV>
            <wp:extent cx="5155565" cy="22752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55565" cy="2275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80"/>
        <w:spacing w:after="0"/>
        <w:rPr>
          <w:sz w:val="20"/>
          <w:szCs w:val="20"/>
          <w:color w:val="auto"/>
        </w:rPr>
      </w:pPr>
      <w:r>
        <w:rPr>
          <w:rFonts w:ascii="Arial" w:cs="Arial" w:eastAsia="Arial" w:hAnsi="Arial"/>
          <w:sz w:val="11"/>
          <w:szCs w:val="11"/>
          <w:color w:val="auto"/>
        </w:rPr>
        <w:t>Source: Quarterly averages computed by the Company using daily Midwest average prices provided by Platts.</w:t>
      </w:r>
    </w:p>
    <w:p>
      <w:pPr>
        <w:spacing w:after="0" w:line="176" w:lineRule="exact"/>
        <w:rPr>
          <w:sz w:val="20"/>
          <w:szCs w:val="20"/>
          <w:color w:val="auto"/>
        </w:rPr>
      </w:pPr>
    </w:p>
    <w:p>
      <w:pPr>
        <w:ind w:right="20" w:firstLine="362"/>
        <w:spacing w:after="0" w:line="279" w:lineRule="auto"/>
        <w:rPr>
          <w:sz w:val="20"/>
          <w:szCs w:val="20"/>
          <w:color w:val="auto"/>
        </w:rPr>
      </w:pPr>
      <w:r>
        <w:rPr>
          <w:rFonts w:ascii="Arial" w:cs="Arial" w:eastAsia="Arial" w:hAnsi="Arial"/>
          <w:sz w:val="16"/>
          <w:szCs w:val="16"/>
          <w:color w:val="auto"/>
        </w:rPr>
        <w:t>In certain situations, Aluminum Extrusions has index-based pass-through raw material cost arrangements with customers. However, under certain agreements, changes in aluminum prices are not passed through for a period of 90 days.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120"/>
          </w:cols>
          <w:pgMar w:left="320" w:top="895" w:right="459" w:bottom="1440" w:gutter="0" w:footer="0" w:header="0"/>
        </w:sectPr>
      </w:pPr>
    </w:p>
    <w:bookmarkStart w:id="39" w:name="page40"/>
    <w:bookmarkEnd w:id="39"/>
    <w:p>
      <w:pPr>
        <w:ind w:left="360"/>
        <w:spacing w:after="0"/>
        <w:rPr>
          <w:sz w:val="20"/>
          <w:szCs w:val="20"/>
          <w:color w:val="auto"/>
        </w:rPr>
      </w:pPr>
      <w:r>
        <w:rPr>
          <w:rFonts w:ascii="Arial" w:cs="Arial" w:eastAsia="Arial" w:hAnsi="Arial"/>
          <w:sz w:val="16"/>
          <w:szCs w:val="16"/>
          <w:color w:val="auto"/>
        </w:rPr>
        <w:t>The volatility of quarterly average natural gas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59690</wp:posOffset>
            </wp:positionV>
            <wp:extent cx="5155565" cy="22752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55565" cy="2275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80"/>
        <w:spacing w:after="0"/>
        <w:rPr>
          <w:sz w:val="20"/>
          <w:szCs w:val="20"/>
          <w:color w:val="auto"/>
        </w:rPr>
      </w:pPr>
      <w:r>
        <w:rPr>
          <w:rFonts w:ascii="Arial" w:cs="Arial" w:eastAsia="Arial" w:hAnsi="Arial"/>
          <w:sz w:val="11"/>
          <w:szCs w:val="11"/>
          <w:color w:val="auto"/>
        </w:rPr>
        <w:t>Source: Quarterly averages computed by Tredegar using monthly NYMEX settlement prices.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volatility of average quarterly prices of polyethylene resin in the U.S. (a primary raw material for PE Films)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67310</wp:posOffset>
            </wp:positionV>
            <wp:extent cx="5155565" cy="22752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55565" cy="2275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80" w:right="560"/>
        <w:spacing w:after="0" w:line="237" w:lineRule="auto"/>
        <w:rPr>
          <w:sz w:val="20"/>
          <w:szCs w:val="20"/>
          <w:color w:val="auto"/>
        </w:rPr>
      </w:pPr>
      <w:r>
        <w:rPr>
          <w:rFonts w:ascii="Arial" w:cs="Arial" w:eastAsia="Arial" w:hAnsi="Arial"/>
          <w:sz w:val="11"/>
          <w:szCs w:val="11"/>
          <w:color w:val="auto"/>
        </w:rPr>
        <w:t>Source: Quarterly averages computed by Tredegar using monthly data provided by IHS, Inc. In February 2020, IHS reflected a 32 cents per pound non-market adjustment based on their estimate of the growth of discounts in prior periods. The 4th quarter 2019 average rate of $0.51 per pound is shown on a pro forma basis as if the non-market adjustment was made in the fourth quarter of 2019.</w:t>
      </w:r>
    </w:p>
    <w:p>
      <w:pPr>
        <w:spacing w:after="0" w:line="162" w:lineRule="exact"/>
        <w:rPr>
          <w:sz w:val="20"/>
          <w:szCs w:val="20"/>
          <w:color w:val="auto"/>
        </w:rPr>
      </w:pPr>
    </w:p>
    <w:p>
      <w:pPr>
        <w:ind w:right="20" w:firstLine="362"/>
        <w:spacing w:after="0" w:line="257" w:lineRule="auto"/>
        <w:rPr>
          <w:sz w:val="20"/>
          <w:szCs w:val="20"/>
          <w:color w:val="auto"/>
        </w:rPr>
      </w:pPr>
      <w:r>
        <w:rPr>
          <w:rFonts w:ascii="Arial" w:cs="Arial" w:eastAsia="Arial" w:hAnsi="Arial"/>
          <w:sz w:val="16"/>
          <w:szCs w:val="16"/>
          <w:color w:val="auto"/>
        </w:rPr>
        <w:t>The price of resin is driven by several factors, including supply and demand and the price of oil, ethylene and natural gas. Selling prices to customers are set considering numerous factors, including the expected volatility of resin prices. PE Films has index-based pass-through raw material cost arrangements with customers. However, under certain agreements, changes in resin prices are not passed through for a period of 90 days. In response to unprecedented cost increases and supply issues for polyethylene and polypropylene resin, Tredegar Surface Protection implemented a quarterly resin cost pass-through mechanism, effective July 1, 2021, for all products and customers not previously covered by such arrangements. Pricing on the remainder of the business is based upon raw material costs and supply/demand dynamics within the markets that the Company competes.</w:t>
      </w:r>
    </w:p>
    <w:p>
      <w:pPr>
        <w:spacing w:after="0" w:line="60" w:lineRule="exact"/>
        <w:rPr>
          <w:sz w:val="20"/>
          <w:szCs w:val="20"/>
          <w:color w:val="auto"/>
        </w:rPr>
      </w:pPr>
    </w:p>
    <w:p>
      <w:pPr>
        <w:ind w:firstLine="362"/>
        <w:spacing w:after="0" w:line="265" w:lineRule="auto"/>
        <w:rPr>
          <w:sz w:val="20"/>
          <w:szCs w:val="20"/>
          <w:color w:val="auto"/>
        </w:rPr>
      </w:pPr>
      <w:r>
        <w:rPr>
          <w:rFonts w:ascii="Arial" w:cs="Arial" w:eastAsia="Arial" w:hAnsi="Arial"/>
          <w:sz w:val="16"/>
          <w:szCs w:val="16"/>
          <w:color w:val="auto"/>
        </w:rPr>
        <w:t>Polyester resins, MEG and PTA used in flexible packaging films produced in Brazil are primarily purchased domestically, with other sources available mostly from Asia and the U.S. Given the nature of these products as commodities, pricing is derived from Asian pricing indexes. The volatility of the average quarterly prices for polyester fibers in Asia, which is</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20"/>
          </w:cols>
          <w:pgMar w:left="320" w:top="899" w:right="35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representative of polyester resin (a primary raw material for Flexible Packaging Films) pricing trends,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59690</wp:posOffset>
            </wp:positionV>
            <wp:extent cx="5155565" cy="22752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55565" cy="2275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80"/>
        <w:spacing w:after="0"/>
        <w:rPr>
          <w:sz w:val="20"/>
          <w:szCs w:val="20"/>
          <w:color w:val="auto"/>
        </w:rPr>
      </w:pPr>
      <w:r>
        <w:rPr>
          <w:rFonts w:ascii="Arial" w:cs="Arial" w:eastAsia="Arial" w:hAnsi="Arial"/>
          <w:sz w:val="11"/>
          <w:szCs w:val="11"/>
          <w:color w:val="auto"/>
        </w:rPr>
        <w:t>Source: Quarterly averages computed by Tredegar using monthly data from CMAI Global Index data.</w:t>
      </w:r>
    </w:p>
    <w:p>
      <w:pPr>
        <w:spacing w:after="0" w:line="176" w:lineRule="exact"/>
        <w:rPr>
          <w:sz w:val="20"/>
          <w:szCs w:val="20"/>
          <w:color w:val="auto"/>
        </w:rPr>
      </w:pPr>
    </w:p>
    <w:p>
      <w:pPr>
        <w:ind w:firstLine="362"/>
        <w:spacing w:after="0" w:line="279" w:lineRule="auto"/>
        <w:rPr>
          <w:sz w:val="20"/>
          <w:szCs w:val="20"/>
          <w:color w:val="auto"/>
        </w:rPr>
      </w:pPr>
      <w:r>
        <w:rPr>
          <w:rFonts w:ascii="Arial" w:cs="Arial" w:eastAsia="Arial" w:hAnsi="Arial"/>
          <w:sz w:val="16"/>
          <w:szCs w:val="16"/>
          <w:color w:val="auto"/>
        </w:rPr>
        <w:t>The volatility of average quarterly prices of PTA and MEG in Asia (raw materials used in the production of polyester resins produced by Flexible Packaging Films)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34925</wp:posOffset>
            </wp:positionV>
            <wp:extent cx="5155565" cy="23749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55565" cy="237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80"/>
        <w:spacing w:after="0"/>
        <w:rPr>
          <w:sz w:val="20"/>
          <w:szCs w:val="20"/>
          <w:color w:val="auto"/>
        </w:rPr>
      </w:pPr>
      <w:r>
        <w:rPr>
          <w:rFonts w:ascii="Arial" w:cs="Arial" w:eastAsia="Arial" w:hAnsi="Arial"/>
          <w:sz w:val="11"/>
          <w:szCs w:val="11"/>
          <w:color w:val="auto"/>
        </w:rPr>
        <w:t>Source: Quarterly averages computed by Tredegar using monthly data from CMAI Global Index data.</w:t>
      </w:r>
    </w:p>
    <w:p>
      <w:pPr>
        <w:spacing w:after="0" w:line="200" w:lineRule="exact"/>
        <w:rPr>
          <w:sz w:val="20"/>
          <w:szCs w:val="20"/>
          <w:color w:val="auto"/>
        </w:rPr>
      </w:pP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040"/>
          </w:cols>
          <w:pgMar w:left="320" w:top="899" w:right="539" w:bottom="1440" w:gutter="0" w:footer="0" w:header="0"/>
        </w:sectPr>
      </w:pPr>
    </w:p>
    <w:bookmarkStart w:id="41" w:name="page42"/>
    <w:bookmarkEnd w:id="41"/>
    <w:p>
      <w:pPr>
        <w:ind w:right="400" w:firstLine="362"/>
        <w:spacing w:after="0" w:line="279" w:lineRule="auto"/>
        <w:rPr>
          <w:sz w:val="20"/>
          <w:szCs w:val="20"/>
          <w:color w:val="auto"/>
        </w:rPr>
      </w:pPr>
      <w:r>
        <w:rPr>
          <w:rFonts w:ascii="Arial" w:cs="Arial" w:eastAsia="Arial" w:hAnsi="Arial"/>
          <w:sz w:val="16"/>
          <w:szCs w:val="16"/>
          <w:color w:val="auto"/>
        </w:rPr>
        <w:t>The Company sells to customers in foreign markets through its foreign operations and through exports from U.S. plants. The percentage of sales for manufacturing operations related to foreign markets for the first nine months of 2021 and 2020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714692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6"/>
          <w:szCs w:val="16"/>
          <w:color w:val="auto"/>
        </w:rPr>
        <w:t>Tredegar Corporation</w:t>
      </w:r>
    </w:p>
    <w:p>
      <w:pPr>
        <w:ind w:left="3920"/>
        <w:spacing w:after="0"/>
        <w:rPr>
          <w:sz w:val="20"/>
          <w:szCs w:val="20"/>
          <w:color w:val="auto"/>
        </w:rPr>
      </w:pPr>
      <w:r>
        <w:rPr>
          <w:rFonts w:ascii="Arial" w:cs="Arial" w:eastAsia="Arial" w:hAnsi="Arial"/>
          <w:sz w:val="16"/>
          <w:szCs w:val="16"/>
          <w:color w:val="auto"/>
        </w:rPr>
        <w:t>Percentage of Net Sales Related to Foreign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714692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ind w:left="6720"/>
        <w:spacing w:after="0"/>
        <w:rPr>
          <w:sz w:val="20"/>
          <w:szCs w:val="20"/>
          <w:color w:val="auto"/>
        </w:rPr>
      </w:pPr>
      <w:r>
        <w:rPr>
          <w:rFonts w:ascii="Arial" w:cs="Arial" w:eastAsia="Arial" w:hAnsi="Arial"/>
          <w:sz w:val="16"/>
          <w:szCs w:val="16"/>
          <w:color w:val="auto"/>
        </w:rPr>
        <w:t>Nine Months Ended September 30,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2021</w:t>
            </w:r>
          </w:p>
        </w:tc>
        <w:tc>
          <w:tcPr>
            <w:tcW w:w="400" w:type="dxa"/>
            <w:vAlign w:val="bottom"/>
            <w:tcBorders>
              <w:bottom w:val="single" w:sz="8" w:color="auto"/>
              <w:right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2020</w:t>
            </w:r>
          </w:p>
        </w:tc>
        <w:tc>
          <w:tcPr>
            <w:tcW w:w="300" w:type="dxa"/>
            <w:vAlign w:val="bottom"/>
            <w:tcBorders>
              <w:bottom w:val="single" w:sz="8" w:color="auto"/>
            </w:tcBorders>
          </w:tcPr>
          <w:p>
            <w:pPr>
              <w:spacing w:after="0"/>
              <w:rPr>
                <w:sz w:val="16"/>
                <w:szCs w:val="16"/>
                <w:color w:val="auto"/>
              </w:rPr>
            </w:pPr>
          </w:p>
        </w:tc>
      </w:tr>
      <w:tr>
        <w:trPr>
          <w:trHeight w:val="149"/>
        </w:trPr>
        <w:tc>
          <w:tcPr>
            <w:tcW w:w="4080" w:type="dxa"/>
            <w:vAlign w:val="bottom"/>
          </w:tcPr>
          <w:p>
            <w:pPr>
              <w:spacing w:after="0"/>
              <w:rPr>
                <w:sz w:val="12"/>
                <w:szCs w:val="12"/>
                <w:color w:val="auto"/>
              </w:rPr>
            </w:pPr>
          </w:p>
        </w:tc>
        <w:tc>
          <w:tcPr>
            <w:tcW w:w="1440" w:type="dxa"/>
            <w:vAlign w:val="bottom"/>
          </w:tcPr>
          <w:p>
            <w:pPr>
              <w:jc w:val="right"/>
              <w:ind w:right="60"/>
              <w:spacing w:after="0" w:line="149" w:lineRule="exact"/>
              <w:rPr>
                <w:sz w:val="20"/>
                <w:szCs w:val="20"/>
                <w:color w:val="auto"/>
              </w:rPr>
            </w:pPr>
            <w:r>
              <w:rPr>
                <w:rFonts w:ascii="Arial" w:cs="Arial" w:eastAsia="Arial" w:hAnsi="Arial"/>
                <w:sz w:val="16"/>
                <w:szCs w:val="16"/>
                <w:color w:val="auto"/>
              </w:rPr>
              <w:t>Exports</w:t>
            </w:r>
          </w:p>
        </w:tc>
        <w:tc>
          <w:tcPr>
            <w:tcW w:w="300" w:type="dxa"/>
            <w:vAlign w:val="bottom"/>
          </w:tcPr>
          <w:p>
            <w:pPr>
              <w:spacing w:after="0"/>
              <w:rPr>
                <w:sz w:val="12"/>
                <w:szCs w:val="12"/>
                <w:color w:val="auto"/>
              </w:rPr>
            </w:pPr>
          </w:p>
        </w:tc>
        <w:tc>
          <w:tcPr>
            <w:tcW w:w="1500" w:type="dxa"/>
            <w:vAlign w:val="bottom"/>
          </w:tcPr>
          <w:p>
            <w:pPr>
              <w:ind w:left="860"/>
              <w:spacing w:after="0" w:line="149" w:lineRule="exact"/>
              <w:rPr>
                <w:sz w:val="20"/>
                <w:szCs w:val="20"/>
                <w:color w:val="auto"/>
              </w:rPr>
            </w:pPr>
            <w:r>
              <w:rPr>
                <w:rFonts w:ascii="Arial" w:cs="Arial" w:eastAsia="Arial" w:hAnsi="Arial"/>
                <w:sz w:val="16"/>
                <w:szCs w:val="16"/>
                <w:color w:val="auto"/>
              </w:rPr>
              <w:t>Foreign</w:t>
            </w:r>
          </w:p>
        </w:tc>
        <w:tc>
          <w:tcPr>
            <w:tcW w:w="400" w:type="dxa"/>
            <w:vAlign w:val="bottom"/>
            <w:tcBorders>
              <w:right w:val="single" w:sz="8" w:color="auto"/>
            </w:tcBorders>
          </w:tcPr>
          <w:p>
            <w:pPr>
              <w:spacing w:after="0"/>
              <w:rPr>
                <w:sz w:val="12"/>
                <w:szCs w:val="12"/>
                <w:color w:val="auto"/>
              </w:rPr>
            </w:pPr>
          </w:p>
        </w:tc>
        <w:tc>
          <w:tcPr>
            <w:tcW w:w="1420" w:type="dxa"/>
            <w:vAlign w:val="bottom"/>
          </w:tcPr>
          <w:p>
            <w:pPr>
              <w:jc w:val="right"/>
              <w:ind w:right="60"/>
              <w:spacing w:after="0" w:line="149" w:lineRule="exact"/>
              <w:rPr>
                <w:sz w:val="20"/>
                <w:szCs w:val="20"/>
                <w:color w:val="auto"/>
              </w:rPr>
            </w:pPr>
            <w:r>
              <w:rPr>
                <w:rFonts w:ascii="Arial" w:cs="Arial" w:eastAsia="Arial" w:hAnsi="Arial"/>
                <w:sz w:val="16"/>
                <w:szCs w:val="16"/>
                <w:color w:val="auto"/>
              </w:rPr>
              <w:t>Exports</w:t>
            </w:r>
          </w:p>
        </w:tc>
        <w:tc>
          <w:tcPr>
            <w:tcW w:w="320" w:type="dxa"/>
            <w:vAlign w:val="bottom"/>
          </w:tcPr>
          <w:p>
            <w:pPr>
              <w:spacing w:after="0"/>
              <w:rPr>
                <w:sz w:val="12"/>
                <w:szCs w:val="12"/>
                <w:color w:val="auto"/>
              </w:rPr>
            </w:pPr>
          </w:p>
        </w:tc>
        <w:tc>
          <w:tcPr>
            <w:tcW w:w="1500" w:type="dxa"/>
            <w:vAlign w:val="bottom"/>
          </w:tcPr>
          <w:p>
            <w:pPr>
              <w:ind w:left="860"/>
              <w:spacing w:after="0" w:line="149" w:lineRule="exact"/>
              <w:rPr>
                <w:sz w:val="20"/>
                <w:szCs w:val="20"/>
                <w:color w:val="auto"/>
              </w:rPr>
            </w:pPr>
            <w:r>
              <w:rPr>
                <w:rFonts w:ascii="Arial" w:cs="Arial" w:eastAsia="Arial" w:hAnsi="Arial"/>
                <w:sz w:val="16"/>
                <w:szCs w:val="16"/>
                <w:color w:val="auto"/>
              </w:rPr>
              <w:t>Foreign</w:t>
            </w:r>
          </w:p>
        </w:tc>
        <w:tc>
          <w:tcPr>
            <w:tcW w:w="300" w:type="dxa"/>
            <w:vAlign w:val="bottom"/>
          </w:tcPr>
          <w:p>
            <w:pPr>
              <w:spacing w:after="0"/>
              <w:rPr>
                <w:sz w:val="12"/>
                <w:szCs w:val="12"/>
                <w:color w:val="auto"/>
              </w:rPr>
            </w:pPr>
          </w:p>
        </w:tc>
      </w:tr>
      <w:tr>
        <w:trPr>
          <w:trHeight w:val="205"/>
        </w:trPr>
        <w:tc>
          <w:tcPr>
            <w:tcW w:w="40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From U.S.</w:t>
            </w: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Operations</w:t>
            </w:r>
          </w:p>
        </w:tc>
        <w:tc>
          <w:tcPr>
            <w:tcW w:w="40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From U.S.</w:t>
            </w: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Operations</w:t>
            </w:r>
          </w:p>
        </w:tc>
        <w:tc>
          <w:tcPr>
            <w:tcW w:w="300" w:type="dxa"/>
            <w:vAlign w:val="bottom"/>
            <w:tcBorders>
              <w:bottom w:val="single" w:sz="8" w:color="auto"/>
            </w:tcBorders>
          </w:tcPr>
          <w:p>
            <w:pPr>
              <w:spacing w:after="0"/>
              <w:rPr>
                <w:sz w:val="17"/>
                <w:szCs w:val="17"/>
                <w:color w:val="auto"/>
              </w:rPr>
            </w:pPr>
          </w:p>
        </w:tc>
      </w:tr>
      <w:tr>
        <w:trPr>
          <w:trHeight w:val="197"/>
        </w:trPr>
        <w:tc>
          <w:tcPr>
            <w:tcW w:w="4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Canada</w:t>
            </w:r>
          </w:p>
        </w:tc>
        <w:tc>
          <w:tcPr>
            <w:tcW w:w="14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400" w:type="dxa"/>
            <w:vAlign w:val="bottom"/>
            <w:tcBorders>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4080" w:type="dxa"/>
            <w:vAlign w:val="bottom"/>
          </w:tcPr>
          <w:p>
            <w:pPr>
              <w:ind w:left="380"/>
              <w:spacing w:after="0"/>
              <w:rPr>
                <w:sz w:val="20"/>
                <w:szCs w:val="20"/>
                <w:color w:val="auto"/>
              </w:rPr>
            </w:pPr>
            <w:r>
              <w:rPr>
                <w:rFonts w:ascii="Arial" w:cs="Arial" w:eastAsia="Arial" w:hAnsi="Arial"/>
                <w:sz w:val="16"/>
                <w:szCs w:val="16"/>
                <w:color w:val="auto"/>
              </w:rPr>
              <w:t>Europe</w:t>
            </w:r>
          </w:p>
        </w:tc>
        <w:tc>
          <w:tcPr>
            <w:tcW w:w="1440" w:type="dxa"/>
            <w:vAlign w:val="bottom"/>
          </w:tcPr>
          <w:p>
            <w:pPr>
              <w:jc w:val="right"/>
              <w:ind w:right="200"/>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7"/>
                <w:szCs w:val="17"/>
                <w:color w:val="auto"/>
              </w:rPr>
            </w:pPr>
          </w:p>
        </w:tc>
        <w:tc>
          <w:tcPr>
            <w:tcW w:w="1500" w:type="dxa"/>
            <w:vAlign w:val="bottom"/>
          </w:tcPr>
          <w:p>
            <w:pPr>
              <w:ind w:left="1060"/>
              <w:spacing w:after="0"/>
              <w:rPr>
                <w:sz w:val="20"/>
                <w:szCs w:val="20"/>
                <w:color w:val="auto"/>
              </w:rPr>
            </w:pPr>
            <w:r>
              <w:rPr>
                <w:rFonts w:ascii="Arial" w:cs="Arial" w:eastAsia="Arial" w:hAnsi="Arial"/>
                <w:sz w:val="16"/>
                <w:szCs w:val="16"/>
                <w:color w:val="auto"/>
              </w:rPr>
              <w:t>—</w:t>
            </w:r>
          </w:p>
        </w:tc>
        <w:tc>
          <w:tcPr>
            <w:tcW w:w="400" w:type="dxa"/>
            <w:vAlign w:val="bottom"/>
            <w:tcBorders>
              <w:right w:val="single" w:sz="8" w:color="auto"/>
            </w:tcBorders>
          </w:tcPr>
          <w:p>
            <w:pPr>
              <w:spacing w:after="0"/>
              <w:rPr>
                <w:sz w:val="17"/>
                <w:szCs w:val="17"/>
                <w:color w:val="auto"/>
              </w:rPr>
            </w:pPr>
          </w:p>
        </w:tc>
        <w:tc>
          <w:tcPr>
            <w:tcW w:w="1420" w:type="dxa"/>
            <w:vAlign w:val="bottom"/>
          </w:tcPr>
          <w:p>
            <w:pPr>
              <w:jc w:val="right"/>
              <w:ind w:right="180"/>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7"/>
                <w:szCs w:val="17"/>
                <w:color w:val="auto"/>
              </w:rPr>
            </w:pPr>
          </w:p>
        </w:tc>
        <w:tc>
          <w:tcPr>
            <w:tcW w:w="1500" w:type="dxa"/>
            <w:vAlign w:val="bottom"/>
          </w:tcPr>
          <w:p>
            <w:pPr>
              <w:ind w:left="10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r>
      <w:tr>
        <w:trPr>
          <w:trHeight w:val="205"/>
        </w:trPr>
        <w:tc>
          <w:tcPr>
            <w:tcW w:w="4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Latin America</w:t>
            </w:r>
          </w:p>
        </w:tc>
        <w:tc>
          <w:tcPr>
            <w:tcW w:w="14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13</w:t>
            </w:r>
          </w:p>
        </w:tc>
        <w:tc>
          <w:tcPr>
            <w:tcW w:w="400" w:type="dxa"/>
            <w:vAlign w:val="bottom"/>
            <w:tcBorders>
              <w:right w:val="single" w:sz="8" w:color="auto"/>
            </w:tcBorders>
            <w:shd w:val="clear" w:color="auto" w:fill="CCEEFF"/>
          </w:tcPr>
          <w:p>
            <w:pPr>
              <w:spacing w:after="0"/>
              <w:rPr>
                <w:sz w:val="17"/>
                <w:szCs w:val="17"/>
                <w:color w:val="auto"/>
              </w:rPr>
            </w:pPr>
          </w:p>
        </w:tc>
        <w:tc>
          <w:tcPr>
            <w:tcW w:w="14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13</w:t>
            </w:r>
          </w:p>
        </w:tc>
        <w:tc>
          <w:tcPr>
            <w:tcW w:w="300" w:type="dxa"/>
            <w:vAlign w:val="bottom"/>
            <w:shd w:val="clear" w:color="auto" w:fill="CCEEFF"/>
          </w:tcPr>
          <w:p>
            <w:pPr>
              <w:spacing w:after="0"/>
              <w:rPr>
                <w:sz w:val="17"/>
                <w:szCs w:val="17"/>
                <w:color w:val="auto"/>
              </w:rPr>
            </w:pPr>
          </w:p>
        </w:tc>
      </w:tr>
      <w:tr>
        <w:trPr>
          <w:trHeight w:val="205"/>
        </w:trPr>
        <w:tc>
          <w:tcPr>
            <w:tcW w:w="40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Asia</w:t>
            </w:r>
          </w:p>
        </w:tc>
        <w:tc>
          <w:tcPr>
            <w:tcW w:w="14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7</w:t>
            </w: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11</w:t>
            </w: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7"/>
                <w:szCs w:val="17"/>
                <w:color w:val="auto"/>
              </w:rPr>
            </w:pPr>
          </w:p>
        </w:tc>
      </w:tr>
      <w:tr>
        <w:trPr>
          <w:trHeight w:val="201"/>
        </w:trPr>
        <w:tc>
          <w:tcPr>
            <w:tcW w:w="40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13</w:t>
            </w:r>
          </w:p>
        </w:tc>
        <w:tc>
          <w:tcPr>
            <w:tcW w:w="400" w:type="dxa"/>
            <w:vAlign w:val="bottom"/>
            <w:tcBorders>
              <w:bottom w:val="single" w:sz="8" w:color="auto"/>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14</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13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ind w:left="380"/>
        <w:spacing w:after="0"/>
        <w:rPr>
          <w:sz w:val="20"/>
          <w:szCs w:val="20"/>
          <w:color w:val="auto"/>
        </w:rPr>
      </w:pPr>
      <w:r>
        <w:rPr>
          <w:rFonts w:ascii="Arial" w:cs="Arial" w:eastAsia="Arial" w:hAnsi="Arial"/>
          <w:sz w:val="16"/>
          <w:szCs w:val="16"/>
          <w:color w:val="auto"/>
        </w:rPr>
        <w:t>* The percentages for foreign markets are relative to Tredegar’s consolidated net sales.</w:t>
      </w:r>
    </w:p>
    <w:p>
      <w:pPr>
        <w:spacing w:after="0" w:line="165" w:lineRule="exact"/>
        <w:rPr>
          <w:sz w:val="20"/>
          <w:szCs w:val="20"/>
          <w:color w:val="auto"/>
        </w:rPr>
      </w:pPr>
    </w:p>
    <w:p>
      <w:pPr>
        <w:ind w:right="320" w:firstLine="362"/>
        <w:spacing w:after="0" w:line="261" w:lineRule="auto"/>
        <w:rPr>
          <w:sz w:val="20"/>
          <w:szCs w:val="20"/>
          <w:color w:val="auto"/>
        </w:rPr>
      </w:pPr>
      <w:r>
        <w:rPr>
          <w:rFonts w:ascii="Arial" w:cs="Arial" w:eastAsia="Arial" w:hAnsi="Arial"/>
          <w:sz w:val="16"/>
          <w:szCs w:val="16"/>
          <w:color w:val="auto"/>
        </w:rPr>
        <w:t>Tredegar attempts to match the pricing and cost of its products in the same currency and generally views the volatility of foreign currencies and the corresponding impact on earnings and cash flow as part of the overall risk of operating in a global environment (for additional information, see trends for the Brazilian Real and Chinese Yuan in the charts on the following page). Exports from the U.S. are generally denominated in U.S. Dollars. The Company’s foreign currency exposure on income from continuing foreign operations relates to the Chinese Yuan and the Brazilian Real.</w:t>
      </w:r>
    </w:p>
    <w:p>
      <w:pPr>
        <w:spacing w:after="0" w:line="56" w:lineRule="exact"/>
        <w:rPr>
          <w:sz w:val="20"/>
          <w:szCs w:val="20"/>
          <w:color w:val="auto"/>
        </w:rPr>
      </w:pPr>
    </w:p>
    <w:p>
      <w:pPr>
        <w:ind w:right="40" w:firstLine="362"/>
        <w:spacing w:after="0" w:line="256" w:lineRule="auto"/>
        <w:rPr>
          <w:sz w:val="20"/>
          <w:szCs w:val="20"/>
          <w:color w:val="auto"/>
        </w:rPr>
      </w:pPr>
      <w:r>
        <w:rPr>
          <w:rFonts w:ascii="Arial" w:cs="Arial" w:eastAsia="Arial" w:hAnsi="Arial"/>
          <w:sz w:val="16"/>
          <w:szCs w:val="16"/>
          <w:color w:val="auto"/>
        </w:rPr>
        <w:t>PE Films is generally able to match the currency of its sales and costs for its product lines. For flexible packaging films produced in Brazil, selling prices and key raw material costs are principally determined in U.S. Dollars and are impacted by local economic conditions and local and global competitive dynamics. Flexible Packaging Films is exposed to foreign exchange translation risk (its functional currency is the Brazilian Real) because almost 90% of the sales of Flexible Packaging Films business unit in Brazil (“Terphane Ltda.”) and substantially all of its related raw material costs are quoted or priced in U.S. Dollars while its variable conversion, fixed conversion and sales, general and administrative costs before depreciation &amp; amortization (collectively “Terphane Ltda. Operating Costs”) are quoted or priced in Brazilian Real. This mismatch, together with a variety of economic variables impacting currency exchange rates, causes volatility that could negatively or positively impact EBITDA from ongoing operations for Flexible Packaging Films.</w:t>
      </w:r>
    </w:p>
    <w:p>
      <w:pPr>
        <w:spacing w:after="0" w:line="50" w:lineRule="exact"/>
        <w:rPr>
          <w:sz w:val="20"/>
          <w:szCs w:val="20"/>
          <w:color w:val="auto"/>
        </w:rPr>
      </w:pPr>
    </w:p>
    <w:p>
      <w:pPr>
        <w:ind w:right="80" w:firstLine="362"/>
        <w:spacing w:after="0" w:line="320" w:lineRule="auto"/>
        <w:rPr>
          <w:sz w:val="20"/>
          <w:szCs w:val="20"/>
          <w:color w:val="auto"/>
        </w:rPr>
      </w:pPr>
      <w:r>
        <w:rPr>
          <w:rFonts w:ascii="Arial" w:cs="Arial" w:eastAsia="Arial" w:hAnsi="Arial"/>
          <w:sz w:val="14"/>
          <w:szCs w:val="14"/>
          <w:color w:val="auto"/>
        </w:rPr>
        <w:t>The Company estimates annual net costs of R$150 million for the net mismatch translation exposure between Terphane Ltda.’s U.S. Dollar quoted or priced sales and raw material costs and underlying Brazilian Real quoted or priced Terphane Ltda. Operating Costs. Terphane Ltda. has outstanding foreign exchange average forward rate contracts to purchase Brazilian Real and sell U.S. Dollars to hedge its exposure. See Note 8 for more information on outstanding hedging contracts and this hedging program.</w:t>
      </w:r>
    </w:p>
    <w:p>
      <w:pPr>
        <w:spacing w:after="0" w:line="20" w:lineRule="exact"/>
        <w:rPr>
          <w:sz w:val="20"/>
          <w:szCs w:val="20"/>
          <w:color w:val="auto"/>
        </w:rPr>
      </w:pPr>
    </w:p>
    <w:p>
      <w:pPr>
        <w:ind w:right="360" w:firstLine="362"/>
        <w:spacing w:after="0" w:line="265" w:lineRule="auto"/>
        <w:rPr>
          <w:sz w:val="20"/>
          <w:szCs w:val="20"/>
          <w:color w:val="auto"/>
        </w:rPr>
      </w:pPr>
      <w:r>
        <w:rPr>
          <w:rFonts w:ascii="Arial" w:cs="Arial" w:eastAsia="Arial" w:hAnsi="Arial"/>
          <w:sz w:val="16"/>
          <w:szCs w:val="16"/>
          <w:color w:val="auto"/>
        </w:rPr>
        <w:t>Tredegar estimates that the change in the value of foreign currencies relative to the U.S. Dollar for PE Films had a favorable impact on EBITDA from ongoing operations in PE Films of $0.3 million in the third quarter of 2021 compared with the third quarter of 2020 and a favorable impact of $0.1 million the first nine months of 2021 compared with the first nine months of 2020.</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sectPr>
      </w:pPr>
    </w:p>
    <w:bookmarkStart w:id="42" w:name="page43"/>
    <w:bookmarkEnd w:id="42"/>
    <w:p>
      <w:pPr>
        <w:ind w:left="360"/>
        <w:spacing w:after="0"/>
        <w:rPr>
          <w:sz w:val="20"/>
          <w:szCs w:val="20"/>
          <w:color w:val="auto"/>
        </w:rPr>
      </w:pPr>
      <w:r>
        <w:rPr>
          <w:rFonts w:ascii="Arial" w:cs="Arial" w:eastAsia="Arial" w:hAnsi="Arial"/>
          <w:sz w:val="16"/>
          <w:szCs w:val="16"/>
          <w:color w:val="auto"/>
        </w:rPr>
        <w:t>Trends for the Brazilian Real and Chinese Yuan exchange rates relative to the U.S. Dollar are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59690</wp:posOffset>
            </wp:positionV>
            <wp:extent cx="5155565" cy="22752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55565" cy="2275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80"/>
        <w:spacing w:after="0"/>
        <w:rPr>
          <w:sz w:val="20"/>
          <w:szCs w:val="20"/>
          <w:color w:val="auto"/>
        </w:rPr>
      </w:pPr>
      <w:r>
        <w:rPr>
          <w:rFonts w:ascii="Arial" w:cs="Arial" w:eastAsia="Arial" w:hAnsi="Arial"/>
          <w:sz w:val="11"/>
          <w:szCs w:val="11"/>
          <w:color w:val="auto"/>
        </w:rPr>
        <w:t>Source: Quarterly averages computed by Tredegar using daily closing data provided by Bloomberg.</w:t>
      </w:r>
    </w:p>
    <w:p>
      <w:pPr>
        <w:spacing w:after="0" w:line="200" w:lineRule="exact"/>
        <w:rPr>
          <w:sz w:val="20"/>
          <w:szCs w:val="20"/>
          <w:color w:val="auto"/>
        </w:rPr>
      </w:pPr>
    </w:p>
    <w:p>
      <w:pPr>
        <w:spacing w:after="0" w:line="274"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Controls and Procedures.</w:t>
      </w:r>
    </w:p>
    <w:p>
      <w:pPr>
        <w:spacing w:after="0" w:line="97" w:lineRule="exact"/>
        <w:rPr>
          <w:sz w:val="20"/>
          <w:szCs w:val="20"/>
          <w:color w:val="auto"/>
        </w:rPr>
      </w:pPr>
    </w:p>
    <w:p>
      <w:pPr>
        <w:ind w:right="260" w:firstLine="362"/>
        <w:spacing w:after="0" w:line="265" w:lineRule="auto"/>
        <w:rPr>
          <w:sz w:val="20"/>
          <w:szCs w:val="20"/>
          <w:color w:val="auto"/>
        </w:rPr>
      </w:pPr>
      <w:r>
        <w:rPr>
          <w:rFonts w:ascii="Arial" w:cs="Arial" w:eastAsia="Arial" w:hAnsi="Arial"/>
          <w:sz w:val="16"/>
          <w:szCs w:val="16"/>
          <w:color w:val="auto"/>
        </w:rPr>
        <w:t>On November 1, 2018, the Company filed a Current Report on Form 8-K (the “November 2018 Form 8-K”) to disclose deficiencies in internal control over financial reporting. For further information, see the November 2018 Form 8-K and Item 4. “Controls and Procedures” of the Company’s Quarterly Report on Form 10-Q for the quarterly period ended September 30, 2018.</w:t>
      </w:r>
    </w:p>
    <w:p>
      <w:pPr>
        <w:spacing w:after="0" w:line="42"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i w:val="1"/>
          <w:iCs w:val="1"/>
          <w:u w:val="single" w:color="auto"/>
          <w:color w:val="auto"/>
        </w:rPr>
        <w:t>Evaluation of Disclosure Controls and Procedures</w:t>
      </w:r>
    </w:p>
    <w:p>
      <w:pPr>
        <w:spacing w:after="0" w:line="93" w:lineRule="exact"/>
        <w:rPr>
          <w:sz w:val="20"/>
          <w:szCs w:val="20"/>
          <w:color w:val="auto"/>
        </w:rPr>
      </w:pPr>
    </w:p>
    <w:p>
      <w:pPr>
        <w:ind w:right="220" w:firstLine="362"/>
        <w:spacing w:after="0" w:line="261" w:lineRule="auto"/>
        <w:rPr>
          <w:sz w:val="20"/>
          <w:szCs w:val="20"/>
          <w:color w:val="auto"/>
        </w:rPr>
      </w:pPr>
      <w:r>
        <w:rPr>
          <w:rFonts w:ascii="Arial" w:cs="Arial" w:eastAsia="Arial" w:hAnsi="Arial"/>
          <w:sz w:val="16"/>
          <w:szCs w:val="16"/>
          <w:color w:val="auto"/>
        </w:rPr>
        <w:t>In connection with the preparation of this Form 10-Q, pursuant to Rule 13a-15(b) under the Securities Exchange Act of 1934, as amended (the “Exchange Act”), the Company carried out an evaluation with the participation of its management, including its Chief Executive Officer (principal executive officer) and Chief Financial Officer (principal financial officer), of the effectiveness of disclosure controls and procedures (as defined under Rule 13a-15(e) and 15d-15(e) under the Exchange Act) as of September 30, 2021.</w:t>
      </w:r>
    </w:p>
    <w:p>
      <w:pPr>
        <w:spacing w:after="0" w:line="56" w:lineRule="exact"/>
        <w:rPr>
          <w:sz w:val="20"/>
          <w:szCs w:val="20"/>
          <w:color w:val="auto"/>
        </w:rPr>
      </w:pPr>
    </w:p>
    <w:p>
      <w:pPr>
        <w:ind w:firstLine="362"/>
        <w:spacing w:after="0" w:line="258" w:lineRule="auto"/>
        <w:rPr>
          <w:sz w:val="20"/>
          <w:szCs w:val="20"/>
          <w:color w:val="auto"/>
        </w:rPr>
      </w:pPr>
      <w:r>
        <w:rPr>
          <w:rFonts w:ascii="Arial" w:cs="Arial" w:eastAsia="Arial" w:hAnsi="Arial"/>
          <w:sz w:val="16"/>
          <w:szCs w:val="16"/>
          <w:color w:val="auto"/>
        </w:rPr>
        <w:t>Based on this evaluation, the Company’s Chief Executive Officer and Chief Financial Officer concluded that, because of the material weaknesses in internal control over financial reporting discussed below, the Company’s disclosure controls and procedures were not effective as of September 30, 2021, to ensure: (i) that information required to be disclosed by the Company in the reports that it files or submits under the Exchange Act, is recorded, processed, summarized and reported, within the time periods specified in the SEC’s rules and forms, and (ii) that such information is accumulated and communicated to management, including the Chief Executive Officer and Chief Financial Officer, as appropriate, to allow timely decisions regarding required disclosure.</w:t>
      </w:r>
    </w:p>
    <w:p>
      <w:pPr>
        <w:spacing w:after="0" w:line="49" w:lineRule="exact"/>
        <w:rPr>
          <w:sz w:val="20"/>
          <w:szCs w:val="20"/>
          <w:color w:val="auto"/>
        </w:rPr>
      </w:pPr>
    </w:p>
    <w:p>
      <w:pPr>
        <w:ind w:firstLine="362"/>
        <w:spacing w:after="0" w:line="283" w:lineRule="auto"/>
        <w:rPr>
          <w:sz w:val="20"/>
          <w:szCs w:val="20"/>
          <w:color w:val="auto"/>
        </w:rPr>
      </w:pPr>
      <w:r>
        <w:rPr>
          <w:rFonts w:ascii="Arial" w:cs="Arial" w:eastAsia="Arial" w:hAnsi="Arial"/>
          <w:sz w:val="15"/>
          <w:szCs w:val="15"/>
          <w:color w:val="auto"/>
        </w:rPr>
        <w:t>The Company’s management is responsible for establishing and maintaining adequate internal control over financial reporting, as such term is defined in Rules 13a-15(f) and 15d-15(f) under the Exchange Act. The Company’s internal control over financial reporting is a process designed by or under the supervision of the Company’s Chief Executive Officer and Chief Financial Officer, and overseen by the Board of Directors, to provide reasonable assurance regarding the reliability of financial reporting and the preparation of published financial statements for external purposes in accordance with GAAP and includes policies and procedures that:</w:t>
      </w:r>
    </w:p>
    <w:p>
      <w:pPr>
        <w:spacing w:after="0" w:line="43" w:lineRule="exact"/>
        <w:rPr>
          <w:sz w:val="20"/>
          <w:szCs w:val="20"/>
          <w:color w:val="auto"/>
        </w:rPr>
      </w:pPr>
    </w:p>
    <w:p>
      <w:pPr>
        <w:ind w:left="580" w:hanging="294"/>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Company’s assets;</w:t>
      </w:r>
    </w:p>
    <w:p>
      <w:pPr>
        <w:spacing w:after="0" w:line="93" w:lineRule="exact"/>
        <w:rPr>
          <w:rFonts w:ascii="Arial" w:cs="Arial" w:eastAsia="Arial" w:hAnsi="Arial"/>
          <w:sz w:val="16"/>
          <w:szCs w:val="16"/>
          <w:color w:val="auto"/>
        </w:rPr>
      </w:pPr>
    </w:p>
    <w:p>
      <w:pPr>
        <w:ind w:left="580" w:right="580" w:hanging="294"/>
        <w:spacing w:after="0" w:line="314" w:lineRule="auto"/>
        <w:tabs>
          <w:tab w:leader="none" w:pos="576" w:val="left"/>
        </w:tabs>
        <w:numPr>
          <w:ilvl w:val="0"/>
          <w:numId w:val="22"/>
        </w:numPr>
        <w:rPr>
          <w:rFonts w:ascii="Arial" w:cs="Arial" w:eastAsia="Arial" w:hAnsi="Arial"/>
          <w:sz w:val="15"/>
          <w:szCs w:val="15"/>
          <w:color w:val="auto"/>
        </w:rPr>
      </w:pPr>
      <w:r>
        <w:rPr>
          <w:rFonts w:ascii="Arial" w:cs="Arial" w:eastAsia="Arial" w:hAnsi="Arial"/>
          <w:sz w:val="15"/>
          <w:szCs w:val="15"/>
          <w:color w:val="auto"/>
        </w:rPr>
        <w:t>Provide reasonable assurance that transactions are recorded as necessary to permit preparation of financial statements in accordance with GAAP, and that the Company’s receipts and expenditures are being made only in accordance with the authorization of its management and directors; and</w:t>
      </w:r>
    </w:p>
    <w:p>
      <w:pPr>
        <w:spacing w:after="0" w:line="7" w:lineRule="exact"/>
        <w:rPr>
          <w:rFonts w:ascii="Arial" w:cs="Arial" w:eastAsia="Arial" w:hAnsi="Arial"/>
          <w:sz w:val="15"/>
          <w:szCs w:val="15"/>
          <w:color w:val="auto"/>
        </w:rPr>
      </w:pPr>
    </w:p>
    <w:p>
      <w:pPr>
        <w:ind w:left="580" w:right="400" w:hanging="294"/>
        <w:spacing w:after="0" w:line="279" w:lineRule="auto"/>
        <w:tabs>
          <w:tab w:leader="none" w:pos="576"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3" w:name="page44"/>
    <w:bookmarkEnd w:id="43"/>
    <w:p>
      <w:pPr>
        <w:ind w:firstLine="362"/>
        <w:spacing w:after="0" w:line="291" w:lineRule="auto"/>
        <w:rPr>
          <w:sz w:val="20"/>
          <w:szCs w:val="20"/>
          <w:color w:val="auto"/>
        </w:rPr>
      </w:pPr>
      <w:r>
        <w:rPr>
          <w:rFonts w:ascii="Arial" w:cs="Arial" w:eastAsia="Arial" w:hAnsi="Arial"/>
          <w:sz w:val="15"/>
          <w:szCs w:val="15"/>
          <w:color w:val="auto"/>
        </w:rPr>
        <w:t>Because of its inherent limitations, internal control over financial reporting is not intended to provide absolute assurance that a misstatement of the Company’s consolidated financial statements would be prevented or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 w:lineRule="exact"/>
        <w:rPr>
          <w:sz w:val="20"/>
          <w:szCs w:val="20"/>
          <w:color w:val="auto"/>
        </w:rPr>
      </w:pPr>
    </w:p>
    <w:p>
      <w:pPr>
        <w:ind w:right="80" w:firstLine="362"/>
        <w:spacing w:after="0" w:line="279"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43" w:lineRule="exact"/>
        <w:rPr>
          <w:sz w:val="20"/>
          <w:szCs w:val="20"/>
          <w:color w:val="auto"/>
        </w:rPr>
      </w:pPr>
    </w:p>
    <w:p>
      <w:pPr>
        <w:ind w:right="300" w:firstLine="362"/>
        <w:spacing w:after="0" w:line="283" w:lineRule="auto"/>
        <w:rPr>
          <w:sz w:val="20"/>
          <w:szCs w:val="20"/>
          <w:color w:val="auto"/>
        </w:rPr>
      </w:pPr>
      <w:r>
        <w:rPr>
          <w:rFonts w:ascii="Arial" w:cs="Arial" w:eastAsia="Arial" w:hAnsi="Arial"/>
          <w:sz w:val="15"/>
          <w:szCs w:val="15"/>
          <w:color w:val="auto"/>
        </w:rPr>
        <w:t xml:space="preserve">Management conducted an evaluation of the effectiveness of the Company’s internal control over financial reporting as of December 31, 2020 using the criteria in </w:t>
      </w:r>
      <w:r>
        <w:rPr>
          <w:rFonts w:ascii="Arial" w:cs="Arial" w:eastAsia="Arial" w:hAnsi="Arial"/>
          <w:sz w:val="15"/>
          <w:szCs w:val="15"/>
          <w:i w:val="1"/>
          <w:iCs w:val="1"/>
          <w:color w:val="auto"/>
        </w:rPr>
        <w:t xml:space="preserve">Internal Control - Integrated Framework 2013 </w:t>
      </w:r>
      <w:r>
        <w:rPr>
          <w:rFonts w:ascii="Arial" w:cs="Arial" w:eastAsia="Arial" w:hAnsi="Arial"/>
          <w:sz w:val="15"/>
          <w:szCs w:val="15"/>
          <w:color w:val="auto"/>
        </w:rPr>
        <w:t>issued by the Committee of Sponsoring Organizations of the Treadway Commission (the “2013 COSO Framework”). As a</w:t>
      </w:r>
      <w:r>
        <w:rPr>
          <w:rFonts w:ascii="Arial" w:cs="Arial" w:eastAsia="Arial" w:hAnsi="Arial"/>
          <w:sz w:val="15"/>
          <w:szCs w:val="15"/>
          <w:i w:val="1"/>
          <w:iCs w:val="1"/>
          <w:color w:val="auto"/>
        </w:rPr>
        <w:t xml:space="preserve"> </w:t>
      </w:r>
      <w:r>
        <w:rPr>
          <w:rFonts w:ascii="Arial" w:cs="Arial" w:eastAsia="Arial" w:hAnsi="Arial"/>
          <w:sz w:val="15"/>
          <w:szCs w:val="15"/>
          <w:color w:val="auto"/>
        </w:rPr>
        <w:t>result of this evaluation, management concluded, as disclosed in the 2020 Form 10-K, that the Company’s internal control over financial reporting was not effective as of December 31, 2020, because of the material weaknesses in internal control over financial reporting discussed below.</w:t>
      </w:r>
    </w:p>
    <w:p>
      <w:pPr>
        <w:spacing w:after="0" w:line="43" w:lineRule="exact"/>
        <w:rPr>
          <w:sz w:val="20"/>
          <w:szCs w:val="20"/>
          <w:color w:val="auto"/>
        </w:rPr>
      </w:pPr>
    </w:p>
    <w:p>
      <w:pPr>
        <w:ind w:left="580" w:right="140" w:hanging="294"/>
        <w:spacing w:after="0" w:line="279" w:lineRule="auto"/>
        <w:tabs>
          <w:tab w:leader="none" w:pos="576"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Control Environment: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did not have a sufficient number of trained resources with assigned responsibility and accountability for the design, operation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documentation of internal control over financial reporting in accordance with the 2013 COSO Framework.</w:t>
      </w:r>
    </w:p>
    <w:p>
      <w:pPr>
        <w:spacing w:after="0" w:line="30" w:lineRule="exact"/>
        <w:rPr>
          <w:rFonts w:ascii="Arial" w:cs="Arial" w:eastAsia="Arial" w:hAnsi="Arial"/>
          <w:sz w:val="16"/>
          <w:szCs w:val="16"/>
          <w:color w:val="auto"/>
        </w:rPr>
      </w:pPr>
    </w:p>
    <w:p>
      <w:pPr>
        <w:ind w:left="580" w:hanging="294"/>
        <w:spacing w:after="0" w:line="265" w:lineRule="auto"/>
        <w:tabs>
          <w:tab w:leader="none" w:pos="576"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Risk Assessment: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did not have an effective risk assessment process that defined clear financial reporting objectives and evaluated risks,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fraud risks, and risks resulting from changes in the external environment and business operations, at a sufficient level of detail to identify all relevant risks of material misstatement across the entity.</w:t>
      </w:r>
    </w:p>
    <w:p>
      <w:pPr>
        <w:spacing w:after="0" w:line="54" w:lineRule="exact"/>
        <w:rPr>
          <w:rFonts w:ascii="Arial" w:cs="Arial" w:eastAsia="Arial" w:hAnsi="Arial"/>
          <w:sz w:val="16"/>
          <w:szCs w:val="16"/>
          <w:color w:val="auto"/>
        </w:rPr>
      </w:pPr>
    </w:p>
    <w:p>
      <w:pPr>
        <w:ind w:left="580" w:right="100" w:hanging="294"/>
        <w:spacing w:after="0" w:line="265" w:lineRule="auto"/>
        <w:tabs>
          <w:tab w:leader="none" w:pos="576"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Information and Communication: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did not have an effective information and communication process that identified and assessed the source of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controls necessary to ensure the reliability of information used in financial reporting and that communicates relevant information about roles and responsibilities for internal control over financial reporting.</w:t>
      </w:r>
    </w:p>
    <w:p>
      <w:pPr>
        <w:spacing w:after="0" w:line="54" w:lineRule="exact"/>
        <w:rPr>
          <w:rFonts w:ascii="Arial" w:cs="Arial" w:eastAsia="Arial" w:hAnsi="Arial"/>
          <w:sz w:val="16"/>
          <w:szCs w:val="16"/>
          <w:color w:val="auto"/>
        </w:rPr>
      </w:pPr>
    </w:p>
    <w:p>
      <w:pPr>
        <w:ind w:left="580" w:right="280" w:hanging="294"/>
        <w:spacing w:after="0" w:line="279" w:lineRule="auto"/>
        <w:tabs>
          <w:tab w:leader="none" w:pos="576"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Monitoring Activities: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did not have effective monitoring activities to assess the operation of internal control over financial reporting, including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continued appropriateness of control design and level of documentation maintained to support control effectiveness.</w:t>
      </w:r>
    </w:p>
    <w:p>
      <w:pPr>
        <w:spacing w:after="0" w:line="30" w:lineRule="exact"/>
        <w:rPr>
          <w:rFonts w:ascii="Arial" w:cs="Arial" w:eastAsia="Arial" w:hAnsi="Arial"/>
          <w:sz w:val="16"/>
          <w:szCs w:val="16"/>
          <w:color w:val="auto"/>
        </w:rPr>
      </w:pPr>
    </w:p>
    <w:p>
      <w:pPr>
        <w:ind w:left="580" w:right="220" w:hanging="294"/>
        <w:spacing w:after="0" w:line="314" w:lineRule="auto"/>
        <w:tabs>
          <w:tab w:leader="none" w:pos="576" w:val="left"/>
        </w:tabs>
        <w:numPr>
          <w:ilvl w:val="0"/>
          <w:numId w:val="23"/>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Control Activities: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a consequence of the material weaknesses described above, internal control deficiencies related to the design and operation of process-level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controls and general information technology controls were determined to be pervasive throughout the Company’s financial reporting processes.</w:t>
      </w:r>
    </w:p>
    <w:p>
      <w:pPr>
        <w:spacing w:after="0" w:line="19" w:lineRule="exact"/>
        <w:rPr>
          <w:sz w:val="20"/>
          <w:szCs w:val="20"/>
          <w:color w:val="auto"/>
        </w:rPr>
      </w:pPr>
    </w:p>
    <w:p>
      <w:pPr>
        <w:jc w:val="both"/>
        <w:ind w:right="40" w:firstLine="362"/>
        <w:spacing w:after="0" w:line="261" w:lineRule="auto"/>
        <w:rPr>
          <w:sz w:val="20"/>
          <w:szCs w:val="20"/>
          <w:color w:val="auto"/>
        </w:rPr>
      </w:pPr>
      <w:r>
        <w:rPr>
          <w:rFonts w:ascii="Arial" w:cs="Arial" w:eastAsia="Arial" w:hAnsi="Arial"/>
          <w:sz w:val="16"/>
          <w:szCs w:val="16"/>
          <w:color w:val="auto"/>
        </w:rPr>
        <w:t>While these material weaknesses did not result in material misstatements of the Company’s financial statements as of and for the year ended December 31, 2020, these material weaknesses create a reasonable possibility that a material misstatement of account balances or disclosures in annual or interim consolidated financial statements may not be prevented or detected in a timely manner. Accordingly, the Company concluded that the deficiencies represent material weaknesses in its internal control over financial reporting and its internal control over financial reporting was not effective as of December 31, 2020.</w:t>
      </w:r>
    </w:p>
    <w:p>
      <w:pPr>
        <w:spacing w:after="0" w:line="56" w:lineRule="exact"/>
        <w:rPr>
          <w:sz w:val="20"/>
          <w:szCs w:val="20"/>
          <w:color w:val="auto"/>
        </w:rPr>
      </w:pPr>
    </w:p>
    <w:p>
      <w:pPr>
        <w:ind w:right="80" w:firstLine="362"/>
        <w:spacing w:after="0" w:line="314" w:lineRule="auto"/>
        <w:rPr>
          <w:sz w:val="20"/>
          <w:szCs w:val="20"/>
          <w:color w:val="auto"/>
        </w:rPr>
      </w:pPr>
      <w:r>
        <w:rPr>
          <w:rFonts w:ascii="Arial" w:cs="Arial" w:eastAsia="Arial" w:hAnsi="Arial"/>
          <w:sz w:val="15"/>
          <w:szCs w:val="15"/>
          <w:color w:val="auto"/>
        </w:rPr>
        <w:t>The Company’s independent registered public accounting firm, KPMG LLP, which audited the 2020 consolidated financial statements included in the 2020 Form 10-K, expressed an adverse opinion on the operating effectiveness of the Company's internal control over financial reporting as of December 31, 2020.</w:t>
      </w:r>
    </w:p>
    <w:p>
      <w:pPr>
        <w:spacing w:after="0" w:line="7"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i w:val="1"/>
          <w:iCs w:val="1"/>
          <w:u w:val="single" w:color="auto"/>
          <w:color w:val="auto"/>
        </w:rPr>
        <w:t>Remediation Plan and Efforts to Address the Previously Identified Material Weaknesses</w:t>
      </w:r>
    </w:p>
    <w:p>
      <w:pPr>
        <w:spacing w:after="0" w:line="93" w:lineRule="exact"/>
        <w:rPr>
          <w:sz w:val="20"/>
          <w:szCs w:val="20"/>
          <w:color w:val="auto"/>
        </w:rPr>
      </w:pPr>
    </w:p>
    <w:p>
      <w:pPr>
        <w:ind w:right="20" w:firstLine="362"/>
        <w:spacing w:after="0" w:line="277" w:lineRule="auto"/>
        <w:rPr>
          <w:sz w:val="20"/>
          <w:szCs w:val="20"/>
          <w:color w:val="auto"/>
        </w:rPr>
      </w:pPr>
      <w:r>
        <w:rPr>
          <w:rFonts w:ascii="Arial" w:cs="Arial" w:eastAsia="Arial" w:hAnsi="Arial"/>
          <w:sz w:val="15"/>
          <w:szCs w:val="15"/>
          <w:color w:val="auto"/>
        </w:rPr>
        <w:t>To remediate the material weaknesses described above, the Company, with the oversight of the Audit Committee of the Board of Directors (“the Audit Committee”), has been pursuing the six remediation steps as originally identified in the Company’s Annual Report on Form 10-K for the year ended December 31, 2018. The Company’s remediation plan was designed with the assistance of management’s outside consultant, an internationally recognized accounting firm. The Company continues to work with its outside consultant to assist in completing the remediation plan and believes that its remediation plan will be sufficient to remediate the identified material weaknesses and strengthen its internal control over financial reporting. As the Company continues to evaluate, and works to improve, its internal control over financial reporting, management may determine that additional measures to address control deficiencies or modifications to the remediation plan are necessary.</w:t>
      </w:r>
    </w:p>
    <w:p>
      <w:pPr>
        <w:spacing w:after="0" w:line="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 date, the Company has accomplished or made substantial progress towards the following remediation steps:</w:t>
      </w:r>
    </w:p>
    <w:p>
      <w:pPr>
        <w:spacing w:after="0" w:line="81" w:lineRule="exact"/>
        <w:rPr>
          <w:sz w:val="20"/>
          <w:szCs w:val="20"/>
          <w:color w:val="auto"/>
        </w:rPr>
      </w:pPr>
    </w:p>
    <w:p>
      <w:pPr>
        <w:ind w:left="560" w:hanging="274"/>
        <w:spacing w:after="0"/>
        <w:tabs>
          <w:tab w:leader="none" w:pos="5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Identified material processes and significant locations for the purpose of identifying risks of material misstatement to the Company’s financial statements.</w:t>
      </w:r>
    </w:p>
    <w:p>
      <w:pPr>
        <w:spacing w:after="0" w:line="104" w:lineRule="exact"/>
        <w:rPr>
          <w:rFonts w:ascii="Arial" w:cs="Arial" w:eastAsia="Arial" w:hAnsi="Arial"/>
          <w:sz w:val="15"/>
          <w:szCs w:val="15"/>
          <w:color w:val="auto"/>
        </w:rPr>
      </w:pPr>
    </w:p>
    <w:p>
      <w:pPr>
        <w:ind w:left="580" w:hanging="294"/>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Documented significant elements of a comprehensive risk assessment and internal control gap analysis and commenced the validation thereof with key stakeholders.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4" w:name="page45"/>
    <w:bookmarkEnd w:id="44"/>
    <w:p>
      <w:pPr>
        <w:ind w:left="580" w:right="160" w:hanging="294"/>
        <w:spacing w:after="0" w:line="279" w:lineRule="auto"/>
        <w:tabs>
          <w:tab w:leader="none" w:pos="571"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Conducted company-wide interviews to ensure an understanding of the activities involved in the recording of transactions within material processes throughout the Company.</w:t>
      </w:r>
    </w:p>
    <w:p>
      <w:pPr>
        <w:spacing w:after="0" w:line="30" w:lineRule="exact"/>
        <w:rPr>
          <w:rFonts w:ascii="Arial" w:cs="Arial" w:eastAsia="Arial" w:hAnsi="Arial"/>
          <w:sz w:val="16"/>
          <w:szCs w:val="16"/>
          <w:color w:val="auto"/>
        </w:rPr>
      </w:pPr>
    </w:p>
    <w:p>
      <w:pPr>
        <w:ind w:left="580" w:hanging="294"/>
        <w:spacing w:after="0" w:line="283" w:lineRule="auto"/>
        <w:tabs>
          <w:tab w:leader="none" w:pos="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Completed a comprehensive review and update, as necessary, of the documentation of relevant processes, policies and procedures, and design of over 350 relevant controls across the organization with respect to the Company’s internal control over financial reporting, inclusive of relevant business process and information technology controls. With assistance from management’s outside consultant, the Company is in the process of implementation of new or redesigned internal controls, including ensuring that sufficient documentation will be available to evidence the performance of the such internal controls.</w:t>
      </w:r>
    </w:p>
    <w:p>
      <w:pPr>
        <w:spacing w:after="0" w:line="42" w:lineRule="exact"/>
        <w:rPr>
          <w:rFonts w:ascii="Arial" w:cs="Arial" w:eastAsia="Arial" w:hAnsi="Arial"/>
          <w:sz w:val="15"/>
          <w:szCs w:val="15"/>
          <w:color w:val="auto"/>
        </w:rPr>
      </w:pPr>
    </w:p>
    <w:p>
      <w:pPr>
        <w:ind w:left="580" w:right="640" w:hanging="294"/>
        <w:spacing w:after="0" w:line="265" w:lineRule="auto"/>
        <w:tabs>
          <w:tab w:leader="none" w:pos="571" w:val="left"/>
        </w:tabs>
        <w:numPr>
          <w:ilvl w:val="0"/>
          <w:numId w:val="25"/>
        </w:numPr>
        <w:rPr>
          <w:rFonts w:ascii="Arial" w:cs="Arial" w:eastAsia="Arial" w:hAnsi="Arial"/>
          <w:sz w:val="16"/>
          <w:szCs w:val="16"/>
          <w:color w:val="auto"/>
        </w:rPr>
      </w:pPr>
      <w:r>
        <w:rPr>
          <w:rFonts w:ascii="Arial" w:cs="Arial" w:eastAsia="Arial" w:hAnsi="Arial"/>
          <w:sz w:val="16"/>
          <w:szCs w:val="16"/>
          <w:color w:val="auto"/>
        </w:rPr>
        <w:t>Evaluated components of the Company’s internal control under the 2013 COSO Framework to ensure that controls are present, functioning and able to be appropriately evidenced. Pursuant to this evaluation process, the Company is in the process of implementing enhanced controls pertaining to the conduct of management’s evaluation of internal controls over financial reporting.</w:t>
      </w:r>
    </w:p>
    <w:p>
      <w:pPr>
        <w:spacing w:after="0" w:line="54" w:lineRule="exact"/>
        <w:rPr>
          <w:rFonts w:ascii="Arial" w:cs="Arial" w:eastAsia="Arial" w:hAnsi="Arial"/>
          <w:sz w:val="16"/>
          <w:szCs w:val="16"/>
          <w:color w:val="auto"/>
        </w:rPr>
      </w:pPr>
    </w:p>
    <w:p>
      <w:pPr>
        <w:ind w:left="580" w:right="120" w:hanging="294"/>
        <w:spacing w:after="0" w:line="255" w:lineRule="auto"/>
        <w:tabs>
          <w:tab w:leader="none" w:pos="577" w:val="left"/>
        </w:tabs>
        <w:numPr>
          <w:ilvl w:val="0"/>
          <w:numId w:val="25"/>
        </w:numPr>
        <w:rPr>
          <w:rFonts w:ascii="Arial" w:cs="Arial" w:eastAsia="Arial" w:hAnsi="Arial"/>
          <w:sz w:val="16"/>
          <w:szCs w:val="16"/>
          <w:color w:val="auto"/>
        </w:rPr>
      </w:pPr>
      <w:r>
        <w:rPr>
          <w:rFonts w:ascii="Arial" w:cs="Arial" w:eastAsia="Arial" w:hAnsi="Arial"/>
          <w:sz w:val="16"/>
          <w:szCs w:val="16"/>
          <w:color w:val="auto"/>
        </w:rPr>
        <w:t>With the assistance of management’s outside consultant and the newly created Tredegar internal control compliance office, the Company continues to conduct additional training with the individual control owners across the organization with respect to the operation of the new and redesigned controls and documentation necessary to evidence their implementation and effective operation. Additionally, the Company continues to recruit, hire, train and retain additional skilled and experienced management personnel to fill additional roles across the organization. To date, the Company has hired additional finance controllers for its Aluminum Extrusions business, created an assistant controller’s position at Tredegar corporate headquarters, and, reallocated roles and responsibilities of the Company’s accounting personnel, that previously supported a significant divested business, to further support its remediation objectives and ongoing operations. The Company has also created a Sarbanes-Oxley Act of 2002 compliance group charged with monitoring the control environment and has also increased resources within its internal audit function.</w:t>
      </w:r>
    </w:p>
    <w:p>
      <w:pPr>
        <w:spacing w:after="0" w:line="53" w:lineRule="exact"/>
        <w:rPr>
          <w:sz w:val="20"/>
          <w:szCs w:val="20"/>
          <w:color w:val="auto"/>
        </w:rPr>
      </w:pPr>
    </w:p>
    <w:p>
      <w:pPr>
        <w:ind w:right="20" w:firstLine="362"/>
        <w:spacing w:after="0" w:line="295" w:lineRule="auto"/>
        <w:rPr>
          <w:sz w:val="20"/>
          <w:szCs w:val="20"/>
          <w:color w:val="auto"/>
        </w:rPr>
      </w:pPr>
      <w:r>
        <w:rPr>
          <w:rFonts w:ascii="Arial" w:cs="Arial" w:eastAsia="Arial" w:hAnsi="Arial"/>
          <w:sz w:val="14"/>
          <w:szCs w:val="14"/>
          <w:color w:val="auto"/>
        </w:rPr>
        <w:t>The Company’s remediation efforts are ongoing, and the Company will continue its initiatives to implement and document policies and procedures and strengthen the Company’s internal control environment. Remediation of the identified material weaknesses and strengthening the Company’s internal control environment has required a substantial effort since 2018, and those efforts have continued in 2021. The Company previously expected the implementation of the Company’s new and revised controls to begin in the second half of 2021, with the testing of such controls to continue through the filing of the 2021 Annual Report on Form 10-K. However, during the preparation of the Company’s financial statements for the third quarter of 2021, the Company observed that its remediation efforts have been temporarily impacted due to factors including, but not limited to, the COVID-19 pandemic, the need for additional training and turnover in positions relevant to internal controls. As a result, the Company has concluded that remediation of the identified material weaknesses will not be completed in 2021 and more time is necessary to permit the new and redesigned controls to be implemented and operate effectively, including allowing for additional time to train control owners as part of the successful implementation of the revised system of internal controls over financial reporting. The Company expects to complete the implementation of the new and revised controls in the first half 2022.</w:t>
      </w:r>
    </w:p>
    <w:p>
      <w:pPr>
        <w:spacing w:after="0" w:line="41" w:lineRule="exact"/>
        <w:rPr>
          <w:sz w:val="20"/>
          <w:szCs w:val="20"/>
          <w:color w:val="auto"/>
        </w:rPr>
      </w:pPr>
    </w:p>
    <w:p>
      <w:pPr>
        <w:jc w:val="both"/>
        <w:ind w:right="140" w:firstLine="362"/>
        <w:spacing w:after="0" w:line="258" w:lineRule="auto"/>
        <w:rPr>
          <w:sz w:val="20"/>
          <w:szCs w:val="20"/>
          <w:color w:val="auto"/>
        </w:rPr>
      </w:pPr>
      <w:r>
        <w:rPr>
          <w:rFonts w:ascii="Arial" w:cs="Arial" w:eastAsia="Arial" w:hAnsi="Arial"/>
          <w:sz w:val="16"/>
          <w:szCs w:val="16"/>
          <w:color w:val="auto"/>
        </w:rPr>
        <w:t>The Company continues to monitor the impact of employee turnover, the COVID-19 pandemic and other external factors on its remediation plan and its assessment of internal control over financial reporting. The material weaknesses cannot be considered remediated until the applicable controls have operated for a sufficient period of time and management has concluded, through testing, that these controls are operating effectively. The Company cannot assure you when it will remediate such weaknesses, nor can it be certain whether additional actions will be required or the costs of any such actions. Moreover, the Company cannot assure you that additional material weaknesses will not arise in the future.</w:t>
      </w:r>
    </w:p>
    <w:p>
      <w:pPr>
        <w:spacing w:after="0" w:line="61" w:lineRule="exact"/>
        <w:rPr>
          <w:sz w:val="20"/>
          <w:szCs w:val="20"/>
          <w:color w:val="auto"/>
        </w:rPr>
      </w:pPr>
    </w:p>
    <w:p>
      <w:pPr>
        <w:jc w:val="center"/>
        <w:ind w:left="360"/>
        <w:spacing w:after="0"/>
        <w:rPr>
          <w:sz w:val="20"/>
          <w:szCs w:val="20"/>
          <w:color w:val="auto"/>
        </w:rPr>
      </w:pPr>
      <w:r>
        <w:rPr>
          <w:rFonts w:ascii="Arial" w:cs="Arial" w:eastAsia="Arial" w:hAnsi="Arial"/>
          <w:sz w:val="16"/>
          <w:szCs w:val="16"/>
          <w:b w:val="1"/>
          <w:bCs w:val="1"/>
          <w:i w:val="1"/>
          <w:iCs w:val="1"/>
          <w:u w:val="single" w:color="auto"/>
          <w:color w:val="auto"/>
        </w:rPr>
        <w:t>Changes in Internal Control Over Financial Reporting</w:t>
      </w:r>
    </w:p>
    <w:p>
      <w:pPr>
        <w:spacing w:after="0" w:line="81" w:lineRule="exact"/>
        <w:rPr>
          <w:sz w:val="20"/>
          <w:szCs w:val="20"/>
          <w:color w:val="auto"/>
        </w:rPr>
      </w:pPr>
    </w:p>
    <w:p>
      <w:pPr>
        <w:ind w:right="40" w:firstLine="362"/>
        <w:spacing w:after="0" w:line="261" w:lineRule="auto"/>
        <w:rPr>
          <w:sz w:val="20"/>
          <w:szCs w:val="20"/>
          <w:color w:val="auto"/>
        </w:rPr>
      </w:pPr>
      <w:r>
        <w:rPr>
          <w:rFonts w:ascii="Arial" w:cs="Arial" w:eastAsia="Arial" w:hAnsi="Arial"/>
          <w:sz w:val="16"/>
          <w:szCs w:val="16"/>
          <w:color w:val="auto"/>
        </w:rPr>
        <w:t>The Company is in the process of implementing certain changes in its internal controls to remediate the material weaknesses as described above. The implementation of the material aspects of this plan began in the second quarter of 2019. Except as noted above with respect to the implementation of the remediation plan, there has been no change in the Company’s internal control over financial reporting during the quarter ended September 30, 2021, that has materially affected, or is reasonably likely to materially affect, its internal control over financial reporting.</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 OTHER INFORMATION</w:t>
      </w:r>
    </w:p>
    <w:p>
      <w:pPr>
        <w:spacing w:after="0" w:line="93"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85" w:lineRule="exact"/>
        <w:rPr>
          <w:sz w:val="20"/>
          <w:szCs w:val="20"/>
          <w:color w:val="auto"/>
        </w:rPr>
      </w:pPr>
    </w:p>
    <w:p>
      <w:pPr>
        <w:ind w:right="140" w:firstLine="362"/>
        <w:spacing w:after="0" w:line="353" w:lineRule="auto"/>
        <w:rPr>
          <w:sz w:val="20"/>
          <w:szCs w:val="20"/>
          <w:color w:val="auto"/>
        </w:rPr>
      </w:pPr>
      <w:r>
        <w:rPr>
          <w:rFonts w:ascii="Arial" w:cs="Arial" w:eastAsia="Arial" w:hAnsi="Arial"/>
          <w:sz w:val="14"/>
          <w:szCs w:val="14"/>
          <w:color w:val="auto"/>
        </w:rPr>
        <w:t>As disclosed in “Item 1A. Risk Factors” in the 2020 Form 10-K, there are a number of risks and uncertainties that can have a material effect on the operating results of our businesses and our financial condition. There are no additional material updates or changes to our risk factors previously disclosed in the 2020 Form 10-K.</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20"/>
          </w:cols>
          <w:pgMar w:left="320" w:top="899" w:right="3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9"/>
        </w:trPr>
        <w:tc>
          <w:tcPr>
            <w:tcW w:w="56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10660" w:type="dxa"/>
            <w:vAlign w:val="bottom"/>
            <w:gridSpan w:val="10"/>
          </w:tcPr>
          <w:p>
            <w:pPr>
              <w:ind w:left="80"/>
              <w:spacing w:after="0"/>
              <w:rPr>
                <w:sz w:val="20"/>
                <w:szCs w:val="20"/>
                <w:color w:val="auto"/>
              </w:rPr>
            </w:pPr>
            <w:r>
              <w:rPr>
                <w:rFonts w:ascii="Arial" w:cs="Arial" w:eastAsia="Arial" w:hAnsi="Arial"/>
                <w:sz w:val="16"/>
                <w:szCs w:val="16"/>
                <w:b w:val="1"/>
                <w:bCs w:val="1"/>
                <w:color w:val="auto"/>
              </w:rPr>
              <w:t>Exhibits.</w:t>
            </w:r>
          </w:p>
        </w:tc>
      </w:tr>
      <w:tr>
        <w:trPr>
          <w:trHeight w:val="24"/>
        </w:trPr>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9"/>
        </w:trPr>
        <w:tc>
          <w:tcPr>
            <w:tcW w:w="5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31.1</w:t>
            </w:r>
          </w:p>
        </w:tc>
        <w:tc>
          <w:tcPr>
            <w:tcW w:w="620" w:type="dxa"/>
            <w:vAlign w:val="bottom"/>
            <w:shd w:val="clear" w:color="auto" w:fill="CCEEFF"/>
          </w:tcPr>
          <w:p>
            <w:pPr>
              <w:spacing w:after="0"/>
              <w:rPr>
                <w:sz w:val="14"/>
                <w:szCs w:val="14"/>
                <w:color w:val="auto"/>
              </w:rPr>
            </w:pPr>
          </w:p>
        </w:tc>
        <w:tc>
          <w:tcPr>
            <w:tcW w:w="10040" w:type="dxa"/>
            <w:vAlign w:val="bottom"/>
            <w:gridSpan w:val="9"/>
            <w:shd w:val="clear" w:color="auto" w:fill="CCEEFF"/>
          </w:tcPr>
          <w:p>
            <w:pPr>
              <w:spacing w:after="0" w:line="169" w:lineRule="exact"/>
              <w:rPr>
                <w:rFonts w:ascii="Arial" w:cs="Arial" w:eastAsia="Arial" w:hAnsi="Arial"/>
                <w:sz w:val="16"/>
                <w:szCs w:val="16"/>
                <w:color w:val="0000FF"/>
                <w:w w:val="97"/>
              </w:rPr>
            </w:pPr>
            <w:hyperlink w:anchor="page48">
              <w:r>
                <w:rPr>
                  <w:rFonts w:ascii="Arial" w:cs="Arial" w:eastAsia="Arial" w:hAnsi="Arial"/>
                  <w:sz w:val="16"/>
                  <w:szCs w:val="16"/>
                  <w:color w:val="0000FF"/>
                  <w:w w:val="97"/>
                </w:rPr>
                <w:t>Certification of President and Chief Executive Officer of Tredegar Corporation, pursuant to Rules 13a-14(a) and 15d-14(a) promulgated under the</w:t>
              </w:r>
            </w:hyperlink>
          </w:p>
        </w:tc>
      </w:tr>
      <w:tr>
        <w:trPr>
          <w:trHeight w:val="153"/>
        </w:trPr>
        <w:tc>
          <w:tcPr>
            <w:tcW w:w="56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CCEEFF"/>
              <w:bottom w:val="single" w:sz="8" w:color="CCEEFF"/>
            </w:tcBorders>
            <w:shd w:val="clear" w:color="auto" w:fill="CCEEFF"/>
          </w:tcPr>
          <w:p>
            <w:pPr>
              <w:spacing w:after="0"/>
              <w:rPr>
                <w:sz w:val="13"/>
                <w:szCs w:val="13"/>
                <w:color w:val="auto"/>
              </w:rPr>
            </w:pPr>
          </w:p>
        </w:tc>
        <w:tc>
          <w:tcPr>
            <w:tcW w:w="6780" w:type="dxa"/>
            <w:vAlign w:val="bottom"/>
            <w:tcBorders>
              <w:top w:val="single" w:sz="8" w:color="0000FF"/>
              <w:bottom w:val="single" w:sz="8" w:color="0000FF"/>
            </w:tcBorders>
            <w:gridSpan w:val="3"/>
            <w:shd w:val="clear" w:color="auto" w:fill="CCEEFF"/>
          </w:tcPr>
          <w:p>
            <w:pPr>
              <w:spacing w:after="0" w:line="137" w:lineRule="exact"/>
              <w:rPr>
                <w:rFonts w:ascii="Arial" w:cs="Arial" w:eastAsia="Arial" w:hAnsi="Arial"/>
                <w:sz w:val="15"/>
                <w:szCs w:val="15"/>
                <w:color w:val="0000FF"/>
                <w:w w:val="96"/>
              </w:rPr>
            </w:pPr>
            <w:hyperlink w:anchor="page48">
              <w:r>
                <w:rPr>
                  <w:rFonts w:ascii="Arial" w:cs="Arial" w:eastAsia="Arial" w:hAnsi="Arial"/>
                  <w:sz w:val="15"/>
                  <w:szCs w:val="15"/>
                  <w:color w:val="0000FF"/>
                  <w:w w:val="96"/>
                </w:rPr>
                <w:t>Securities Exchange Act of 1934, as adopted pursuant to Section 302 of the Sarbanes-Oxley Act of 2002.</w:t>
              </w:r>
            </w:hyperlink>
          </w:p>
        </w:tc>
        <w:tc>
          <w:tcPr>
            <w:tcW w:w="2620" w:type="dxa"/>
            <w:vAlign w:val="bottom"/>
            <w:tcBorders>
              <w:top w:val="single" w:sz="8" w:color="0000FF"/>
              <w:bottom w:val="single" w:sz="8" w:color="CCEEFF"/>
            </w:tcBorders>
            <w:gridSpan w:val="2"/>
            <w:shd w:val="clear" w:color="auto" w:fill="CCEEFF"/>
          </w:tcPr>
          <w:p>
            <w:pPr>
              <w:spacing w:after="0"/>
              <w:rPr>
                <w:sz w:val="13"/>
                <w:szCs w:val="13"/>
                <w:color w:val="auto"/>
              </w:rPr>
            </w:pP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69"/>
        </w:trPr>
        <w:tc>
          <w:tcPr>
            <w:tcW w:w="560" w:type="dxa"/>
            <w:vAlign w:val="bottom"/>
          </w:tcPr>
          <w:p>
            <w:pPr>
              <w:ind w:left="20"/>
              <w:spacing w:after="0" w:line="169" w:lineRule="exact"/>
              <w:rPr>
                <w:sz w:val="20"/>
                <w:szCs w:val="20"/>
                <w:color w:val="auto"/>
              </w:rPr>
            </w:pPr>
            <w:r>
              <w:rPr>
                <w:rFonts w:ascii="Arial" w:cs="Arial" w:eastAsia="Arial" w:hAnsi="Arial"/>
                <w:sz w:val="16"/>
                <w:szCs w:val="16"/>
                <w:color w:val="auto"/>
              </w:rPr>
              <w:t>31.2</w:t>
            </w:r>
          </w:p>
        </w:tc>
        <w:tc>
          <w:tcPr>
            <w:tcW w:w="620" w:type="dxa"/>
            <w:vAlign w:val="bottom"/>
          </w:tcPr>
          <w:p>
            <w:pPr>
              <w:spacing w:after="0"/>
              <w:rPr>
                <w:sz w:val="14"/>
                <w:szCs w:val="14"/>
                <w:color w:val="auto"/>
              </w:rPr>
            </w:pPr>
          </w:p>
        </w:tc>
        <w:tc>
          <w:tcPr>
            <w:tcW w:w="10040" w:type="dxa"/>
            <w:vAlign w:val="bottom"/>
            <w:gridSpan w:val="9"/>
          </w:tcPr>
          <w:p>
            <w:pPr>
              <w:spacing w:after="0" w:line="169" w:lineRule="exact"/>
              <w:rPr>
                <w:rFonts w:ascii="Arial" w:cs="Arial" w:eastAsia="Arial" w:hAnsi="Arial"/>
                <w:sz w:val="16"/>
                <w:szCs w:val="16"/>
                <w:color w:val="0000FF"/>
                <w:w w:val="94"/>
              </w:rPr>
            </w:pPr>
            <w:hyperlink w:anchor="page49">
              <w:r>
                <w:rPr>
                  <w:rFonts w:ascii="Arial" w:cs="Arial" w:eastAsia="Arial" w:hAnsi="Arial"/>
                  <w:sz w:val="16"/>
                  <w:szCs w:val="16"/>
                  <w:color w:val="0000FF"/>
                  <w:w w:val="94"/>
                </w:rPr>
                <w:t>Certification of Executive Vice President and Chief Financial Officer of Tredegar Corporation, pursuant to Rules 13a-14(a) and 15d-14(a) promulgated</w:t>
              </w:r>
            </w:hyperlink>
          </w:p>
        </w:tc>
      </w:tr>
      <w:tr>
        <w:trPr>
          <w:trHeight w:val="145"/>
        </w:trPr>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20" w:type="dxa"/>
            <w:vAlign w:val="bottom"/>
            <w:tcBorders>
              <w:top w:val="single" w:sz="8" w:color="0000FF"/>
              <w:bottom w:val="single" w:sz="8" w:color="0000FF"/>
            </w:tcBorders>
            <w:gridSpan w:val="4"/>
          </w:tcPr>
          <w:p>
            <w:pPr>
              <w:spacing w:after="0" w:line="137" w:lineRule="exact"/>
              <w:rPr>
                <w:rFonts w:ascii="Arial" w:cs="Arial" w:eastAsia="Arial" w:hAnsi="Arial"/>
                <w:sz w:val="15"/>
                <w:szCs w:val="15"/>
                <w:color w:val="0000FF"/>
                <w:w w:val="96"/>
              </w:rPr>
            </w:pPr>
            <w:hyperlink w:anchor="page49">
              <w:r>
                <w:rPr>
                  <w:rFonts w:ascii="Arial" w:cs="Arial" w:eastAsia="Arial" w:hAnsi="Arial"/>
                  <w:sz w:val="15"/>
                  <w:szCs w:val="15"/>
                  <w:color w:val="0000FF"/>
                  <w:w w:val="96"/>
                </w:rPr>
                <w:t>under the Securities Exchange Act of 1934, as adopted pursuant to Section 302 of the Sarbanes-Oxley Act of 2002.</w:t>
              </w:r>
            </w:hyperlink>
          </w:p>
        </w:tc>
        <w:tc>
          <w:tcPr>
            <w:tcW w:w="2320" w:type="dxa"/>
            <w:vAlign w:val="bottom"/>
            <w:tcBorders>
              <w:top w:val="single" w:sz="8" w:color="0000FF"/>
            </w:tcBorders>
            <w:gridSpan w:val="2"/>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7"/>
        </w:trPr>
        <w:tc>
          <w:tcPr>
            <w:tcW w:w="56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32.1</w:t>
            </w:r>
          </w:p>
        </w:tc>
        <w:tc>
          <w:tcPr>
            <w:tcW w:w="620" w:type="dxa"/>
            <w:vAlign w:val="bottom"/>
            <w:shd w:val="clear" w:color="auto" w:fill="CCEEFF"/>
          </w:tcPr>
          <w:p>
            <w:pPr>
              <w:spacing w:after="0"/>
              <w:rPr>
                <w:sz w:val="15"/>
                <w:szCs w:val="15"/>
                <w:color w:val="auto"/>
              </w:rPr>
            </w:pPr>
          </w:p>
        </w:tc>
        <w:tc>
          <w:tcPr>
            <w:tcW w:w="10040" w:type="dxa"/>
            <w:vAlign w:val="bottom"/>
            <w:gridSpan w:val="9"/>
            <w:shd w:val="clear" w:color="auto" w:fill="CCEEFF"/>
          </w:tcPr>
          <w:p>
            <w:pPr>
              <w:spacing w:after="0" w:line="177" w:lineRule="exact"/>
              <w:rPr>
                <w:rFonts w:ascii="Arial" w:cs="Arial" w:eastAsia="Arial" w:hAnsi="Arial"/>
                <w:sz w:val="16"/>
                <w:szCs w:val="16"/>
                <w:color w:val="0000FF"/>
                <w:w w:val="92"/>
              </w:rPr>
            </w:pPr>
            <w:hyperlink w:anchor="page50">
              <w:r>
                <w:rPr>
                  <w:rFonts w:ascii="Arial" w:cs="Arial" w:eastAsia="Arial" w:hAnsi="Arial"/>
                  <w:sz w:val="16"/>
                  <w:szCs w:val="16"/>
                  <w:color w:val="0000FF"/>
                  <w:w w:val="92"/>
                </w:rPr>
                <w:t>Certification of President and Chief Executive Officer of Tredegar Corporation, pursuant to 18 U.S.C. Section 1350, as adopted pursuant to Section 906 of</w:t>
              </w:r>
            </w:hyperlink>
          </w:p>
        </w:tc>
      </w:tr>
      <w:tr>
        <w:trPr>
          <w:trHeight w:val="153"/>
        </w:trPr>
        <w:tc>
          <w:tcPr>
            <w:tcW w:w="56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CCEEFF"/>
              <w:bottom w:val="single" w:sz="8" w:color="CCEEFF"/>
            </w:tcBorders>
            <w:shd w:val="clear" w:color="auto" w:fill="CCEEFF"/>
          </w:tcPr>
          <w:p>
            <w:pPr>
              <w:spacing w:after="0"/>
              <w:rPr>
                <w:sz w:val="13"/>
                <w:szCs w:val="13"/>
                <w:color w:val="auto"/>
              </w:rPr>
            </w:pPr>
          </w:p>
        </w:tc>
        <w:tc>
          <w:tcPr>
            <w:tcW w:w="2120" w:type="dxa"/>
            <w:vAlign w:val="bottom"/>
            <w:tcBorders>
              <w:top w:val="single" w:sz="8" w:color="0000FF"/>
              <w:bottom w:val="single" w:sz="8" w:color="0000FF"/>
            </w:tcBorders>
            <w:shd w:val="clear" w:color="auto" w:fill="CCEEFF"/>
          </w:tcPr>
          <w:p>
            <w:pPr>
              <w:spacing w:after="0" w:line="137" w:lineRule="exact"/>
              <w:rPr>
                <w:rFonts w:ascii="Arial" w:cs="Arial" w:eastAsia="Arial" w:hAnsi="Arial"/>
                <w:sz w:val="15"/>
                <w:szCs w:val="15"/>
                <w:color w:val="0000FF"/>
                <w:w w:val="96"/>
              </w:rPr>
            </w:pPr>
            <w:hyperlink w:anchor="page50">
              <w:r>
                <w:rPr>
                  <w:rFonts w:ascii="Arial" w:cs="Arial" w:eastAsia="Arial" w:hAnsi="Arial"/>
                  <w:sz w:val="15"/>
                  <w:szCs w:val="15"/>
                  <w:color w:val="0000FF"/>
                  <w:w w:val="96"/>
                </w:rPr>
                <w:t>the Sarbanes-Oxley Act of 2002.</w:t>
              </w:r>
            </w:hyperlink>
          </w:p>
        </w:tc>
        <w:tc>
          <w:tcPr>
            <w:tcW w:w="7840" w:type="dxa"/>
            <w:vAlign w:val="bottom"/>
            <w:tcBorders>
              <w:top w:val="single" w:sz="8" w:color="0000FF"/>
              <w:bottom w:val="single" w:sz="8" w:color="CCEEFF"/>
            </w:tcBorders>
            <w:gridSpan w:val="7"/>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69"/>
        </w:trPr>
        <w:tc>
          <w:tcPr>
            <w:tcW w:w="560" w:type="dxa"/>
            <w:vAlign w:val="bottom"/>
          </w:tcPr>
          <w:p>
            <w:pPr>
              <w:ind w:left="20"/>
              <w:spacing w:after="0" w:line="169" w:lineRule="exact"/>
              <w:rPr>
                <w:sz w:val="20"/>
                <w:szCs w:val="20"/>
                <w:color w:val="auto"/>
              </w:rPr>
            </w:pPr>
            <w:r>
              <w:rPr>
                <w:rFonts w:ascii="Arial" w:cs="Arial" w:eastAsia="Arial" w:hAnsi="Arial"/>
                <w:sz w:val="16"/>
                <w:szCs w:val="16"/>
                <w:color w:val="auto"/>
              </w:rPr>
              <w:t>32.2</w:t>
            </w:r>
          </w:p>
        </w:tc>
        <w:tc>
          <w:tcPr>
            <w:tcW w:w="620" w:type="dxa"/>
            <w:vAlign w:val="bottom"/>
          </w:tcPr>
          <w:p>
            <w:pPr>
              <w:spacing w:after="0"/>
              <w:rPr>
                <w:sz w:val="14"/>
                <w:szCs w:val="14"/>
                <w:color w:val="auto"/>
              </w:rPr>
            </w:pPr>
          </w:p>
        </w:tc>
        <w:tc>
          <w:tcPr>
            <w:tcW w:w="10040" w:type="dxa"/>
            <w:vAlign w:val="bottom"/>
            <w:gridSpan w:val="9"/>
          </w:tcPr>
          <w:p>
            <w:pPr>
              <w:spacing w:after="0" w:line="169" w:lineRule="exact"/>
              <w:rPr>
                <w:rFonts w:ascii="Arial" w:cs="Arial" w:eastAsia="Arial" w:hAnsi="Arial"/>
                <w:sz w:val="16"/>
                <w:szCs w:val="16"/>
                <w:color w:val="0000FF"/>
                <w:w w:val="92"/>
              </w:rPr>
            </w:pPr>
            <w:hyperlink w:anchor="page51">
              <w:r>
                <w:rPr>
                  <w:rFonts w:ascii="Arial" w:cs="Arial" w:eastAsia="Arial" w:hAnsi="Arial"/>
                  <w:sz w:val="16"/>
                  <w:szCs w:val="16"/>
                  <w:color w:val="0000FF"/>
                  <w:w w:val="92"/>
                </w:rPr>
                <w:t>Certification of Executive Vice President and Chief Financial Officer of Tredegar Corporation, pursuant to 18 U.S.C. Section 1350, as adopted pursuant to</w:t>
              </w:r>
            </w:hyperlink>
          </w:p>
        </w:tc>
      </w:tr>
      <w:tr>
        <w:trPr>
          <w:trHeight w:val="145"/>
        </w:trPr>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00" w:type="dxa"/>
            <w:vAlign w:val="bottom"/>
            <w:tcBorders>
              <w:top w:val="single" w:sz="8" w:color="0000FF"/>
              <w:bottom w:val="single" w:sz="8" w:color="0000FF"/>
            </w:tcBorders>
            <w:gridSpan w:val="2"/>
          </w:tcPr>
          <w:p>
            <w:pPr>
              <w:spacing w:after="0" w:line="137" w:lineRule="exact"/>
              <w:rPr>
                <w:rFonts w:ascii="Arial" w:cs="Arial" w:eastAsia="Arial" w:hAnsi="Arial"/>
                <w:sz w:val="15"/>
                <w:szCs w:val="15"/>
                <w:color w:val="0000FF"/>
                <w:w w:val="97"/>
              </w:rPr>
            </w:pPr>
            <w:hyperlink w:anchor="page51">
              <w:r>
                <w:rPr>
                  <w:rFonts w:ascii="Arial" w:cs="Arial" w:eastAsia="Arial" w:hAnsi="Arial"/>
                  <w:sz w:val="15"/>
                  <w:szCs w:val="15"/>
                  <w:color w:val="0000FF"/>
                  <w:w w:val="97"/>
                </w:rPr>
                <w:t>Section 906 of the Sarbanes-Oxley Act of 2002.</w:t>
              </w:r>
            </w:hyperlink>
          </w:p>
        </w:tc>
        <w:tc>
          <w:tcPr>
            <w:tcW w:w="6840" w:type="dxa"/>
            <w:vAlign w:val="bottom"/>
            <w:tcBorders>
              <w:top w:val="single" w:sz="8" w:color="0000FF"/>
            </w:tcBorders>
            <w:gridSpan w:val="5"/>
          </w:tcPr>
          <w:p>
            <w:pPr>
              <w:spacing w:after="0"/>
              <w:rPr>
                <w:sz w:val="12"/>
                <w:szCs w:val="12"/>
                <w:color w:val="auto"/>
              </w:rPr>
            </w:pPr>
          </w:p>
        </w:tc>
        <w:tc>
          <w:tcPr>
            <w:tcW w:w="100" w:type="dxa"/>
            <w:vAlign w:val="bottom"/>
            <w:gridSpan w:val="2"/>
          </w:tcPr>
          <w:p>
            <w:pPr>
              <w:spacing w:after="0"/>
              <w:rPr>
                <w:sz w:val="12"/>
                <w:szCs w:val="12"/>
                <w:color w:val="auto"/>
              </w:rPr>
            </w:pPr>
          </w:p>
        </w:tc>
      </w:tr>
      <w:tr>
        <w:trPr>
          <w:trHeight w:val="213"/>
        </w:trPr>
        <w:tc>
          <w:tcPr>
            <w:tcW w:w="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w:t>
            </w:r>
          </w:p>
        </w:tc>
        <w:tc>
          <w:tcPr>
            <w:tcW w:w="620" w:type="dxa"/>
            <w:vAlign w:val="bottom"/>
            <w:shd w:val="clear" w:color="auto" w:fill="CCEEFF"/>
          </w:tcPr>
          <w:p>
            <w:pPr>
              <w:spacing w:after="0"/>
              <w:rPr>
                <w:sz w:val="18"/>
                <w:szCs w:val="18"/>
                <w:color w:val="auto"/>
              </w:rPr>
            </w:pPr>
          </w:p>
        </w:tc>
        <w:tc>
          <w:tcPr>
            <w:tcW w:w="10040" w:type="dxa"/>
            <w:vAlign w:val="bottom"/>
            <w:gridSpan w:val="9"/>
            <w:shd w:val="clear" w:color="auto" w:fill="CCEEFF"/>
          </w:tcPr>
          <w:p>
            <w:pPr>
              <w:spacing w:after="0"/>
              <w:rPr>
                <w:sz w:val="20"/>
                <w:szCs w:val="20"/>
                <w:color w:val="auto"/>
              </w:rPr>
            </w:pPr>
            <w:r>
              <w:rPr>
                <w:rFonts w:ascii="Arial" w:cs="Arial" w:eastAsia="Arial" w:hAnsi="Arial"/>
                <w:sz w:val="16"/>
                <w:szCs w:val="16"/>
                <w:color w:val="auto"/>
              </w:rPr>
              <w:t>XBRL Instance Document and Related Items.</w:t>
            </w:r>
          </w:p>
        </w:tc>
      </w:tr>
    </w:tbl>
    <w:p>
      <w:pPr>
        <w:ind w:left="1180" w:hanging="1167"/>
        <w:spacing w:after="0"/>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Cover Page Interactive Data File (formatted in iXBRL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92"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232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6" w:name="page47"/>
    <w:bookmarkEnd w:id="46"/>
    <w:p>
      <w:pPr>
        <w:jc w:val="center"/>
        <w:spacing w:after="0"/>
        <w:rPr>
          <w:sz w:val="20"/>
          <w:szCs w:val="20"/>
          <w:color w:val="auto"/>
        </w:rPr>
      </w:pPr>
      <w:r>
        <w:rPr>
          <w:rFonts w:ascii="Arial" w:cs="Arial" w:eastAsia="Arial" w:hAnsi="Arial"/>
          <w:sz w:val="16"/>
          <w:szCs w:val="16"/>
          <w:b w:val="1"/>
          <w:bCs w:val="1"/>
          <w:color w:val="auto"/>
        </w:rPr>
        <w:t>SIGNATURES</w:t>
      </w:r>
    </w:p>
    <w:p>
      <w:pPr>
        <w:spacing w:after="0" w:line="85" w:lineRule="exact"/>
        <w:rPr>
          <w:sz w:val="20"/>
          <w:szCs w:val="20"/>
          <w:color w:val="auto"/>
        </w:rPr>
      </w:pPr>
    </w:p>
    <w:p>
      <w:pPr>
        <w:ind w:right="160" w:firstLine="398"/>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05"/>
        </w:trPr>
        <w:tc>
          <w:tcPr>
            <w:tcW w:w="44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60" w:type="dxa"/>
            <w:vAlign w:val="bottom"/>
          </w:tcPr>
          <w:p>
            <w:pPr>
              <w:ind w:left="420"/>
              <w:spacing w:after="0"/>
              <w:rPr>
                <w:sz w:val="20"/>
                <w:szCs w:val="20"/>
                <w:color w:val="auto"/>
              </w:rPr>
            </w:pPr>
            <w:r>
              <w:rPr>
                <w:rFonts w:ascii="Arial" w:cs="Arial" w:eastAsia="Arial" w:hAnsi="Arial"/>
                <w:sz w:val="16"/>
                <w:szCs w:val="16"/>
                <w:color w:val="auto"/>
              </w:rPr>
              <w:t>Tredegar Corporation</w:t>
            </w:r>
          </w:p>
        </w:tc>
      </w:tr>
      <w:tr>
        <w:trPr>
          <w:trHeight w:val="205"/>
        </w:trPr>
        <w:tc>
          <w:tcPr>
            <w:tcW w:w="44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60" w:type="dxa"/>
            <w:vAlign w:val="bottom"/>
          </w:tcPr>
          <w:p>
            <w:pPr>
              <w:ind w:left="420"/>
              <w:spacing w:after="0"/>
              <w:rPr>
                <w:sz w:val="20"/>
                <w:szCs w:val="20"/>
                <w:color w:val="auto"/>
              </w:rPr>
            </w:pPr>
            <w:r>
              <w:rPr>
                <w:rFonts w:ascii="Arial" w:cs="Arial" w:eastAsia="Arial" w:hAnsi="Arial"/>
                <w:sz w:val="16"/>
                <w:szCs w:val="16"/>
                <w:color w:val="auto"/>
              </w:rPr>
              <w:t>(Registrant)</w:t>
            </w:r>
          </w:p>
        </w:tc>
      </w:tr>
      <w:tr>
        <w:trPr>
          <w:trHeight w:val="446"/>
        </w:trPr>
        <w:tc>
          <w:tcPr>
            <w:tcW w:w="440" w:type="dxa"/>
            <w:vAlign w:val="bottom"/>
          </w:tcPr>
          <w:p>
            <w:pPr>
              <w:spacing w:after="0"/>
              <w:rPr>
                <w:sz w:val="20"/>
                <w:szCs w:val="20"/>
                <w:color w:val="auto"/>
              </w:rPr>
            </w:pPr>
            <w:r>
              <w:rPr>
                <w:rFonts w:ascii="Arial" w:cs="Arial" w:eastAsia="Arial" w:hAnsi="Arial"/>
                <w:sz w:val="16"/>
                <w:szCs w:val="16"/>
                <w:color w:val="auto"/>
              </w:rPr>
              <w:t>Date:</w:t>
            </w:r>
          </w:p>
        </w:tc>
        <w:tc>
          <w:tcPr>
            <w:tcW w:w="5340" w:type="dxa"/>
            <w:vAlign w:val="bottom"/>
            <w:gridSpan w:val="2"/>
          </w:tcPr>
          <w:p>
            <w:pPr>
              <w:ind w:left="420"/>
              <w:spacing w:after="0"/>
              <w:rPr>
                <w:sz w:val="20"/>
                <w:szCs w:val="20"/>
                <w:color w:val="auto"/>
              </w:rPr>
            </w:pPr>
            <w:r>
              <w:rPr>
                <w:rFonts w:ascii="Arial" w:cs="Arial" w:eastAsia="Arial" w:hAnsi="Arial"/>
                <w:sz w:val="16"/>
                <w:szCs w:val="16"/>
                <w:color w:val="auto"/>
              </w:rPr>
              <w:t>November 5, 2021</w:t>
            </w:r>
          </w:p>
        </w:tc>
        <w:tc>
          <w:tcPr>
            <w:tcW w:w="5060" w:type="dxa"/>
            <w:vAlign w:val="bottom"/>
          </w:tcPr>
          <w:p>
            <w:pPr>
              <w:ind w:left="420"/>
              <w:spacing w:after="0"/>
              <w:rPr>
                <w:sz w:val="20"/>
                <w:szCs w:val="20"/>
                <w:color w:val="auto"/>
              </w:rPr>
            </w:pPr>
            <w:r>
              <w:rPr>
                <w:rFonts w:ascii="Arial" w:cs="Arial" w:eastAsia="Arial" w:hAnsi="Arial"/>
                <w:sz w:val="16"/>
                <w:szCs w:val="16"/>
                <w:color w:val="auto"/>
              </w:rPr>
              <w:t>/s/ John M. Steitz</w:t>
            </w:r>
          </w:p>
        </w:tc>
      </w:tr>
      <w:tr>
        <w:trPr>
          <w:trHeight w:val="197"/>
        </w:trPr>
        <w:tc>
          <w:tcPr>
            <w:tcW w:w="440" w:type="dxa"/>
            <w:vAlign w:val="bottom"/>
          </w:tcPr>
          <w:p>
            <w:pPr>
              <w:spacing w:after="0"/>
              <w:rPr>
                <w:sz w:val="17"/>
                <w:szCs w:val="17"/>
                <w:color w:val="auto"/>
              </w:rPr>
            </w:pPr>
          </w:p>
        </w:tc>
        <w:tc>
          <w:tcPr>
            <w:tcW w:w="50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060" w:type="dxa"/>
            <w:vAlign w:val="bottom"/>
            <w:tcBorders>
              <w:top w:val="single" w:sz="8" w:color="auto"/>
            </w:tcBorders>
          </w:tcPr>
          <w:p>
            <w:pPr>
              <w:ind w:left="420"/>
              <w:spacing w:after="0"/>
              <w:rPr>
                <w:sz w:val="20"/>
                <w:szCs w:val="20"/>
                <w:color w:val="auto"/>
              </w:rPr>
            </w:pPr>
            <w:r>
              <w:rPr>
                <w:rFonts w:ascii="Arial" w:cs="Arial" w:eastAsia="Arial" w:hAnsi="Arial"/>
                <w:sz w:val="16"/>
                <w:szCs w:val="16"/>
                <w:color w:val="auto"/>
              </w:rPr>
              <w:t>John M. Steitz</w:t>
            </w:r>
          </w:p>
        </w:tc>
      </w:tr>
      <w:tr>
        <w:trPr>
          <w:trHeight w:val="205"/>
        </w:trPr>
        <w:tc>
          <w:tcPr>
            <w:tcW w:w="44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60" w:type="dxa"/>
            <w:vAlign w:val="bottom"/>
          </w:tcPr>
          <w:p>
            <w:pPr>
              <w:ind w:left="420"/>
              <w:spacing w:after="0"/>
              <w:rPr>
                <w:sz w:val="20"/>
                <w:szCs w:val="20"/>
                <w:color w:val="auto"/>
              </w:rPr>
            </w:pPr>
            <w:r>
              <w:rPr>
                <w:rFonts w:ascii="Arial" w:cs="Arial" w:eastAsia="Arial" w:hAnsi="Arial"/>
                <w:sz w:val="16"/>
                <w:szCs w:val="16"/>
                <w:color w:val="auto"/>
              </w:rPr>
              <w:t>President and Chief Executive Officer</w:t>
            </w:r>
          </w:p>
        </w:tc>
      </w:tr>
      <w:tr>
        <w:trPr>
          <w:trHeight w:val="205"/>
        </w:trPr>
        <w:tc>
          <w:tcPr>
            <w:tcW w:w="44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60" w:type="dxa"/>
            <w:vAlign w:val="bottom"/>
          </w:tcPr>
          <w:p>
            <w:pPr>
              <w:ind w:left="420"/>
              <w:spacing w:after="0"/>
              <w:rPr>
                <w:sz w:val="20"/>
                <w:szCs w:val="20"/>
                <w:color w:val="auto"/>
              </w:rPr>
            </w:pPr>
            <w:r>
              <w:rPr>
                <w:rFonts w:ascii="Arial" w:cs="Arial" w:eastAsia="Arial" w:hAnsi="Arial"/>
                <w:sz w:val="16"/>
                <w:szCs w:val="16"/>
                <w:color w:val="auto"/>
              </w:rPr>
              <w:t>(Principal Executive Officer)</w:t>
            </w:r>
          </w:p>
        </w:tc>
      </w:tr>
      <w:tr>
        <w:trPr>
          <w:trHeight w:val="446"/>
        </w:trPr>
        <w:tc>
          <w:tcPr>
            <w:tcW w:w="440" w:type="dxa"/>
            <w:vAlign w:val="bottom"/>
          </w:tcPr>
          <w:p>
            <w:pPr>
              <w:spacing w:after="0"/>
              <w:rPr>
                <w:sz w:val="20"/>
                <w:szCs w:val="20"/>
                <w:color w:val="auto"/>
              </w:rPr>
            </w:pPr>
            <w:r>
              <w:rPr>
                <w:rFonts w:ascii="Arial" w:cs="Arial" w:eastAsia="Arial" w:hAnsi="Arial"/>
                <w:sz w:val="16"/>
                <w:szCs w:val="16"/>
                <w:color w:val="auto"/>
              </w:rPr>
              <w:t>Date:</w:t>
            </w:r>
          </w:p>
        </w:tc>
        <w:tc>
          <w:tcPr>
            <w:tcW w:w="5340" w:type="dxa"/>
            <w:vAlign w:val="bottom"/>
            <w:gridSpan w:val="2"/>
          </w:tcPr>
          <w:p>
            <w:pPr>
              <w:ind w:left="420"/>
              <w:spacing w:after="0"/>
              <w:rPr>
                <w:sz w:val="20"/>
                <w:szCs w:val="20"/>
                <w:color w:val="auto"/>
              </w:rPr>
            </w:pPr>
            <w:r>
              <w:rPr>
                <w:rFonts w:ascii="Arial" w:cs="Arial" w:eastAsia="Arial" w:hAnsi="Arial"/>
                <w:sz w:val="16"/>
                <w:szCs w:val="16"/>
                <w:color w:val="auto"/>
              </w:rPr>
              <w:t>November 5, 2021</w:t>
            </w:r>
          </w:p>
        </w:tc>
        <w:tc>
          <w:tcPr>
            <w:tcW w:w="5060" w:type="dxa"/>
            <w:vAlign w:val="bottom"/>
          </w:tcPr>
          <w:p>
            <w:pPr>
              <w:ind w:left="420"/>
              <w:spacing w:after="0"/>
              <w:rPr>
                <w:sz w:val="20"/>
                <w:szCs w:val="20"/>
                <w:color w:val="auto"/>
              </w:rPr>
            </w:pPr>
            <w:r>
              <w:rPr>
                <w:rFonts w:ascii="Arial" w:cs="Arial" w:eastAsia="Arial" w:hAnsi="Arial"/>
                <w:sz w:val="16"/>
                <w:szCs w:val="16"/>
                <w:color w:val="auto"/>
              </w:rPr>
              <w:t>/s/ D. Andrew Edwards</w:t>
            </w:r>
          </w:p>
        </w:tc>
      </w:tr>
      <w:tr>
        <w:trPr>
          <w:trHeight w:val="197"/>
        </w:trPr>
        <w:tc>
          <w:tcPr>
            <w:tcW w:w="440" w:type="dxa"/>
            <w:vAlign w:val="bottom"/>
          </w:tcPr>
          <w:p>
            <w:pPr>
              <w:spacing w:after="0"/>
              <w:rPr>
                <w:sz w:val="17"/>
                <w:szCs w:val="17"/>
                <w:color w:val="auto"/>
              </w:rPr>
            </w:pPr>
          </w:p>
        </w:tc>
        <w:tc>
          <w:tcPr>
            <w:tcW w:w="50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060" w:type="dxa"/>
            <w:vAlign w:val="bottom"/>
            <w:tcBorders>
              <w:top w:val="single" w:sz="8" w:color="auto"/>
            </w:tcBorders>
          </w:tcPr>
          <w:p>
            <w:pPr>
              <w:ind w:left="420"/>
              <w:spacing w:after="0"/>
              <w:rPr>
                <w:sz w:val="20"/>
                <w:szCs w:val="20"/>
                <w:color w:val="auto"/>
              </w:rPr>
            </w:pPr>
            <w:r>
              <w:rPr>
                <w:rFonts w:ascii="Arial" w:cs="Arial" w:eastAsia="Arial" w:hAnsi="Arial"/>
                <w:sz w:val="16"/>
                <w:szCs w:val="16"/>
                <w:color w:val="auto"/>
              </w:rPr>
              <w:t>D. Andrew Edwards</w:t>
            </w:r>
          </w:p>
        </w:tc>
      </w:tr>
      <w:tr>
        <w:trPr>
          <w:trHeight w:val="205"/>
        </w:trPr>
        <w:tc>
          <w:tcPr>
            <w:tcW w:w="44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60" w:type="dxa"/>
            <w:vAlign w:val="bottom"/>
          </w:tcPr>
          <w:p>
            <w:pPr>
              <w:ind w:left="420"/>
              <w:spacing w:after="0"/>
              <w:rPr>
                <w:sz w:val="20"/>
                <w:szCs w:val="20"/>
                <w:color w:val="auto"/>
              </w:rPr>
            </w:pPr>
            <w:r>
              <w:rPr>
                <w:rFonts w:ascii="Arial" w:cs="Arial" w:eastAsia="Arial" w:hAnsi="Arial"/>
                <w:sz w:val="16"/>
                <w:szCs w:val="16"/>
                <w:color w:val="auto"/>
              </w:rPr>
              <w:t>Executive Vice President and Chief Financial Officer</w:t>
            </w:r>
          </w:p>
        </w:tc>
      </w:tr>
      <w:tr>
        <w:trPr>
          <w:trHeight w:val="205"/>
        </w:trPr>
        <w:tc>
          <w:tcPr>
            <w:tcW w:w="44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60" w:type="dxa"/>
            <w:vAlign w:val="bottom"/>
          </w:tcPr>
          <w:p>
            <w:pPr>
              <w:ind w:left="420"/>
              <w:spacing w:after="0"/>
              <w:rPr>
                <w:sz w:val="20"/>
                <w:szCs w:val="20"/>
                <w:color w:val="auto"/>
              </w:rPr>
            </w:pPr>
            <w:r>
              <w:rPr>
                <w:rFonts w:ascii="Arial" w:cs="Arial" w:eastAsia="Arial" w:hAnsi="Arial"/>
                <w:sz w:val="16"/>
                <w:szCs w:val="16"/>
                <w:color w:val="auto"/>
              </w:rPr>
              <w:t>(Principal Financial Officer)</w:t>
            </w:r>
          </w:p>
        </w:tc>
      </w:tr>
      <w:tr>
        <w:trPr>
          <w:trHeight w:val="446"/>
        </w:trPr>
        <w:tc>
          <w:tcPr>
            <w:tcW w:w="440" w:type="dxa"/>
            <w:vAlign w:val="bottom"/>
          </w:tcPr>
          <w:p>
            <w:pPr>
              <w:spacing w:after="0"/>
              <w:rPr>
                <w:sz w:val="20"/>
                <w:szCs w:val="20"/>
                <w:color w:val="auto"/>
              </w:rPr>
            </w:pPr>
            <w:r>
              <w:rPr>
                <w:rFonts w:ascii="Arial" w:cs="Arial" w:eastAsia="Arial" w:hAnsi="Arial"/>
                <w:sz w:val="16"/>
                <w:szCs w:val="16"/>
                <w:color w:val="auto"/>
              </w:rPr>
              <w:t>Date:</w:t>
            </w:r>
          </w:p>
        </w:tc>
        <w:tc>
          <w:tcPr>
            <w:tcW w:w="5340" w:type="dxa"/>
            <w:vAlign w:val="bottom"/>
            <w:gridSpan w:val="2"/>
          </w:tcPr>
          <w:p>
            <w:pPr>
              <w:ind w:left="420"/>
              <w:spacing w:after="0"/>
              <w:rPr>
                <w:sz w:val="20"/>
                <w:szCs w:val="20"/>
                <w:color w:val="auto"/>
              </w:rPr>
            </w:pPr>
            <w:r>
              <w:rPr>
                <w:rFonts w:ascii="Arial" w:cs="Arial" w:eastAsia="Arial" w:hAnsi="Arial"/>
                <w:sz w:val="16"/>
                <w:szCs w:val="16"/>
                <w:color w:val="auto"/>
              </w:rPr>
              <w:t>November 5, 2021</w:t>
            </w:r>
          </w:p>
        </w:tc>
        <w:tc>
          <w:tcPr>
            <w:tcW w:w="5060" w:type="dxa"/>
            <w:vAlign w:val="bottom"/>
          </w:tcPr>
          <w:p>
            <w:pPr>
              <w:ind w:left="420"/>
              <w:spacing w:after="0"/>
              <w:rPr>
                <w:sz w:val="20"/>
                <w:szCs w:val="20"/>
                <w:color w:val="auto"/>
              </w:rPr>
            </w:pPr>
            <w:r>
              <w:rPr>
                <w:rFonts w:ascii="Arial" w:cs="Arial" w:eastAsia="Arial" w:hAnsi="Arial"/>
                <w:sz w:val="16"/>
                <w:szCs w:val="16"/>
                <w:color w:val="auto"/>
              </w:rPr>
              <w:t>/s/ Frasier W. Brickhouse, II</w:t>
            </w:r>
          </w:p>
        </w:tc>
      </w:tr>
      <w:tr>
        <w:trPr>
          <w:trHeight w:val="197"/>
        </w:trPr>
        <w:tc>
          <w:tcPr>
            <w:tcW w:w="440" w:type="dxa"/>
            <w:vAlign w:val="bottom"/>
          </w:tcPr>
          <w:p>
            <w:pPr>
              <w:spacing w:after="0"/>
              <w:rPr>
                <w:sz w:val="17"/>
                <w:szCs w:val="17"/>
                <w:color w:val="auto"/>
              </w:rPr>
            </w:pPr>
          </w:p>
        </w:tc>
        <w:tc>
          <w:tcPr>
            <w:tcW w:w="50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060" w:type="dxa"/>
            <w:vAlign w:val="bottom"/>
            <w:tcBorders>
              <w:top w:val="single" w:sz="8" w:color="auto"/>
            </w:tcBorders>
          </w:tcPr>
          <w:p>
            <w:pPr>
              <w:ind w:left="420"/>
              <w:spacing w:after="0"/>
              <w:rPr>
                <w:sz w:val="20"/>
                <w:szCs w:val="20"/>
                <w:color w:val="auto"/>
              </w:rPr>
            </w:pPr>
            <w:r>
              <w:rPr>
                <w:rFonts w:ascii="Arial" w:cs="Arial" w:eastAsia="Arial" w:hAnsi="Arial"/>
                <w:sz w:val="16"/>
                <w:szCs w:val="16"/>
                <w:color w:val="auto"/>
              </w:rPr>
              <w:t>Frasier W. Brickhouse, II</w:t>
            </w:r>
          </w:p>
        </w:tc>
      </w:tr>
      <w:tr>
        <w:trPr>
          <w:trHeight w:val="205"/>
        </w:trPr>
        <w:tc>
          <w:tcPr>
            <w:tcW w:w="44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60" w:type="dxa"/>
            <w:vAlign w:val="bottom"/>
          </w:tcPr>
          <w:p>
            <w:pPr>
              <w:ind w:left="420"/>
              <w:spacing w:after="0"/>
              <w:rPr>
                <w:sz w:val="20"/>
                <w:szCs w:val="20"/>
                <w:color w:val="auto"/>
              </w:rPr>
            </w:pPr>
            <w:r>
              <w:rPr>
                <w:rFonts w:ascii="Arial" w:cs="Arial" w:eastAsia="Arial" w:hAnsi="Arial"/>
                <w:sz w:val="16"/>
                <w:szCs w:val="16"/>
                <w:color w:val="auto"/>
              </w:rPr>
              <w:t>Corporate Treasurer and Controller</w:t>
            </w:r>
          </w:p>
        </w:tc>
      </w:tr>
      <w:tr>
        <w:trPr>
          <w:trHeight w:val="205"/>
        </w:trPr>
        <w:tc>
          <w:tcPr>
            <w:tcW w:w="44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60" w:type="dxa"/>
            <w:vAlign w:val="bottom"/>
          </w:tcPr>
          <w:p>
            <w:pPr>
              <w:ind w:left="420"/>
              <w:spacing w:after="0"/>
              <w:rPr>
                <w:sz w:val="20"/>
                <w:szCs w:val="20"/>
                <w:color w:val="auto"/>
              </w:rPr>
            </w:pPr>
            <w:r>
              <w:rPr>
                <w:rFonts w:ascii="Arial" w:cs="Arial" w:eastAsia="Arial" w:hAnsi="Arial"/>
                <w:sz w:val="16"/>
                <w:szCs w:val="16"/>
                <w:color w:val="auto"/>
              </w:rPr>
              <w:t>(Principal Accounting Officer)</w:t>
            </w:r>
          </w:p>
        </w:tc>
      </w:tr>
    </w:tbl>
    <w:p>
      <w:pPr>
        <w:sectPr>
          <w:pgSz w:w="11900" w:h="16838" w:orient="portrait"/>
          <w:cols w:equalWidth="0" w:num="1">
            <w:col w:w="11260"/>
          </w:cols>
          <w:pgMar w:left="320" w:top="895" w:right="31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31.1</w:t>
      </w:r>
    </w:p>
    <w:p>
      <w:pPr>
        <w:spacing w:after="0" w:line="93"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Section 302 Certification</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6"/>
          <w:szCs w:val="16"/>
          <w:color w:val="auto"/>
        </w:rPr>
        <w:t>I, John M. Steitz, certify that:</w:t>
      </w:r>
    </w:p>
    <w:p>
      <w:pPr>
        <w:spacing w:after="0" w:line="106" w:lineRule="exact"/>
        <w:rPr>
          <w:sz w:val="20"/>
          <w:szCs w:val="20"/>
          <w:color w:val="auto"/>
        </w:rPr>
      </w:pPr>
    </w:p>
    <w:p>
      <w:pPr>
        <w:ind w:left="563" w:hanging="563"/>
        <w:spacing w:after="0"/>
        <w:tabs>
          <w:tab w:leader="none" w:pos="563" w:val="left"/>
        </w:tabs>
        <w:numPr>
          <w:ilvl w:val="0"/>
          <w:numId w:val="2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September 30, 2021, of Tredegar Corporation;</w:t>
      </w:r>
    </w:p>
    <w:p>
      <w:pPr>
        <w:spacing w:after="0" w:line="105" w:lineRule="exact"/>
        <w:rPr>
          <w:rFonts w:ascii="Arial" w:cs="Arial" w:eastAsia="Arial" w:hAnsi="Arial"/>
          <w:sz w:val="16"/>
          <w:szCs w:val="16"/>
          <w:color w:val="auto"/>
        </w:rPr>
      </w:pPr>
    </w:p>
    <w:p>
      <w:pPr>
        <w:ind w:left="583" w:right="20" w:hanging="583"/>
        <w:spacing w:after="0" w:line="314" w:lineRule="auto"/>
        <w:tabs>
          <w:tab w:leader="none" w:pos="578"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Arial" w:cs="Arial" w:eastAsia="Arial" w:hAnsi="Arial"/>
          <w:sz w:val="15"/>
          <w:szCs w:val="15"/>
          <w:color w:val="auto"/>
        </w:rPr>
      </w:pPr>
    </w:p>
    <w:p>
      <w:pPr>
        <w:ind w:left="583" w:right="20" w:hanging="583"/>
        <w:spacing w:after="0" w:line="279" w:lineRule="auto"/>
        <w:tabs>
          <w:tab w:leader="none" w:pos="578"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Arial" w:cs="Arial" w:eastAsia="Arial" w:hAnsi="Arial"/>
          <w:sz w:val="16"/>
          <w:szCs w:val="16"/>
          <w:color w:val="auto"/>
        </w:rPr>
      </w:pPr>
    </w:p>
    <w:p>
      <w:pPr>
        <w:ind w:left="563" w:hanging="563"/>
        <w:spacing w:after="0"/>
        <w:tabs>
          <w:tab w:leader="none" w:pos="563"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4" w:lineRule="exact"/>
        <w:rPr>
          <w:rFonts w:ascii="Arial" w:cs="Arial" w:eastAsia="Arial" w:hAnsi="Arial"/>
          <w:sz w:val="14"/>
          <w:szCs w:val="14"/>
          <w:color w:val="auto"/>
        </w:rPr>
      </w:pPr>
    </w:p>
    <w:p>
      <w:pPr>
        <w:ind w:left="583"/>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04" w:lineRule="exact"/>
        <w:rPr>
          <w:rFonts w:ascii="Arial" w:cs="Arial" w:eastAsia="Arial" w:hAnsi="Arial"/>
          <w:sz w:val="14"/>
          <w:szCs w:val="14"/>
          <w:color w:val="auto"/>
        </w:rPr>
      </w:pPr>
    </w:p>
    <w:p>
      <w:pPr>
        <w:ind w:left="1163" w:right="20" w:hanging="584"/>
        <w:spacing w:after="0" w:line="265" w:lineRule="auto"/>
        <w:tabs>
          <w:tab w:leader="none" w:pos="1161"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6"/>
          <w:szCs w:val="16"/>
          <w:color w:val="auto"/>
        </w:rPr>
      </w:pPr>
    </w:p>
    <w:p>
      <w:pPr>
        <w:ind w:left="1163" w:right="160" w:hanging="584"/>
        <w:spacing w:after="0" w:line="265" w:lineRule="auto"/>
        <w:tabs>
          <w:tab w:leader="none" w:pos="1158"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6"/>
          <w:szCs w:val="16"/>
          <w:color w:val="auto"/>
        </w:rPr>
      </w:pPr>
    </w:p>
    <w:p>
      <w:pPr>
        <w:ind w:left="1163" w:right="160" w:hanging="584"/>
        <w:spacing w:after="0" w:line="279" w:lineRule="auto"/>
        <w:tabs>
          <w:tab w:leader="none" w:pos="1161"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6"/>
          <w:szCs w:val="16"/>
          <w:color w:val="auto"/>
        </w:rPr>
      </w:pPr>
    </w:p>
    <w:p>
      <w:pPr>
        <w:ind w:left="1163" w:right="100" w:hanging="584"/>
        <w:spacing w:after="0" w:line="265" w:lineRule="auto"/>
        <w:tabs>
          <w:tab w:leader="none" w:pos="1158" w:val="left"/>
        </w:tabs>
        <w:numPr>
          <w:ilvl w:val="1"/>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6"/>
          <w:szCs w:val="16"/>
          <w:color w:val="auto"/>
        </w:rPr>
      </w:pPr>
    </w:p>
    <w:p>
      <w:pPr>
        <w:ind w:left="583" w:right="480" w:hanging="583"/>
        <w:spacing w:after="0" w:line="279" w:lineRule="auto"/>
        <w:tabs>
          <w:tab w:leader="none" w:pos="578"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Arial" w:cs="Arial" w:eastAsia="Arial" w:hAnsi="Arial"/>
          <w:sz w:val="16"/>
          <w:szCs w:val="16"/>
          <w:color w:val="auto"/>
        </w:rPr>
      </w:pPr>
    </w:p>
    <w:p>
      <w:pPr>
        <w:ind w:left="1163" w:right="320" w:hanging="584"/>
        <w:spacing w:after="0" w:line="279" w:lineRule="auto"/>
        <w:tabs>
          <w:tab w:leader="none" w:pos="1161"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6"/>
          <w:szCs w:val="16"/>
          <w:color w:val="auto"/>
        </w:rPr>
      </w:pPr>
    </w:p>
    <w:p>
      <w:pPr>
        <w:ind w:left="1163" w:right="540" w:hanging="584"/>
        <w:spacing w:after="0" w:line="279" w:lineRule="auto"/>
        <w:tabs>
          <w:tab w:leader="none" w:pos="1158"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6"/>
          <w:szCs w:val="16"/>
          <w:color w:val="auto"/>
        </w:rPr>
        <w:t>Date: November 5, 2021</w:t>
      </w:r>
    </w:p>
    <w:p>
      <w:pPr>
        <w:spacing w:after="0" w:line="45" w:lineRule="exact"/>
        <w:rPr>
          <w:sz w:val="20"/>
          <w:szCs w:val="20"/>
          <w:color w:val="auto"/>
        </w:rPr>
      </w:pPr>
    </w:p>
    <w:p>
      <w:pPr>
        <w:ind w:left="4683"/>
        <w:spacing w:after="0"/>
        <w:rPr>
          <w:sz w:val="20"/>
          <w:szCs w:val="20"/>
          <w:color w:val="auto"/>
        </w:rPr>
      </w:pPr>
      <w:r>
        <w:rPr>
          <w:rFonts w:ascii="Arial" w:cs="Arial" w:eastAsia="Arial" w:hAnsi="Arial"/>
          <w:sz w:val="16"/>
          <w:szCs w:val="16"/>
          <w:color w:val="auto"/>
        </w:rPr>
        <w:t>/s/ John M. Steitz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2964180</wp:posOffset>
            </wp:positionH>
            <wp:positionV relativeFrom="paragraph">
              <wp:posOffset>13970</wp:posOffset>
            </wp:positionV>
            <wp:extent cx="255841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58415" cy="7620"/>
                    </a:xfrm>
                    <a:prstGeom prst="rect">
                      <a:avLst/>
                    </a:prstGeom>
                    <a:noFill/>
                  </pic:spPr>
                </pic:pic>
              </a:graphicData>
            </a:graphic>
          </wp:anchor>
        </w:drawing>
      </w:r>
    </w:p>
    <w:p>
      <w:pPr>
        <w:spacing w:after="0" w:line="13" w:lineRule="exact"/>
        <w:rPr>
          <w:sz w:val="20"/>
          <w:szCs w:val="20"/>
          <w:color w:val="auto"/>
        </w:rPr>
      </w:pPr>
    </w:p>
    <w:p>
      <w:pPr>
        <w:ind w:left="4683"/>
        <w:spacing w:after="0"/>
        <w:rPr>
          <w:sz w:val="20"/>
          <w:szCs w:val="20"/>
          <w:color w:val="auto"/>
        </w:rPr>
      </w:pPr>
      <w:r>
        <w:rPr>
          <w:rFonts w:ascii="Arial" w:cs="Arial" w:eastAsia="Arial" w:hAnsi="Arial"/>
          <w:sz w:val="16"/>
          <w:szCs w:val="16"/>
          <w:color w:val="auto"/>
        </w:rPr>
        <w:t>John M. Steitz</w:t>
      </w:r>
    </w:p>
    <w:p>
      <w:pPr>
        <w:spacing w:after="0" w:line="21" w:lineRule="exact"/>
        <w:rPr>
          <w:sz w:val="20"/>
          <w:szCs w:val="20"/>
          <w:color w:val="auto"/>
        </w:rPr>
      </w:pPr>
    </w:p>
    <w:p>
      <w:pPr>
        <w:ind w:left="4683"/>
        <w:spacing w:after="0"/>
        <w:rPr>
          <w:sz w:val="20"/>
          <w:szCs w:val="20"/>
          <w:color w:val="auto"/>
        </w:rPr>
      </w:pPr>
      <w:r>
        <w:rPr>
          <w:rFonts w:ascii="Arial" w:cs="Arial" w:eastAsia="Arial" w:hAnsi="Arial"/>
          <w:sz w:val="16"/>
          <w:szCs w:val="16"/>
          <w:color w:val="auto"/>
        </w:rPr>
        <w:t>President and Chief Executive Officer</w:t>
      </w:r>
    </w:p>
    <w:p>
      <w:pPr>
        <w:spacing w:after="0" w:line="21" w:lineRule="exact"/>
        <w:rPr>
          <w:sz w:val="20"/>
          <w:szCs w:val="20"/>
          <w:color w:val="auto"/>
        </w:rPr>
      </w:pPr>
    </w:p>
    <w:p>
      <w:pPr>
        <w:ind w:left="4683"/>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63"/>
          </w:cols>
          <w:pgMar w:left="317" w:top="811" w:right="31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auto"/>
        </w:rPr>
        <w:t>EXHIBIT 31.2</w:t>
      </w:r>
    </w:p>
    <w:p>
      <w:pPr>
        <w:spacing w:after="0" w:line="93"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Section 302 Certification</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6"/>
          <w:szCs w:val="16"/>
          <w:color w:val="auto"/>
        </w:rPr>
        <w:t>I, D. Andrew Edwards, certify that:</w:t>
      </w:r>
    </w:p>
    <w:p>
      <w:pPr>
        <w:spacing w:after="0" w:line="106" w:lineRule="exact"/>
        <w:rPr>
          <w:sz w:val="20"/>
          <w:szCs w:val="20"/>
          <w:color w:val="auto"/>
        </w:rPr>
      </w:pPr>
    </w:p>
    <w:p>
      <w:pPr>
        <w:ind w:left="563" w:hanging="563"/>
        <w:spacing w:after="0"/>
        <w:tabs>
          <w:tab w:leader="none" w:pos="563" w:val="left"/>
        </w:tabs>
        <w:numPr>
          <w:ilvl w:val="0"/>
          <w:numId w:val="2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September 30, 2021, of Tredegar Corporation;</w:t>
      </w:r>
    </w:p>
    <w:p>
      <w:pPr>
        <w:spacing w:after="0" w:line="105" w:lineRule="exact"/>
        <w:rPr>
          <w:rFonts w:ascii="Arial" w:cs="Arial" w:eastAsia="Arial" w:hAnsi="Arial"/>
          <w:sz w:val="16"/>
          <w:szCs w:val="16"/>
          <w:color w:val="auto"/>
        </w:rPr>
      </w:pPr>
    </w:p>
    <w:p>
      <w:pPr>
        <w:ind w:left="583" w:right="20" w:hanging="583"/>
        <w:spacing w:after="0" w:line="314" w:lineRule="auto"/>
        <w:tabs>
          <w:tab w:leader="none" w:pos="578"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Arial" w:cs="Arial" w:eastAsia="Arial" w:hAnsi="Arial"/>
          <w:sz w:val="15"/>
          <w:szCs w:val="15"/>
          <w:color w:val="auto"/>
        </w:rPr>
      </w:pPr>
    </w:p>
    <w:p>
      <w:pPr>
        <w:ind w:left="583" w:right="20" w:hanging="583"/>
        <w:spacing w:after="0" w:line="279" w:lineRule="auto"/>
        <w:tabs>
          <w:tab w:leader="none" w:pos="578"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Arial" w:cs="Arial" w:eastAsia="Arial" w:hAnsi="Arial"/>
          <w:sz w:val="16"/>
          <w:szCs w:val="16"/>
          <w:color w:val="auto"/>
        </w:rPr>
      </w:pPr>
    </w:p>
    <w:p>
      <w:pPr>
        <w:ind w:left="563" w:hanging="563"/>
        <w:spacing w:after="0"/>
        <w:tabs>
          <w:tab w:leader="none" w:pos="563"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4" w:lineRule="exact"/>
        <w:rPr>
          <w:rFonts w:ascii="Arial" w:cs="Arial" w:eastAsia="Arial" w:hAnsi="Arial"/>
          <w:sz w:val="14"/>
          <w:szCs w:val="14"/>
          <w:color w:val="auto"/>
        </w:rPr>
      </w:pPr>
    </w:p>
    <w:p>
      <w:pPr>
        <w:ind w:left="583"/>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04" w:lineRule="exact"/>
        <w:rPr>
          <w:rFonts w:ascii="Arial" w:cs="Arial" w:eastAsia="Arial" w:hAnsi="Arial"/>
          <w:sz w:val="14"/>
          <w:szCs w:val="14"/>
          <w:color w:val="auto"/>
        </w:rPr>
      </w:pPr>
    </w:p>
    <w:p>
      <w:pPr>
        <w:ind w:left="1163" w:right="20" w:hanging="584"/>
        <w:spacing w:after="0" w:line="265" w:lineRule="auto"/>
        <w:tabs>
          <w:tab w:leader="none" w:pos="1161"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6"/>
          <w:szCs w:val="16"/>
          <w:color w:val="auto"/>
        </w:rPr>
      </w:pPr>
    </w:p>
    <w:p>
      <w:pPr>
        <w:ind w:left="1163" w:right="160" w:hanging="584"/>
        <w:spacing w:after="0" w:line="265" w:lineRule="auto"/>
        <w:tabs>
          <w:tab w:leader="none" w:pos="1158"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6"/>
          <w:szCs w:val="16"/>
          <w:color w:val="auto"/>
        </w:rPr>
      </w:pPr>
    </w:p>
    <w:p>
      <w:pPr>
        <w:ind w:left="1163" w:right="160" w:hanging="584"/>
        <w:spacing w:after="0" w:line="279" w:lineRule="auto"/>
        <w:tabs>
          <w:tab w:leader="none" w:pos="1161"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6"/>
          <w:szCs w:val="16"/>
          <w:color w:val="auto"/>
        </w:rPr>
      </w:pPr>
    </w:p>
    <w:p>
      <w:pPr>
        <w:ind w:left="1163" w:right="100" w:hanging="584"/>
        <w:spacing w:after="0" w:line="265" w:lineRule="auto"/>
        <w:tabs>
          <w:tab w:leader="none" w:pos="1158"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6"/>
          <w:szCs w:val="16"/>
          <w:color w:val="auto"/>
        </w:rPr>
      </w:pPr>
    </w:p>
    <w:p>
      <w:pPr>
        <w:ind w:left="583" w:right="480" w:hanging="583"/>
        <w:spacing w:after="0" w:line="279" w:lineRule="auto"/>
        <w:tabs>
          <w:tab w:leader="none" w:pos="578"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Arial" w:cs="Arial" w:eastAsia="Arial" w:hAnsi="Arial"/>
          <w:sz w:val="16"/>
          <w:szCs w:val="16"/>
          <w:color w:val="auto"/>
        </w:rPr>
      </w:pPr>
    </w:p>
    <w:p>
      <w:pPr>
        <w:ind w:left="1163" w:right="320" w:hanging="584"/>
        <w:spacing w:after="0" w:line="279" w:lineRule="auto"/>
        <w:tabs>
          <w:tab w:leader="none" w:pos="1161"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6"/>
          <w:szCs w:val="16"/>
          <w:color w:val="auto"/>
        </w:rPr>
      </w:pPr>
    </w:p>
    <w:p>
      <w:pPr>
        <w:ind w:left="1163" w:right="540" w:hanging="584"/>
        <w:spacing w:after="0" w:line="279" w:lineRule="auto"/>
        <w:tabs>
          <w:tab w:leader="none" w:pos="1158"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6"/>
          <w:szCs w:val="16"/>
          <w:color w:val="auto"/>
        </w:rPr>
        <w:t>Date: November 5, 2021</w:t>
      </w:r>
    </w:p>
    <w:p>
      <w:pPr>
        <w:spacing w:after="0" w:line="45" w:lineRule="exact"/>
        <w:rPr>
          <w:sz w:val="20"/>
          <w:szCs w:val="20"/>
          <w:color w:val="auto"/>
        </w:rPr>
      </w:pPr>
    </w:p>
    <w:p>
      <w:pPr>
        <w:ind w:left="4683"/>
        <w:spacing w:after="0"/>
        <w:rPr>
          <w:sz w:val="20"/>
          <w:szCs w:val="20"/>
          <w:color w:val="auto"/>
        </w:rPr>
      </w:pPr>
      <w:r>
        <w:rPr>
          <w:rFonts w:ascii="Arial" w:cs="Arial" w:eastAsia="Arial" w:hAnsi="Arial"/>
          <w:sz w:val="16"/>
          <w:szCs w:val="16"/>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2964180</wp:posOffset>
            </wp:positionH>
            <wp:positionV relativeFrom="paragraph">
              <wp:posOffset>13970</wp:posOffset>
            </wp:positionV>
            <wp:extent cx="255841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58415" cy="7620"/>
                    </a:xfrm>
                    <a:prstGeom prst="rect">
                      <a:avLst/>
                    </a:prstGeom>
                    <a:noFill/>
                  </pic:spPr>
                </pic:pic>
              </a:graphicData>
            </a:graphic>
          </wp:anchor>
        </w:drawing>
      </w:r>
    </w:p>
    <w:p>
      <w:pPr>
        <w:spacing w:after="0" w:line="13" w:lineRule="exact"/>
        <w:rPr>
          <w:sz w:val="20"/>
          <w:szCs w:val="20"/>
          <w:color w:val="auto"/>
        </w:rPr>
      </w:pPr>
    </w:p>
    <w:p>
      <w:pPr>
        <w:ind w:left="4683"/>
        <w:spacing w:after="0"/>
        <w:rPr>
          <w:sz w:val="20"/>
          <w:szCs w:val="20"/>
          <w:color w:val="auto"/>
        </w:rPr>
      </w:pPr>
      <w:r>
        <w:rPr>
          <w:rFonts w:ascii="Arial" w:cs="Arial" w:eastAsia="Arial" w:hAnsi="Arial"/>
          <w:sz w:val="16"/>
          <w:szCs w:val="16"/>
          <w:color w:val="auto"/>
        </w:rPr>
        <w:t>D. Andrew Edwards</w:t>
      </w:r>
    </w:p>
    <w:p>
      <w:pPr>
        <w:spacing w:after="0" w:line="21" w:lineRule="exact"/>
        <w:rPr>
          <w:sz w:val="20"/>
          <w:szCs w:val="20"/>
          <w:color w:val="auto"/>
        </w:rPr>
      </w:pPr>
    </w:p>
    <w:p>
      <w:pPr>
        <w:ind w:left="4683"/>
        <w:spacing w:after="0"/>
        <w:rPr>
          <w:sz w:val="20"/>
          <w:szCs w:val="20"/>
          <w:color w:val="auto"/>
        </w:rPr>
      </w:pPr>
      <w:r>
        <w:rPr>
          <w:rFonts w:ascii="Arial" w:cs="Arial" w:eastAsia="Arial" w:hAnsi="Arial"/>
          <w:sz w:val="16"/>
          <w:szCs w:val="16"/>
          <w:color w:val="auto"/>
        </w:rPr>
        <w:t>Executive Vice President and Chief Financial Officer</w:t>
      </w:r>
    </w:p>
    <w:p>
      <w:pPr>
        <w:spacing w:after="0" w:line="21" w:lineRule="exact"/>
        <w:rPr>
          <w:sz w:val="20"/>
          <w:szCs w:val="20"/>
          <w:color w:val="auto"/>
        </w:rPr>
      </w:pPr>
    </w:p>
    <w:p>
      <w:pPr>
        <w:ind w:left="4683"/>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63"/>
          </w:cols>
          <w:pgMar w:left="317" w:top="811" w:right="31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color w:val="auto"/>
        </w:rPr>
        <w:t>EXHIBIT 32.1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42" w:lineRule="exact"/>
        <w:rPr>
          <w:sz w:val="20"/>
          <w:szCs w:val="20"/>
          <w:color w:val="auto"/>
        </w:rPr>
      </w:pPr>
    </w:p>
    <w:p>
      <w:pPr>
        <w:ind w:right="440" w:firstLine="579"/>
        <w:spacing w:after="0" w:line="265" w:lineRule="auto"/>
        <w:rPr>
          <w:sz w:val="20"/>
          <w:szCs w:val="20"/>
          <w:color w:val="auto"/>
        </w:rPr>
      </w:pPr>
      <w:r>
        <w:rPr>
          <w:rFonts w:ascii="Arial" w:cs="Arial" w:eastAsia="Arial" w:hAnsi="Arial"/>
          <w:sz w:val="16"/>
          <w:szCs w:val="16"/>
          <w:color w:val="auto"/>
        </w:rPr>
        <w:t>In connection with the Quarterly Report on Form 10-Q of Tredegar Corporation (the “Company”) for the quarter ended September 30, 2021 as filed with the Securities and Exchange Commission on the date hereof (the “Report”), I, John M. Steitz, President and Chief Executive Officer of the Company, certify, pursuant to 18 U.S.C. § 1350, as adopted pursuant to § 906 of the Sarbanes-Oxley Act of 2002, that:</w:t>
      </w:r>
    </w:p>
    <w:p>
      <w:pPr>
        <w:spacing w:after="0" w:line="54" w:lineRule="exact"/>
        <w:rPr>
          <w:sz w:val="20"/>
          <w:szCs w:val="20"/>
          <w:color w:val="auto"/>
        </w:rPr>
      </w:pPr>
    </w:p>
    <w:p>
      <w:pPr>
        <w:ind w:left="800" w:hanging="224"/>
        <w:spacing w:after="0"/>
        <w:tabs>
          <w:tab w:leader="none" w:pos="8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53" w:lineRule="exact"/>
        <w:rPr>
          <w:rFonts w:ascii="Arial" w:cs="Arial" w:eastAsia="Arial" w:hAnsi="Arial"/>
          <w:sz w:val="16"/>
          <w:szCs w:val="16"/>
          <w:color w:val="auto"/>
        </w:rPr>
      </w:pPr>
    </w:p>
    <w:p>
      <w:pPr>
        <w:ind w:left="800" w:hanging="224"/>
        <w:spacing w:after="0"/>
        <w:tabs>
          <w:tab w:leader="none" w:pos="8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45" w:lineRule="exact"/>
        <w:rPr>
          <w:rFonts w:ascii="Arial" w:cs="Arial" w:eastAsia="Arial" w:hAnsi="Arial"/>
          <w:sz w:val="16"/>
          <w:szCs w:val="16"/>
          <w:color w:val="auto"/>
        </w:rPr>
      </w:pPr>
    </w:p>
    <w:p>
      <w:pPr>
        <w:ind w:left="600" w:right="9540"/>
        <w:spacing w:after="0" w:line="314" w:lineRule="auto"/>
        <w:rPr>
          <w:rFonts w:ascii="Arial" w:cs="Arial" w:eastAsia="Arial" w:hAnsi="Arial"/>
          <w:sz w:val="16"/>
          <w:szCs w:val="16"/>
          <w:color w:val="auto"/>
        </w:rPr>
      </w:pPr>
      <w:r>
        <w:rPr>
          <w:rFonts w:ascii="Arial" w:cs="Arial" w:eastAsia="Arial" w:hAnsi="Arial"/>
          <w:sz w:val="14"/>
          <w:szCs w:val="14"/>
          <w:color w:val="auto"/>
        </w:rPr>
        <w:t>/s/ John M. Steitz John M. Steitz</w:t>
      </w:r>
    </w:p>
    <w:p>
      <w:pPr>
        <w:spacing w:after="0" w:line="1" w:lineRule="exact"/>
        <w:rPr>
          <w:rFonts w:ascii="Arial" w:cs="Arial" w:eastAsia="Arial" w:hAnsi="Arial"/>
          <w:sz w:val="16"/>
          <w:szCs w:val="16"/>
          <w:color w:val="auto"/>
        </w:rPr>
      </w:pPr>
    </w:p>
    <w:p>
      <w:pPr>
        <w:ind w:left="600" w:right="8220"/>
        <w:spacing w:after="0" w:line="281" w:lineRule="auto"/>
        <w:rPr>
          <w:rFonts w:ascii="Arial" w:cs="Arial" w:eastAsia="Arial" w:hAnsi="Arial"/>
          <w:sz w:val="16"/>
          <w:szCs w:val="16"/>
          <w:color w:val="auto"/>
        </w:rPr>
      </w:pPr>
      <w:r>
        <w:rPr>
          <w:rFonts w:ascii="Arial" w:cs="Arial" w:eastAsia="Arial" w:hAnsi="Arial"/>
          <w:sz w:val="16"/>
          <w:szCs w:val="16"/>
          <w:color w:val="auto"/>
        </w:rPr>
        <w:t>President and Chief Executive Officer (Principal Executive Officer) November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-547370</wp:posOffset>
            </wp:positionV>
            <wp:extent cx="276542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65425" cy="7620"/>
                    </a:xfrm>
                    <a:prstGeom prst="rect">
                      <a:avLst/>
                    </a:prstGeom>
                    <a:noFill/>
                  </pic:spPr>
                </pic:pic>
              </a:graphicData>
            </a:graphic>
          </wp:anchor>
        </w:drawing>
      </w:r>
    </w:p>
    <w:p>
      <w:pPr>
        <w:sectPr>
          <w:pgSz w:w="11900" w:h="16838" w:orient="portrait"/>
          <w:cols w:equalWidth="0" w:num="1">
            <w:col w:w="11260"/>
          </w:cols>
          <w:pgMar w:left="320" w:top="811" w:right="31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color w:val="auto"/>
        </w:rPr>
        <w:t>EXHIBIT 32.2</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42" w:lineRule="exact"/>
        <w:rPr>
          <w:sz w:val="20"/>
          <w:szCs w:val="20"/>
          <w:color w:val="auto"/>
        </w:rPr>
      </w:pPr>
    </w:p>
    <w:p>
      <w:pPr>
        <w:ind w:right="40" w:firstLine="579"/>
        <w:spacing w:after="0" w:line="265" w:lineRule="auto"/>
        <w:rPr>
          <w:sz w:val="20"/>
          <w:szCs w:val="20"/>
          <w:color w:val="auto"/>
        </w:rPr>
      </w:pPr>
      <w:r>
        <w:rPr>
          <w:rFonts w:ascii="Arial" w:cs="Arial" w:eastAsia="Arial" w:hAnsi="Arial"/>
          <w:sz w:val="16"/>
          <w:szCs w:val="16"/>
          <w:color w:val="auto"/>
        </w:rPr>
        <w:t>In connection with the Quarterly Report on Form 10-Q of Tredegar Corporation (the “Company”) for the quarter ended September 30, 2021 as filed with the Securities and Exchange Commission on the date hereof (the “Report”), I, D. Andrew Edwards, Executive Vice President and Chief Financial Officer of the Company, certify, pursuant to 18 U.S.C. § 1350, as adopted pursuant to § 906 of the Sarbanes-Oxley Act of 2002, that:</w:t>
      </w:r>
    </w:p>
    <w:p>
      <w:pPr>
        <w:spacing w:after="0" w:line="54" w:lineRule="exact"/>
        <w:rPr>
          <w:sz w:val="20"/>
          <w:szCs w:val="20"/>
          <w:color w:val="auto"/>
        </w:rPr>
      </w:pPr>
    </w:p>
    <w:p>
      <w:pPr>
        <w:ind w:left="800" w:hanging="224"/>
        <w:spacing w:after="0"/>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53" w:lineRule="exact"/>
        <w:rPr>
          <w:rFonts w:ascii="Arial" w:cs="Arial" w:eastAsia="Arial" w:hAnsi="Arial"/>
          <w:sz w:val="16"/>
          <w:szCs w:val="16"/>
          <w:color w:val="auto"/>
        </w:rPr>
      </w:pPr>
    </w:p>
    <w:p>
      <w:pPr>
        <w:ind w:left="800" w:hanging="224"/>
        <w:spacing w:after="0"/>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45" w:lineRule="exact"/>
        <w:rPr>
          <w:rFonts w:ascii="Arial" w:cs="Arial" w:eastAsia="Arial" w:hAnsi="Arial"/>
          <w:sz w:val="16"/>
          <w:szCs w:val="16"/>
          <w:color w:val="auto"/>
        </w:rPr>
      </w:pPr>
    </w:p>
    <w:p>
      <w:pPr>
        <w:ind w:left="600" w:right="9160"/>
        <w:spacing w:after="0" w:line="314" w:lineRule="auto"/>
        <w:rPr>
          <w:rFonts w:ascii="Arial" w:cs="Arial" w:eastAsia="Arial" w:hAnsi="Arial"/>
          <w:sz w:val="16"/>
          <w:szCs w:val="16"/>
          <w:color w:val="auto"/>
        </w:rPr>
      </w:pPr>
      <w:r>
        <w:rPr>
          <w:rFonts w:ascii="Arial" w:cs="Arial" w:eastAsia="Arial" w:hAnsi="Arial"/>
          <w:sz w:val="14"/>
          <w:szCs w:val="14"/>
          <w:color w:val="auto"/>
        </w:rPr>
        <w:t>/s/ D. Andrew Edwards D. Andrew Edwards</w:t>
      </w:r>
    </w:p>
    <w:p>
      <w:pPr>
        <w:spacing w:after="0" w:line="1" w:lineRule="exact"/>
        <w:rPr>
          <w:rFonts w:ascii="Arial" w:cs="Arial" w:eastAsia="Arial" w:hAnsi="Arial"/>
          <w:sz w:val="16"/>
          <w:szCs w:val="16"/>
          <w:color w:val="auto"/>
        </w:rPr>
      </w:pPr>
    </w:p>
    <w:p>
      <w:pPr>
        <w:ind w:left="600" w:right="7240"/>
        <w:spacing w:after="0" w:line="267" w:lineRule="auto"/>
        <w:rPr>
          <w:rFonts w:ascii="Arial" w:cs="Arial" w:eastAsia="Arial" w:hAnsi="Arial"/>
          <w:sz w:val="16"/>
          <w:szCs w:val="16"/>
          <w:color w:val="auto"/>
        </w:rPr>
      </w:pPr>
      <w:r>
        <w:rPr>
          <w:rFonts w:ascii="Arial" w:cs="Arial" w:eastAsia="Arial" w:hAnsi="Arial"/>
          <w:sz w:val="16"/>
          <w:szCs w:val="16"/>
          <w:color w:val="auto"/>
        </w:rPr>
        <w:t>Executive Vice President and Chief Financial Officer (Principal Financial Officer)</w:t>
      </w:r>
    </w:p>
    <w:p>
      <w:pPr>
        <w:ind w:left="600"/>
        <w:spacing w:after="0"/>
        <w:rPr>
          <w:rFonts w:ascii="Arial" w:cs="Arial" w:eastAsia="Arial" w:hAnsi="Arial"/>
          <w:sz w:val="16"/>
          <w:szCs w:val="16"/>
          <w:color w:val="auto"/>
        </w:rPr>
      </w:pPr>
      <w:r>
        <w:rPr>
          <w:rFonts w:ascii="Arial" w:cs="Arial" w:eastAsia="Arial" w:hAnsi="Arial"/>
          <w:sz w:val="16"/>
          <w:szCs w:val="16"/>
          <w:color w:val="auto"/>
        </w:rPr>
        <w:t>November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-514350</wp:posOffset>
            </wp:positionV>
            <wp:extent cx="276542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65425" cy="7620"/>
                    </a:xfrm>
                    <a:prstGeom prst="rect">
                      <a:avLst/>
                    </a:prstGeom>
                    <a:noFill/>
                  </pic:spPr>
                </pic:pic>
              </a:graphicData>
            </a:graphic>
          </wp:anchor>
        </w:drawing>
      </w:r>
    </w:p>
    <w:sectPr>
      <w:pgSz w:w="11900" w:h="16838" w:orient="portrait"/>
      <w:cols w:equalWidth="0" w:num="1">
        <w:col w:w="11260"/>
      </w:cols>
      <w:pgMar w:left="320" w:top="81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2"/>
      <w:numFmt w:val="bullet"/>
      <w:start w:val="1"/>
    </w:lvl>
  </w:abstractNum>
  <w:abstractNum w:abstractNumId="3">
    <w:nsid w:val="25E45D32"/>
    <w:multiLevelType w:val="hybridMultilevel"/>
    <w:lvl w:ilvl="0">
      <w:lvlJc w:val="left"/>
      <w:lvlText w:val="(%1)"/>
      <w:numFmt w:val="lowerLetter"/>
      <w:start w:val="1"/>
    </w:lvl>
  </w:abstractNum>
  <w:abstractNum w:abstractNumId="4">
    <w:nsid w:val="519B500D"/>
    <w:multiLevelType w:val="hybridMultilevel"/>
    <w:lvl w:ilvl="0">
      <w:lvlJc w:val="left"/>
      <w:lvlText w:val="(%1)"/>
      <w:numFmt w:val="lowerLetter"/>
      <w:start w:val="1"/>
    </w:lvl>
  </w:abstractNum>
  <w:abstractNum w:abstractNumId="5">
    <w:nsid w:val="431BD7B7"/>
    <w:multiLevelType w:val="hybridMultilevel"/>
    <w:lvl w:ilvl="0">
      <w:lvlJc w:val="left"/>
      <w:lvlText w:val="(%1)"/>
      <w:numFmt w:val="lowerLetter"/>
      <w:start w:val="1"/>
    </w:lvl>
  </w:abstractNum>
  <w:abstractNum w:abstractNumId="6">
    <w:nsid w:val="3F2DBA31"/>
    <w:multiLevelType w:val="hybridMultilevel"/>
    <w:lvl w:ilvl="0">
      <w:lvlJc w:val="left"/>
      <w:lvlText w:val="(%1)"/>
      <w:numFmt w:val="lowerLetter"/>
      <w:start w:val="1"/>
    </w:lvl>
  </w:abstractNum>
  <w:abstractNum w:abstractNumId="7">
    <w:nsid w:val="7C83E458"/>
    <w:multiLevelType w:val="hybridMultilevel"/>
    <w:lvl w:ilvl="0">
      <w:lvlJc w:val="left"/>
      <w:lvlText w:val="(%1)"/>
      <w:numFmt w:val="lowerLetter"/>
      <w:start w:val="1"/>
    </w:lvl>
  </w:abstractNum>
  <w:abstractNum w:abstractNumId="8">
    <w:nsid w:val="257130A3"/>
    <w:multiLevelType w:val="hybridMultilevel"/>
    <w:lvl w:ilvl="0">
      <w:lvlJc w:val="left"/>
      <w:lvlText w:val="(%1)"/>
      <w:numFmt w:val="lowerLetter"/>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1"/>
    </w:lvl>
    <w:lvl w:ilvl="1">
      <w:lvlJc w:val="left"/>
      <w:lvlText w:val="%2."/>
      <w:numFmt w:val="decimal"/>
      <w:start w:val="1"/>
    </w:lvl>
  </w:abstractNum>
  <w:abstractNum w:abstractNumId="16">
    <w:nsid w:val="6763845E"/>
    <w:multiLevelType w:val="hybridMultilevel"/>
    <w:lvl w:ilvl="0">
      <w:lvlJc w:val="left"/>
      <w:lvlText w:val="%1."/>
      <w:numFmt w:val="decimal"/>
      <w:start w:val="2"/>
    </w:lvl>
    <w:lvl w:ilvl="1">
      <w:lvlJc w:val="left"/>
      <w:lvlText w:val="%2"/>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
      <w:numFmt w:val="bullet"/>
      <w:start w:val="1"/>
    </w:lvl>
    <w:lvl w:ilvl="1">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lowerLetter"/>
      <w:start w:val="3"/>
    </w:lvl>
  </w:abstractNum>
  <w:abstractNum w:abstractNumId="25">
    <w:nsid w:val="2CA88611"/>
    <w:multiLevelType w:val="hybridMultilevel"/>
    <w:lvl w:ilvl="0">
      <w:lvlJc w:val="left"/>
      <w:lvlText w:val="%1"/>
      <w:numFmt w:val="decimal"/>
      <w:start w:val="104"/>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2021-11-05T07:48:20Z</dcterms:created>
  <dcterms:modified xsi:type="dcterms:W3CDTF">2021-11-05T07:48:20Z</dcterms:modified>
</cp:coreProperties>
</file>