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51435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87630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680" w:right="20" w:hanging="463"/>
        <w:spacing w:after="0" w:line="238" w:lineRule="auto"/>
        <w:tabs>
          <w:tab w:leader="none" w:pos="6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443"/>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304"/>
        </w:trPr>
        <w:tc>
          <w:tcPr>
            <w:tcW w:w="320" w:type="dxa"/>
            <w:vAlign w:val="bottom"/>
          </w:tcPr>
          <w:p>
            <w:pPr>
              <w:spacing w:after="0"/>
              <w:rPr>
                <w:sz w:val="24"/>
                <w:szCs w:val="24"/>
                <w:color w:val="auto"/>
              </w:rPr>
            </w:pPr>
          </w:p>
        </w:tc>
        <w:tc>
          <w:tcPr>
            <w:tcW w:w="376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c>
          <w:tcPr>
            <w:tcW w:w="320" w:type="dxa"/>
            <w:vAlign w:val="bottom"/>
          </w:tcPr>
          <w:p>
            <w:pPr>
              <w:spacing w:after="0"/>
              <w:rPr>
                <w:sz w:val="24"/>
                <w:szCs w:val="24"/>
                <w:color w:val="auto"/>
              </w:rPr>
            </w:pPr>
          </w:p>
        </w:tc>
      </w:tr>
      <w:tr>
        <w:trPr>
          <w:trHeight w:val="102"/>
        </w:trPr>
        <w:tc>
          <w:tcPr>
            <w:tcW w:w="3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Tredegar Corporation</w:t>
      </w:r>
    </w:p>
    <w:p>
      <w:pPr>
        <w:spacing w:after="0" w:line="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54-1497771</w:t>
      </w:r>
    </w:p>
    <w:p>
      <w:pPr>
        <w:spacing w:after="0" w:line="37" w:lineRule="exact"/>
        <w:rPr>
          <w:sz w:val="24"/>
          <w:szCs w:val="24"/>
          <w:color w:val="auto"/>
        </w:rPr>
      </w:pPr>
    </w:p>
    <w:p>
      <w:pPr>
        <w:sectPr>
          <w:pgSz w:w="11900" w:h="16838" w:orient="portrait"/>
          <w:cols w:equalWidth="0" w:num="2">
            <w:col w:w="7360" w:space="720"/>
            <w:col w:w="3100"/>
          </w:cols>
          <w:pgMar w:left="320" w:top="767" w:right="39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220" w:space="720"/>
            <w:col w:w="3240"/>
          </w:cols>
          <w:pgMar w:left="320" w:top="767" w:right="39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7"/>
          <w:szCs w:val="17"/>
          <w:b w:val="1"/>
          <w:bCs w:val="1"/>
          <w:color w:val="auto"/>
        </w:rPr>
        <w:t>1100 Boulders Parkway</w:t>
      </w:r>
    </w:p>
    <w:p>
      <w:pPr>
        <w:spacing w:after="0" w:line="4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23225</w:t>
      </w:r>
    </w:p>
    <w:p>
      <w:pPr>
        <w:spacing w:after="0" w:line="31" w:lineRule="exact"/>
        <w:rPr>
          <w:sz w:val="24"/>
          <w:szCs w:val="24"/>
          <w:color w:val="auto"/>
        </w:rPr>
      </w:pPr>
    </w:p>
    <w:p>
      <w:pPr>
        <w:sectPr>
          <w:pgSz w:w="11900" w:h="16838" w:orient="portrait"/>
          <w:cols w:equalWidth="0" w:num="2">
            <w:col w:w="8220" w:space="720"/>
            <w:col w:w="2240"/>
          </w:cols>
          <w:pgMar w:left="320" w:top="767" w:right="39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120" w:space="720"/>
            <w:col w:w="2340"/>
          </w:cols>
          <w:pgMar w:left="320" w:top="767" w:right="399" w:bottom="1440" w:gutter="0" w:footer="0" w:header="0"/>
          <w:type w:val="continuous"/>
        </w:sectPr>
      </w:pP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(804) 330-1000</w:t>
      </w:r>
    </w:p>
    <w:p>
      <w:pPr>
        <w:spacing w:after="0" w:line="1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2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TG</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91" w:lineRule="exact"/>
        <w:rPr>
          <w:sz w:val="24"/>
          <w:szCs w:val="24"/>
          <w:color w:val="auto"/>
        </w:rPr>
      </w:pPr>
    </w:p>
    <w:p>
      <w:pPr>
        <w:ind w:right="220" w:firstLine="405"/>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firstLine="445"/>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240" w:firstLine="44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67" w:right="399" w:bottom="1440" w:gutter="0" w:footer="0" w:header="0"/>
          <w:type w:val="continuous"/>
        </w:sectPr>
      </w:pP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1560" w:space="720"/>
            <w:col w:w="2220" w:space="720"/>
            <w:col w:w="1400" w:space="720"/>
            <w:col w:w="180" w:space="120"/>
            <w:col w:w="2040" w:space="720"/>
            <w:col w:w="780"/>
          </w:cols>
          <w:pgMar w:left="320" w:top="767" w:right="399" w:bottom="1440" w:gutter="0" w:footer="0" w:header="0"/>
          <w:type w:val="continuous"/>
        </w:sectPr>
      </w:pP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36" w:lineRule="exact"/>
        <w:rPr>
          <w:sz w:val="24"/>
          <w:szCs w:val="24"/>
          <w:color w:val="auto"/>
        </w:rPr>
      </w:pPr>
    </w:p>
    <w:p>
      <w:pPr>
        <w:sectPr>
          <w:pgSz w:w="11900" w:h="16838" w:orient="portrait"/>
          <w:cols w:equalWidth="0" w:num="4">
            <w:col w:w="1560" w:space="720"/>
            <w:col w:w="4640" w:space="720"/>
            <w:col w:w="2040" w:space="720"/>
            <w:col w:w="780"/>
          </w:cols>
          <w:pgMar w:left="320" w:top="767" w:right="399" w:bottom="1440" w:gutter="0" w:footer="0" w:header="0"/>
          <w:type w:val="continuous"/>
        </w:sectPr>
      </w:pPr>
    </w:p>
    <w:p>
      <w:pPr>
        <w:ind w:right="120" w:firstLine="405"/>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460" w:right="2140"/>
        <w:spacing w:after="0" w:line="2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The number of shares of Common Stock, no par value, outstanding as of November 4, 2022: 34,000,642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436880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Tredegar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18"/>
                <w:szCs w:val="18"/>
                <w:color w:val="auto"/>
              </w:rPr>
            </w:pPr>
          </w:p>
        </w:tc>
        <w:tc>
          <w:tcPr>
            <w:tcW w:w="3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20" w:type="dxa"/>
            <w:vAlign w:val="bottom"/>
            <w:gridSpan w:val="8"/>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(Loss) (unaudited)</w:t>
            </w:r>
          </w:p>
        </w:tc>
        <w:tc>
          <w:tcPr>
            <w:tcW w:w="4540" w:type="dxa"/>
            <w:vAlign w:val="bottom"/>
            <w:gridSpan w:val="5"/>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(unaudited)</w:t>
            </w:r>
          </w:p>
        </w:tc>
        <w:tc>
          <w:tcPr>
            <w:tcW w:w="33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4740" w:type="dxa"/>
            <w:vAlign w:val="bottom"/>
            <w:gridSpan w:val="6"/>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410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00" w:type="dxa"/>
            <w:vAlign w:val="bottom"/>
            <w:gridSpan w:val="3"/>
          </w:tcPr>
          <w:p>
            <w:pPr>
              <w:spacing w:after="0"/>
              <w:rPr>
                <w:sz w:val="18"/>
                <w:szCs w:val="18"/>
                <w:color w:val="auto"/>
              </w:rPr>
            </w:pP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3</w:t>
            </w:r>
            <w:r>
              <w:rPr>
                <w:rFonts w:ascii="Times New Roman" w:cs="Times New Roman" w:eastAsia="Times New Roman" w:hAnsi="Times New Roman"/>
                <w:sz w:val="18"/>
                <w:szCs w:val="18"/>
                <w:color w:val="000000"/>
                <w:w w:val="94"/>
              </w:rPr>
              <w:t>.</w:t>
            </w:r>
          </w:p>
        </w:tc>
        <w:tc>
          <w:tcPr>
            <w:tcW w:w="400" w:type="dxa"/>
            <w:vAlign w:val="bottom"/>
            <w:gridSpan w:val="3"/>
          </w:tcPr>
          <w:p>
            <w:pPr>
              <w:spacing w:after="0"/>
              <w:rPr>
                <w:sz w:val="18"/>
                <w:szCs w:val="18"/>
                <w:color w:val="auto"/>
              </w:rPr>
            </w:pPr>
          </w:p>
        </w:tc>
        <w:tc>
          <w:tcPr>
            <w:tcW w:w="64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400" w:type="dxa"/>
            <w:vAlign w:val="bottom"/>
            <w:gridSpan w:val="3"/>
          </w:tcPr>
          <w:p>
            <w:pPr>
              <w:spacing w:after="0"/>
              <w:rPr>
                <w:sz w:val="18"/>
                <w:szCs w:val="18"/>
                <w:color w:val="auto"/>
              </w:rPr>
            </w:pP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2"/>
          </w:tcPr>
          <w:p>
            <w:pPr>
              <w:spacing w:after="0"/>
              <w:rPr>
                <w:sz w:val="18"/>
                <w:szCs w:val="18"/>
                <w:color w:val="auto"/>
              </w:rPr>
            </w:pPr>
          </w:p>
        </w:tc>
        <w:tc>
          <w:tcPr>
            <w:tcW w:w="4980" w:type="dxa"/>
            <w:vAlign w:val="bottom"/>
            <w:gridSpan w:val="7"/>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380" w:type="dxa"/>
            <w:vAlign w:val="bottom"/>
            <w:gridSpan w:val="2"/>
          </w:tcPr>
          <w:p>
            <w:pPr>
              <w:spacing w:after="0"/>
              <w:rPr>
                <w:sz w:val="24"/>
                <w:szCs w:val="24"/>
                <w:color w:val="auto"/>
              </w:rPr>
            </w:pPr>
          </w:p>
        </w:tc>
        <w:tc>
          <w:tcPr>
            <w:tcW w:w="1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880" w:type="dxa"/>
            <w:vAlign w:val="bottom"/>
            <w:gridSpan w:val="11"/>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20" w:type="dxa"/>
            <w:vAlign w:val="bottom"/>
            <w:gridSpan w:val="1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2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420" w:type="dxa"/>
            <w:vAlign w:val="bottom"/>
            <w:gridSpan w:val="12"/>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8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30,521</w:t>
            </w:r>
          </w:p>
        </w:tc>
      </w:tr>
      <w:tr>
        <w:trPr>
          <w:trHeight w:val="230"/>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110,077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103,312</w:t>
            </w:r>
          </w:p>
        </w:tc>
      </w:tr>
      <w:tr>
        <w:trPr>
          <w:trHeight w:val="22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r>
      <w:tr>
        <w:trPr>
          <w:trHeight w:val="229"/>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114,103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88,569</w:t>
            </w:r>
          </w:p>
        </w:tc>
      </w:tr>
      <w:tr>
        <w:trPr>
          <w:trHeight w:val="230"/>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r>
      <w:tr>
        <w:trPr>
          <w:trHeight w:val="229"/>
        </w:trPr>
        <w:tc>
          <w:tcPr>
            <w:tcW w:w="8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255,016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236,413</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520,371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498,311</w:t>
            </w:r>
          </w:p>
        </w:tc>
      </w:tr>
      <w:tr>
        <w:trPr>
          <w:trHeight w:val="229"/>
        </w:trPr>
        <w:tc>
          <w:tcPr>
            <w:tcW w:w="8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(340,868)</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(327,930)</w:t>
            </w:r>
          </w:p>
        </w:tc>
      </w:tr>
      <w:tr>
        <w:trPr>
          <w:trHeight w:val="223"/>
        </w:trPr>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179,503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14,356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13,847</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70,608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70,608</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11,820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30"/>
        </w:trPr>
        <w:tc>
          <w:tcPr>
            <w:tcW w:w="8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3,155</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30"/>
        </w:trPr>
        <w:tc>
          <w:tcPr>
            <w:tcW w:w="84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546,658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523,584</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126,848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123,760</w:t>
            </w:r>
          </w:p>
        </w:tc>
      </w:tr>
      <w:tr>
        <w:trPr>
          <w:trHeight w:val="230"/>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36,894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33,104</w:t>
            </w:r>
          </w:p>
        </w:tc>
      </w:tr>
      <w:tr>
        <w:trPr>
          <w:trHeight w:val="22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30"/>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w:t>
            </w:r>
          </w:p>
        </w:tc>
      </w:tr>
      <w:tr>
        <w:trPr>
          <w:trHeight w:val="230"/>
        </w:trPr>
        <w:tc>
          <w:tcPr>
            <w:tcW w:w="8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8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167,207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168,548</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13,160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124,000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73,000</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28,464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78,265</w:t>
            </w:r>
          </w:p>
        </w:tc>
      </w:tr>
      <w:tr>
        <w:trPr>
          <w:trHeight w:val="230"/>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6,769</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w:t>
            </w:r>
          </w:p>
        </w:tc>
      </w:tr>
      <w:tr>
        <w:trPr>
          <w:trHeight w:val="223"/>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339,600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338,862</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5"/>
        </w:trPr>
        <w:tc>
          <w:tcPr>
            <w:tcW w:w="84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no par value (issued and outstanding 33,982,479 shares at September 30, 2022 and 33,736,629</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at December 31, 2021)</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57,902</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55,174</w:t>
            </w:r>
          </w:p>
        </w:tc>
      </w:tr>
      <w:tr>
        <w:trPr>
          <w:trHeight w:val="175"/>
        </w:trPr>
        <w:tc>
          <w:tcPr>
            <w:tcW w:w="84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held in trust for savings restoration plan (111,861 shares at September 30, 2022 and 108,433</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at December 31, 2021)</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2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(85,792)</w:t>
            </w:r>
          </w:p>
        </w:tc>
      </w:tr>
      <w:tr>
        <w:trPr>
          <w:trHeight w:val="230"/>
        </w:trPr>
        <w:tc>
          <w:tcPr>
            <w:tcW w:w="8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29"/>
        </w:trPr>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Pension and other postretirement benefit adjustments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(64,613)</w:t>
            </w:r>
          </w:p>
        </w:tc>
      </w:tr>
      <w:tr>
        <w:trPr>
          <w:trHeight w:val="230"/>
        </w:trPr>
        <w:tc>
          <w:tcPr>
            <w:tcW w:w="8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300,996</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281,187</w:t>
            </w:r>
          </w:p>
        </w:tc>
      </w:tr>
      <w:tr>
        <w:trPr>
          <w:trHeight w:val="223"/>
        </w:trPr>
        <w:tc>
          <w:tcPr>
            <w:tcW w:w="84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207,058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184,722</w:t>
            </w:r>
          </w:p>
        </w:tc>
      </w:tr>
      <w:tr>
        <w:trPr>
          <w:trHeight w:val="230"/>
        </w:trPr>
        <w:tc>
          <w:tcPr>
            <w:tcW w:w="84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546,658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523,584</w:t>
            </w:r>
          </w:p>
        </w:tc>
      </w:tr>
    </w:tbl>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ectPr>
          <w:pgSz w:w="11900" w:h="16838" w:orient="portrait"/>
          <w:cols w:equalWidth="0" w:num="1">
            <w:col w:w="11140"/>
          </w:cols>
          <w:pgMar w:left="320" w:top="603" w:right="439" w:bottom="1440" w:gutter="0" w:footer="0" w:header="0"/>
        </w:sect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03" w:right="4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820" w:type="dxa"/>
            <w:vAlign w:val="bottom"/>
            <w:tcBorders>
              <w:top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20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34"/>
        </w:trPr>
        <w:tc>
          <w:tcPr>
            <w:tcW w:w="5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 items: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238,486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209,517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749,415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605,468</w:t>
            </w:r>
          </w:p>
        </w:tc>
      </w:tr>
      <w:tr>
        <w:trPr>
          <w:trHeight w:val="229"/>
        </w:trPr>
        <w:tc>
          <w:tcPr>
            <w:tcW w:w="5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w:t>
            </w:r>
          </w:p>
        </w:tc>
      </w:tr>
      <w:tr>
        <w:trPr>
          <w:trHeight w:val="223"/>
        </w:trPr>
        <w:tc>
          <w:tcPr>
            <w:tcW w:w="5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238,605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209,908</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750,528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614,740</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200,582</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170,756</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601,930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470,733</w:t>
            </w: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Freight</w:t>
            </w:r>
          </w:p>
        </w:tc>
        <w:tc>
          <w:tcPr>
            <w:tcW w:w="1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7,264</w:t>
            </w:r>
          </w:p>
        </w:tc>
        <w:tc>
          <w:tcPr>
            <w:tcW w:w="2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28,619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20,531</w:t>
            </w: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19,018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16,767</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59,160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55,422</w:t>
            </w: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1,613</w:t>
            </w:r>
          </w:p>
        </w:tc>
        <w:tc>
          <w:tcPr>
            <w:tcW w:w="2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w:t>
            </w: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3,506</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3,540</w:t>
            </w:r>
          </w:p>
        </w:tc>
        <w:tc>
          <w:tcPr>
            <w:tcW w:w="2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w:t>
            </w: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r>
      <w:tr>
        <w:trPr>
          <w:trHeight w:val="184"/>
        </w:trPr>
        <w:tc>
          <w:tcPr>
            <w:tcW w:w="53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Asset impairments and costs associated with exit and disposal</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5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activities, net of adjustments</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3"/>
        </w:trPr>
        <w:tc>
          <w:tcPr>
            <w:tcW w:w="53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236,468</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201,771</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710,814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567,436</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8,137</w:t>
            </w:r>
          </w:p>
        </w:tc>
        <w:tc>
          <w:tcPr>
            <w:tcW w:w="2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39,714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47,304</w:t>
            </w:r>
          </w:p>
        </w:tc>
      </w:tr>
      <w:tr>
        <w:trPr>
          <w:trHeight w:val="229"/>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1,908</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6,229</w:t>
            </w:r>
          </w:p>
        </w:tc>
        <w:tc>
          <w:tcPr>
            <w:tcW w:w="2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32,254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36,576</w:t>
            </w: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1,033</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32,322</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36,472</w:t>
            </w:r>
          </w:p>
        </w:tc>
      </w:tr>
      <w:tr>
        <w:trPr>
          <w:trHeight w:val="256"/>
        </w:trPr>
        <w:tc>
          <w:tcPr>
            <w:tcW w:w="5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5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5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to compute earnings (loss) per share: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33,870</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33,620</w:t>
            </w:r>
          </w:p>
        </w:tc>
        <w:tc>
          <w:tcPr>
            <w:tcW w:w="2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33,780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33,541</w:t>
            </w: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33,871</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33,649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33,808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33,678</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9000"/>
        <w:spacing w:after="0"/>
        <w:rPr>
          <w:sz w:val="20"/>
          <w:szCs w:val="20"/>
          <w:color w:val="auto"/>
        </w:rPr>
      </w:pPr>
      <w:r>
        <w:rPr>
          <w:rFonts w:ascii="Times New Roman" w:cs="Times New Roman" w:eastAsia="Times New Roman" w:hAnsi="Times New Roman"/>
          <w:sz w:val="18"/>
          <w:szCs w:val="18"/>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r>
      <w:tr>
        <w:trPr>
          <w:trHeight w:val="23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5"/>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foreign currency translation adjustment (net of tax benefit of $148 in 2022 and net of tax benefit of $294 in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29"/>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financial instruments adjustment (net of tax benefit of $818 in 2022 and net of tax benefit of $174 in 2021)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176"/>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Amortization of prior service costs and net gains or losses (net of tax expense of $712 in 2022 and net of tax expense of</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$927 in 2021)</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2,556</w:t>
            </w: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r>
      <w:tr>
        <w:trPr>
          <w:trHeight w:val="223"/>
        </w:trPr>
        <w:tc>
          <w:tcPr>
            <w:tcW w:w="9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9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r>
      <w:tr>
        <w:trPr>
          <w:trHeight w:val="372"/>
        </w:trPr>
        <w:tc>
          <w:tcPr>
            <w:tcW w:w="9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spacing w:after="0"/>
              <w:rPr>
                <w:sz w:val="24"/>
                <w:szCs w:val="24"/>
                <w:color w:val="auto"/>
              </w:rPr>
            </w:pPr>
          </w:p>
        </w:tc>
      </w:tr>
      <w:tr>
        <w:trPr>
          <w:trHeight w:val="175"/>
        </w:trPr>
        <w:tc>
          <w:tcPr>
            <w:tcW w:w="9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3"/>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9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8"/>
        </w:trPr>
        <w:tc>
          <w:tcPr>
            <w:tcW w:w="9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32,322</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36,472</w:t>
            </w:r>
          </w:p>
        </w:tc>
      </w:tr>
      <w:tr>
        <w:trPr>
          <w:trHeight w:val="229"/>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6"/>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foreign currency translation adjustment (net of tax expense of $98 in 2022 and net of tax benefit of $103 in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176"/>
        </w:trPr>
        <w:tc>
          <w:tcPr>
            <w:tcW w:w="90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Derivative financial instruments adjustment (net of tax benefit of $1,261 in 2022 and net of tax expense of $185 in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175"/>
        </w:trPr>
        <w:tc>
          <w:tcPr>
            <w:tcW w:w="9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 losses (net of tax expense of $2,136 in 2022 and net of tax expense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9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$2,773 in 2021)</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7,650</w:t>
            </w: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r>
      <w:tr>
        <w:trPr>
          <w:trHeight w:val="223"/>
        </w:trPr>
        <w:tc>
          <w:tcPr>
            <w:tcW w:w="9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9,026</w:t>
            </w:r>
          </w:p>
        </w:tc>
      </w:tr>
      <w:tr>
        <w:trPr>
          <w:trHeight w:val="230"/>
        </w:trPr>
        <w:tc>
          <w:tcPr>
            <w:tcW w:w="9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32,160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45,498</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08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7"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8"/>
          <w:szCs w:val="18"/>
          <w:color w:val="auto"/>
        </w:rPr>
        <w:t>Nine Months Ended</w:t>
      </w:r>
    </w:p>
    <w:p>
      <w:pPr>
        <w:jc w:val="center"/>
        <w:ind w:left="9220"/>
        <w:spacing w:after="0"/>
        <w:rPr>
          <w:sz w:val="20"/>
          <w:szCs w:val="20"/>
          <w:color w:val="auto"/>
        </w:rPr>
      </w:pPr>
      <w:r>
        <w:rPr>
          <w:rFonts w:ascii="Times New Roman" w:cs="Times New Roman" w:eastAsia="Times New Roman" w:hAnsi="Times New Roman"/>
          <w:sz w:val="18"/>
          <w:szCs w:val="18"/>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32,322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36,472</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17,538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3,078</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10,519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liability</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r>
      <w:tr>
        <w:trPr>
          <w:trHeight w:val="229"/>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1,935</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51,487</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(19,576)</w:t>
            </w:r>
          </w:p>
        </w:tc>
      </w:tr>
      <w:tr>
        <w:trPr>
          <w:trHeight w:val="23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kaléo</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2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w:t>
            </w:r>
          </w:p>
        </w:tc>
      </w:tr>
      <w:tr>
        <w:trPr>
          <w:trHeight w:val="223"/>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279,250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69,250</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principal payments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(228,250)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w:t>
            </w:r>
          </w:p>
        </w:tc>
      </w:tr>
      <w:tr>
        <w:trPr>
          <w:trHeight w:val="23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financing costs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36,807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(18,199)</w:t>
            </w:r>
          </w:p>
        </w:tc>
      </w:tr>
      <w:tr>
        <w:trPr>
          <w:trHeight w:val="229"/>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&amp; cash equivalents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30,521</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19,250</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8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September 30,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6"/>
                <w:szCs w:val="16"/>
                <w:color w:val="auto"/>
              </w:rPr>
            </w:pPr>
          </w:p>
        </w:tc>
        <w:tc>
          <w:tcPr>
            <w:tcW w:w="94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2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July 1,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304,370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211,785</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1,033</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300,996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207,058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nine month period ended September 30,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5"/>
                <w:szCs w:val="15"/>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5"/>
                <w:szCs w:val="15"/>
                <w:color w:val="auto"/>
              </w:rPr>
            </w:pPr>
          </w:p>
        </w:tc>
        <w:tc>
          <w:tcPr>
            <w:tcW w:w="136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22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281,187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184,722</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32,322</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($0.37 per share)</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3,124</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175"/>
        </w:trPr>
        <w:tc>
          <w:tcPr>
            <w:tcW w:w="4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57,902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300,996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(149,666)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September 30,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6"/>
                <w:szCs w:val="16"/>
                <w:color w:val="auto"/>
              </w:rPr>
            </w:pPr>
          </w:p>
        </w:tc>
        <w:tc>
          <w:tcPr>
            <w:tcW w:w="90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8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6"/>
                <w:szCs w:val="16"/>
                <w:color w:val="auto"/>
              </w:rPr>
            </w:pPr>
          </w:p>
        </w:tc>
        <w:tc>
          <w:tcPr>
            <w:tcW w:w="12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261,699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143,340</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6,203</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($0.12 per share)</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263,873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nine month period ended September 30,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5"/>
                <w:szCs w:val="15"/>
                <w:color w:val="auto"/>
              </w:rPr>
            </w:pPr>
          </w:p>
        </w:tc>
        <w:tc>
          <w:tcPr>
            <w:tcW w:w="9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5"/>
                <w:szCs w:val="15"/>
                <w:color w:val="auto"/>
              </w:rPr>
            </w:pPr>
          </w:p>
        </w:tc>
        <w:tc>
          <w:tcPr>
            <w:tcW w:w="138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239,480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109,055</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36,472</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36,472</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9,954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($0.36 per share)</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2,925</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upon exercise of stock options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 savings</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53,906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263,873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(169,378)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146,279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08" w:lineRule="exact"/>
        <w:rPr>
          <w:sz w:val="20"/>
          <w:szCs w:val="20"/>
          <w:color w:val="auto"/>
        </w:rPr>
      </w:pPr>
    </w:p>
    <w:p>
      <w:pPr>
        <w:ind w:right="480" w:firstLine="405"/>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September 30, 2022, the condensed consolidated results of operations for the three and nine months ended September 30, 2022 and 2021, the condensed consolidated cash flows for the nine months ended September 30, 2022 and 2021, and the condensed consolidated changes in shareholders’ equity for the nine months ended September 30, 2022 and 2021, in accordance with U.S. generally accepted accounting principles (“GAAP”). All such adjustments, unless otherwise detailed in the notes to the condensed consolidated financial statements, are deemed to be of a normal, recurring nature.</w:t>
      </w:r>
    </w:p>
    <w:p>
      <w:pPr>
        <w:spacing w:after="0" w:line="5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Company operates on a calendar fiscal year except for the Aluminum Extrusions segment, which operates on a 52/53-week fiscal year basis. As such, the fiscal third quarter for 2022 and 2021 for this segment references 13-week periods ended September 25, 2022 and September 26, 2021.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There was no intercompany funding with Aluminum Extrusions between September 25, 2022 and September 30, 2022.</w:t>
      </w:r>
    </w:p>
    <w:p>
      <w:pPr>
        <w:spacing w:after="0" w:line="6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financial position data as of December 31, 2021 that is included herein was derived from the audited consolidated financial statements provided in the Company’s Annual Report on Form 10-K for the year ended December 31, 2021 (“2021 Form 10-K”) but does not include all disclosures required by GAAP. These financial statements should be read in conjunction with the consolidated financial statements and related notes included in the 2021 Form 10-K.</w:t>
      </w:r>
    </w:p>
    <w:p>
      <w:pPr>
        <w:spacing w:after="0" w:line="45"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2022, are not necessarily indicative of the results to be expected for the full year.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08" w:lineRule="exact"/>
        <w:rPr>
          <w:sz w:val="20"/>
          <w:szCs w:val="20"/>
          <w:color w:val="auto"/>
        </w:rPr>
      </w:pPr>
    </w:p>
    <w:p>
      <w:pPr>
        <w:ind w:right="600"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events and circumstances indicated that the Surface Protection reporting unit ("Surface Protection"), which is also the asset group, might be impaired. The Company performed a goodwill and long-lived impairment analysis for Surface Protection and determined that the fair value of Surface Protection exceeded its carrying value. Given the uncertain demand for Surface Protections products, it is reasonably possible that the cash flow estimates used in deriving such fair value measurements may change in the future.</w:t>
      </w:r>
    </w:p>
    <w:p>
      <w:pPr>
        <w:spacing w:after="0" w:line="45" w:lineRule="exact"/>
        <w:rPr>
          <w:sz w:val="20"/>
          <w:szCs w:val="20"/>
          <w:color w:val="auto"/>
        </w:rPr>
      </w:pPr>
    </w:p>
    <w:p>
      <w:pPr>
        <w:ind w:right="340" w:firstLine="405"/>
        <w:spacing w:after="0" w:line="360" w:lineRule="auto"/>
        <w:rPr>
          <w:sz w:val="20"/>
          <w:szCs w:val="20"/>
          <w:color w:val="auto"/>
        </w:rPr>
      </w:pPr>
      <w:r>
        <w:rPr>
          <w:rFonts w:ascii="Times New Roman" w:cs="Times New Roman" w:eastAsia="Times New Roman" w:hAnsi="Times New Roman"/>
          <w:sz w:val="18"/>
          <w:szCs w:val="18"/>
          <w:color w:val="auto"/>
        </w:rPr>
        <w:t xml:space="preserve">As of September 30, 2022, the Surface Protection reporting unit had goodwill of $57.3 million and long-lived identifiable assets of $29.5 million. </w:t>
      </w:r>
      <w:r>
        <w:rPr>
          <w:rFonts w:ascii="Times New Roman" w:cs="Times New Roman" w:eastAsia="Times New Roman" w:hAnsi="Times New Roman"/>
          <w:sz w:val="18"/>
          <w:szCs w:val="18"/>
          <w:b w:val="1"/>
          <w:bCs w:val="1"/>
          <w:i w:val="1"/>
          <w:iCs w:val="1"/>
          <w:color w:val="auto"/>
        </w:rPr>
        <w:t>Accounting Standards Adopted</w:t>
      </w: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2020-04, which provides optional expedients and exceptions for applying GAAP to contracts, hedging relationships and other transactions affected by the discontinuation of the London Interbank Offered Rate or by another reference rate expected to be discontinued because of reference rate reform. The guidance was effective beginning March 12, 2020 and can be applied prospectively through December 31, 2022. In January 2021, the FASB issued ASU 2021-01, which clarified the scope and application of the original guidance. In the second quarter of 2022, the Company adopted ASU 2020-04, which did not have a material impact on the Company’s consolidated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08"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In September 2022, the FASB issued ASU 2022-04, which requires that a buyer in a supplier finance program disclose sufficient information about the program to allow a user of financial statements to understand the program’s nature, activity during the period, changes from period to period, and potential magnitude. The guidance is effective for annual periods beginning after December 15, 2022, with early adoption permitted. The Company is currently evaluating the potential impact of adopting this guidance, but does not expect it to have a material impact on the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2022 and December 31, 2021, accounts receivable and other receivables, net include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6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4"/>
              </w:rPr>
              <w:t>2022</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2180" w:type="dxa"/>
            <w:vAlign w:val="bottom"/>
            <w:shd w:val="clear" w:color="auto" w:fill="CCEEFF"/>
          </w:tcPr>
          <w:p>
            <w:pPr>
              <w:spacing w:after="0"/>
              <w:rPr>
                <w:sz w:val="19"/>
                <w:szCs w:val="19"/>
                <w:color w:val="auto"/>
              </w:rPr>
            </w:pPr>
          </w:p>
        </w:tc>
        <w:tc>
          <w:tcPr>
            <w:tcW w:w="1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108,438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102,090</w:t>
            </w:r>
          </w:p>
        </w:tc>
      </w:tr>
      <w:tr>
        <w:trPr>
          <w:trHeight w:val="229"/>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3,959</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23"/>
        </w:trPr>
        <w:tc>
          <w:tcPr>
            <w:tcW w:w="4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2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112,397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105,048</w:t>
            </w:r>
          </w:p>
        </w:tc>
      </w:tr>
      <w:tr>
        <w:trPr>
          <w:trHeight w:val="229"/>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bad debts</w:t>
            </w:r>
          </w:p>
        </w:tc>
        <w:tc>
          <w:tcPr>
            <w:tcW w:w="2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30"/>
        </w:trPr>
        <w:tc>
          <w:tcPr>
            <w:tcW w:w="46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218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110,077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103,312</w:t>
            </w:r>
          </w:p>
        </w:tc>
      </w:tr>
      <w:tr>
        <w:trPr>
          <w:trHeight w:val="729"/>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2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
        </w:trPr>
        <w:tc>
          <w:tcPr>
            <w:tcW w:w="46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September 30, 2022</w:t>
            </w:r>
          </w:p>
        </w:tc>
        <w:tc>
          <w:tcPr>
            <w:tcW w:w="24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30,025</w:t>
            </w:r>
          </w:p>
        </w:tc>
        <w:tc>
          <w:tcPr>
            <w:tcW w:w="9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180" w:type="dxa"/>
            <w:vAlign w:val="bottom"/>
          </w:tcPr>
          <w:p>
            <w:pPr>
              <w:spacing w:after="0"/>
              <w:rPr>
                <w:sz w:val="19"/>
                <w:szCs w:val="19"/>
                <w:color w:val="auto"/>
              </w:rPr>
            </w:pPr>
          </w:p>
        </w:tc>
        <w:tc>
          <w:tcPr>
            <w:tcW w:w="19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17,201</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180" w:type="dxa"/>
            <w:vAlign w:val="bottom"/>
            <w:shd w:val="clear" w:color="auto" w:fill="CCEEFF"/>
          </w:tcPr>
          <w:p>
            <w:pPr>
              <w:spacing w:after="0"/>
              <w:rPr>
                <w:sz w:val="19"/>
                <w:szCs w:val="19"/>
                <w:color w:val="auto"/>
              </w:rPr>
            </w:pPr>
          </w:p>
        </w:tc>
        <w:tc>
          <w:tcPr>
            <w:tcW w:w="1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49,212</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32,958</w:t>
            </w:r>
          </w:p>
        </w:tc>
      </w:tr>
      <w:tr>
        <w:trPr>
          <w:trHeight w:val="229"/>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2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17,665</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18,457</w:t>
            </w:r>
          </w:p>
        </w:tc>
      </w:tr>
      <w:tr>
        <w:trPr>
          <w:trHeight w:val="230"/>
        </w:trPr>
        <w:tc>
          <w:tcPr>
            <w:tcW w:w="46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99"/>
              </w:rPr>
              <w:t>114,103</w:t>
            </w:r>
          </w:p>
        </w:tc>
        <w:tc>
          <w:tcPr>
            <w:tcW w:w="96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88,569</w:t>
            </w:r>
          </w:p>
        </w:tc>
      </w:tr>
      <w:tr>
        <w:trPr>
          <w:trHeight w:val="864"/>
        </w:trPr>
        <w:tc>
          <w:tcPr>
            <w:tcW w:w="4660" w:type="dxa"/>
            <w:vAlign w:val="bottom"/>
          </w:tcPr>
          <w:p>
            <w:pPr>
              <w:spacing w:after="0"/>
              <w:rPr>
                <w:sz w:val="24"/>
                <w:szCs w:val="24"/>
                <w:color w:val="auto"/>
              </w:rPr>
            </w:pPr>
          </w:p>
        </w:tc>
        <w:tc>
          <w:tcPr>
            <w:tcW w:w="21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9</w:t>
            </w:r>
          </w:p>
        </w:tc>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PENSION AND OTHER POSTRETIREMENT BENEFITS</w:t>
      </w:r>
    </w:p>
    <w:p>
      <w:pPr>
        <w:spacing w:after="0" w:line="9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Tredegar sponsors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which could take up to 24 months to complete. In connection therewith, on February 9, 2022, the Company contributed $50 million to the pension plan (the “Special Contribution”). The Company estimates that, with the Special Contribution, there will be no required minimum contributions to the pension plan until final settlement.</w:t>
      </w:r>
    </w:p>
    <w:p>
      <w:pPr>
        <w:spacing w:after="0" w:line="6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third quarter of 2022 and 2021, respectively. This information has been included in the pension benefit table below.</w:t>
      </w:r>
    </w:p>
    <w:p>
      <w:pPr>
        <w:spacing w:after="0" w:line="54" w:lineRule="exact"/>
        <w:rPr>
          <w:sz w:val="20"/>
          <w:szCs w:val="20"/>
          <w:color w:val="auto"/>
        </w:rPr>
      </w:pPr>
    </w:p>
    <w:p>
      <w:pPr>
        <w:ind w:right="580" w:firstLine="405"/>
        <w:spacing w:after="0" w:line="276" w:lineRule="auto"/>
        <w:rPr>
          <w:sz w:val="20"/>
          <w:szCs w:val="20"/>
          <w:color w:val="auto"/>
        </w:rPr>
      </w:pPr>
      <w:r>
        <w:rPr>
          <w:rFonts w:ascii="Times New Roman" w:cs="Times New Roman" w:eastAsia="Times New Roman" w:hAnsi="Times New Roman"/>
          <w:sz w:val="18"/>
          <w:szCs w:val="18"/>
          <w:color w:val="auto"/>
        </w:rPr>
        <w:t>The components of net periodic benefit cost for the pension and other postretirement benefit programs reflected in the condensed consolidated statements of income for the three and nine months ended September 30, 2022 and 2021, are shown below:</w:t>
      </w:r>
    </w:p>
    <w:tbl>
      <w:tblPr>
        <w:tblLayout w:type="fixed"/>
        <w:tblInd w:w="0" w:type="dxa"/>
        <w:tblCellMar>
          <w:top w:w="0" w:type="dxa"/>
          <w:left w:w="0" w:type="dxa"/>
          <w:bottom w:w="0" w:type="dxa"/>
          <w:right w:w="0" w:type="dxa"/>
        </w:tblCellMar>
      </w:tblPr>
      <w:tr>
        <w:trPr>
          <w:trHeight w:val="184"/>
        </w:trPr>
        <w:tc>
          <w:tcPr>
            <w:tcW w:w="6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3"/>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Other Post-Retirement</w:t>
            </w:r>
          </w:p>
        </w:tc>
      </w:tr>
      <w:tr>
        <w:trPr>
          <w:trHeight w:val="243"/>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Pension Benefits</w:t>
            </w:r>
          </w:p>
        </w:tc>
        <w:tc>
          <w:tcPr>
            <w:tcW w:w="200" w:type="dxa"/>
            <w:vAlign w:val="bottom"/>
          </w:tcPr>
          <w:p>
            <w:pPr>
              <w:spacing w:after="0"/>
              <w:rPr>
                <w:sz w:val="21"/>
                <w:szCs w:val="21"/>
                <w:color w:val="auto"/>
              </w:rPr>
            </w:pPr>
          </w:p>
        </w:tc>
        <w:tc>
          <w:tcPr>
            <w:tcW w:w="12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Benefits</w:t>
            </w:r>
          </w:p>
        </w:tc>
        <w:tc>
          <w:tcPr>
            <w:tcW w:w="760" w:type="dxa"/>
            <w:vAlign w:val="bottom"/>
          </w:tcPr>
          <w:p>
            <w:pPr>
              <w:spacing w:after="0"/>
              <w:rPr>
                <w:sz w:val="21"/>
                <w:szCs w:val="21"/>
                <w:color w:val="auto"/>
              </w:rPr>
            </w:pPr>
          </w:p>
        </w:tc>
      </w:tr>
      <w:tr>
        <w:trPr>
          <w:trHeight w:val="169"/>
        </w:trPr>
        <w:tc>
          <w:tcPr>
            <w:tcW w:w="6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3"/>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gridSpan w:val="3"/>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9"/>
              </w:rPr>
              <w:t>Three Months Ended</w:t>
            </w:r>
          </w:p>
        </w:tc>
      </w:tr>
      <w:tr>
        <w:trPr>
          <w:trHeight w:val="237"/>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0"/>
                <w:szCs w:val="20"/>
                <w:color w:val="auto"/>
              </w:rPr>
            </w:pPr>
          </w:p>
        </w:tc>
        <w:tc>
          <w:tcPr>
            <w:tcW w:w="202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9"/>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3,301</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6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2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9"/>
              </w:rPr>
              <w:t>Other Post-Retirement</w:t>
            </w:r>
          </w:p>
        </w:tc>
      </w:tr>
      <w:tr>
        <w:trPr>
          <w:trHeight w:val="243"/>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Pension Benefits</w:t>
            </w:r>
          </w:p>
        </w:tc>
        <w:tc>
          <w:tcPr>
            <w:tcW w:w="200" w:type="dxa"/>
            <w:vAlign w:val="bottom"/>
          </w:tcPr>
          <w:p>
            <w:pPr>
              <w:spacing w:after="0"/>
              <w:rPr>
                <w:sz w:val="21"/>
                <w:szCs w:val="21"/>
                <w:color w:val="auto"/>
              </w:rPr>
            </w:pPr>
          </w:p>
        </w:tc>
        <w:tc>
          <w:tcPr>
            <w:tcW w:w="12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Benefits</w:t>
            </w:r>
          </w:p>
        </w:tc>
        <w:tc>
          <w:tcPr>
            <w:tcW w:w="760" w:type="dxa"/>
            <w:vAlign w:val="bottom"/>
          </w:tcPr>
          <w:p>
            <w:pPr>
              <w:spacing w:after="0"/>
              <w:rPr>
                <w:sz w:val="21"/>
                <w:szCs w:val="21"/>
                <w:color w:val="auto"/>
              </w:rPr>
            </w:pPr>
          </w:p>
        </w:tc>
      </w:tr>
      <w:tr>
        <w:trPr>
          <w:trHeight w:val="169"/>
        </w:trPr>
        <w:tc>
          <w:tcPr>
            <w:tcW w:w="6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3"/>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gridSpan w:val="3"/>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6"/>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0"/>
                <w:szCs w:val="20"/>
                <w:color w:val="auto"/>
              </w:rPr>
            </w:pPr>
          </w:p>
        </w:tc>
        <w:tc>
          <w:tcPr>
            <w:tcW w:w="202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6,676</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9,887</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10,422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57"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liabilities were $29.1 million and $78.9 million at September 30, 2022 and December 31, 2021, respectively ($0.7 million included in “Accrued expenses” at September 30, 2022 and December 31, 2021, respectively, with the remainder included in “Pension and other postretirement benefit obligations, net” in the condensed consolidated balance sheets).</w:t>
      </w:r>
    </w:p>
    <w:p>
      <w:pPr>
        <w:spacing w:after="0" w:line="5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Tredegar funds its other postretirement benefits on a claims-made basis; for 2022, the Company anticipates the amount will be consistent with amounts paid for the year ended December 31, 2021, or approximately $0.5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5. OTHER INCOME (EXPENSE), NET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740" w:type="dxa"/>
            <w:vAlign w:val="bottom"/>
            <w:tcBorders>
              <w:top w:val="single" w:sz="8" w:color="auto"/>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220" w:type="dxa"/>
            <w:vAlign w:val="bottom"/>
            <w:tcBorders>
              <w:top w:val="single" w:sz="8" w:color="auto"/>
              <w:bottom w:val="single" w:sz="8" w:color="auto"/>
            </w:tcBorders>
          </w:tcPr>
          <w:p>
            <w:pPr>
              <w:spacing w:after="0"/>
              <w:rPr>
                <w:sz w:val="22"/>
                <w:szCs w:val="22"/>
                <w:color w:val="auto"/>
              </w:rPr>
            </w:pPr>
          </w:p>
        </w:tc>
        <w:tc>
          <w:tcPr>
            <w:tcW w:w="270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Gain on investment in kaléo</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1,406</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184"/>
        </w:trPr>
        <w:tc>
          <w:tcPr>
            <w:tcW w:w="5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One-time tax credit in Brazil for unemployment/social security insurance</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non-income taxes resulting from a favorable decision by Brazil's Supreme</w:t>
            </w:r>
          </w:p>
        </w:tc>
        <w:tc>
          <w:tcPr>
            <w:tcW w:w="160" w:type="dxa"/>
            <w:vAlign w:val="bottom"/>
          </w:tcPr>
          <w:p>
            <w:pPr>
              <w:spacing w:after="0"/>
              <w:rPr>
                <w:sz w:val="15"/>
                <w:szCs w:val="15"/>
                <w:color w:val="auto"/>
              </w:rPr>
            </w:pPr>
          </w:p>
        </w:tc>
        <w:tc>
          <w:tcPr>
            <w:tcW w:w="1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Court regarding the calculation of such tax</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260" w:right="240" w:hanging="234"/>
        <w:spacing w:after="0" w:line="245" w:lineRule="auto"/>
        <w:tabs>
          <w:tab w:leader="none" w:pos="23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May 2022, additional cash consideration of $1.4 million was received related to customary post-closing adjustments. See Note 12 for additional information on the sale of the investment in kaléo.</w:t>
      </w:r>
    </w:p>
    <w:p>
      <w:pPr>
        <w:spacing w:after="0" w:line="173"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May 2021, the Brazil Supreme Court ruled in a leading case related to the amount of Brazilian value-added tax to exclude from the calculation of unemployment/social security insurance non-income taxes ("PIS/COFINS"). As a result, in the second quarter of 2021, the Company recorded a pre-tax gain of $8.5 million for certain excess PIS/COFINS paid from 2003 to 2021, plus applicable interest, which the Company applied to required Brazilian federal tax payments during 2021.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08"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(loss) from continuing and discontinued operations by the weighted average number of shares of common stock outstanding. Diluted earnings per share is computed by dividing net income (loss) from continuing and discontinued operations by the weighted average common and potentially dilutive common equivalent shares outstanding, determined as follows:</w:t>
      </w:r>
    </w:p>
    <w:tbl>
      <w:tblPr>
        <w:tblLayout w:type="fixed"/>
        <w:tblInd w:w="0" w:type="dxa"/>
        <w:tblCellMar>
          <w:top w:w="0" w:type="dxa"/>
          <w:left w:w="0" w:type="dxa"/>
          <w:bottom w:w="0" w:type="dxa"/>
          <w:right w:w="0" w:type="dxa"/>
        </w:tblCellMar>
      </w:tblPr>
      <w:tr>
        <w:trPr>
          <w:trHeight w:val="237"/>
        </w:trPr>
        <w:tc>
          <w:tcPr>
            <w:tcW w:w="5380" w:type="dxa"/>
            <w:vAlign w:val="bottom"/>
            <w:tcBorders>
              <w:top w:val="single" w:sz="8" w:color="auto"/>
            </w:tcBorders>
          </w:tcPr>
          <w:p>
            <w:pPr>
              <w:spacing w:after="0"/>
              <w:rPr>
                <w:sz w:val="20"/>
                <w:szCs w:val="20"/>
                <w:color w:val="auto"/>
              </w:rPr>
            </w:pPr>
          </w:p>
        </w:tc>
        <w:tc>
          <w:tcPr>
            <w:tcW w:w="3060" w:type="dxa"/>
            <w:vAlign w:val="bottom"/>
            <w:tcBorders>
              <w:top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Three Months Ended</w:t>
            </w:r>
          </w:p>
        </w:tc>
        <w:tc>
          <w:tcPr>
            <w:tcW w:w="2800" w:type="dxa"/>
            <w:vAlign w:val="bottom"/>
            <w:tcBorders>
              <w:top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9"/>
        </w:trPr>
        <w:tc>
          <w:tcPr>
            <w:tcW w:w="5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Pr>
          <w:p>
            <w:pPr>
              <w:spacing w:after="0"/>
              <w:rPr>
                <w:sz w:val="19"/>
                <w:szCs w:val="19"/>
                <w:color w:val="auto"/>
              </w:rPr>
            </w:pPr>
          </w:p>
        </w:tc>
      </w:tr>
      <w:tr>
        <w:trPr>
          <w:trHeight w:val="234"/>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2021</w:t>
            </w:r>
          </w:p>
        </w:tc>
        <w:tc>
          <w:tcPr>
            <w:tcW w:w="18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169"/>
        </w:trPr>
        <w:tc>
          <w:tcPr>
            <w:tcW w:w="53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Weighted average shares outstanding used to compute basic earnings</w:t>
            </w:r>
          </w:p>
        </w:tc>
        <w:tc>
          <w:tcPr>
            <w:tcW w:w="18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8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33,870</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33,620</w:t>
            </w:r>
          </w:p>
        </w:tc>
        <w:tc>
          <w:tcPr>
            <w:tcW w:w="18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33,780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33,541</w:t>
            </w:r>
          </w:p>
        </w:tc>
      </w:tr>
      <w:tr>
        <w:trPr>
          <w:trHeight w:val="175"/>
        </w:trPr>
        <w:tc>
          <w:tcPr>
            <w:tcW w:w="5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Incremental dilutive shares attributable to stock options and restricted</w:t>
            </w:r>
          </w:p>
        </w:tc>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8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w:t>
            </w:r>
          </w:p>
        </w:tc>
        <w:tc>
          <w:tcPr>
            <w:tcW w:w="18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18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33,871</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33,649</w:t>
            </w:r>
          </w:p>
        </w:tc>
        <w:tc>
          <w:tcPr>
            <w:tcW w:w="186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33,808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33,678</w:t>
            </w:r>
          </w:p>
        </w:tc>
      </w:tr>
    </w:tbl>
    <w:p>
      <w:pPr>
        <w:spacing w:after="0" w:line="157"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Incremental shares attributable to stock options and restricted stock are computed under the treasury stock method using the average market price during the related period. The average out-of-the-money options to purchase shares that were excluded from the calculation of incremental shares attributable to stock options and restricted stock were 2,932,378 and 2,645,063 for the three and nine months ended September 30, 2022, respectively, and 2,433,213 and 1,280,376 for the three and nine months ended September 30, 2021,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7. ACCUMULATED OTHER COMPREHENSIVE INCOME (LOSS)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September 30,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(59,519)</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(147,335)</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3,268</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2,556</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2,556</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(56,963)</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nine months ended September 30,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(64,613)</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9,786</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819</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7,650</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7,650</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(56,963)</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(149,666)</w:t>
            </w:r>
          </w:p>
        </w:tc>
        <w:tc>
          <w:tcPr>
            <w:tcW w:w="0" w:type="dxa"/>
            <w:vAlign w:val="bottom"/>
          </w:tcPr>
          <w:p>
            <w:pPr>
              <w:spacing w:after="0"/>
              <w:rPr>
                <w:sz w:val="1"/>
                <w:szCs w:val="1"/>
                <w:color w:val="auto"/>
              </w:rPr>
            </w:pPr>
          </w:p>
        </w:tc>
      </w:tr>
      <w:tr>
        <w:trPr>
          <w:trHeight w:val="864"/>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September 30,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Foreign Currency</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(89,882)</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(169,190)</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4,244</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3,317</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3,317</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(86,565)</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(169,378)</w:t>
            </w:r>
          </w:p>
        </w:tc>
        <w:tc>
          <w:tcPr>
            <w:tcW w:w="0" w:type="dxa"/>
            <w:vAlign w:val="bottom"/>
          </w:tcPr>
          <w:p>
            <w:pPr>
              <w:spacing w:after="0"/>
              <w:rPr>
                <w:sz w:val="1"/>
                <w:szCs w:val="1"/>
                <w:color w:val="auto"/>
              </w:rPr>
            </w:pPr>
          </w:p>
        </w:tc>
      </w:tr>
      <w:tr>
        <w:trPr>
          <w:trHeight w:val="405"/>
        </w:trPr>
        <w:tc>
          <w:tcPr>
            <w:tcW w:w="1124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nine months ended September 30, 2021.</w:t>
            </w:r>
          </w:p>
        </w:tc>
        <w:tc>
          <w:tcPr>
            <w:tcW w:w="0" w:type="dxa"/>
            <w:vAlign w:val="bottom"/>
          </w:tcPr>
          <w:p>
            <w:pPr>
              <w:spacing w:after="0"/>
              <w:rPr>
                <w:sz w:val="1"/>
                <w:szCs w:val="1"/>
                <w:color w:val="auto"/>
              </w:rPr>
            </w:pPr>
          </w:p>
        </w:tc>
      </w:tr>
      <w:tr>
        <w:trPr>
          <w:trHeight w:val="115"/>
        </w:trPr>
        <w:tc>
          <w:tcPr>
            <w:tcW w:w="3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Foreign Currency</w:t>
            </w:r>
          </w:p>
        </w:tc>
        <w:tc>
          <w:tcPr>
            <w:tcW w:w="240" w:type="dxa"/>
            <w:vAlign w:val="bottom"/>
          </w:tcPr>
          <w:p>
            <w:pPr>
              <w:spacing w:after="0"/>
              <w:rPr>
                <w:sz w:val="16"/>
                <w:szCs w:val="16"/>
                <w:color w:val="auto"/>
              </w:rPr>
            </w:pPr>
          </w:p>
        </w:tc>
        <w:tc>
          <w:tcPr>
            <w:tcW w:w="17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Pr>
          <w:p>
            <w:pPr>
              <w:spacing w:after="0"/>
              <w:rPr>
                <w:sz w:val="16"/>
                <w:szCs w:val="16"/>
                <w:color w:val="auto"/>
              </w:rPr>
            </w:pPr>
          </w:p>
        </w:tc>
        <w:tc>
          <w:tcPr>
            <w:tcW w:w="142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Pr>
          <w:p>
            <w:pPr>
              <w:spacing w:after="0"/>
              <w:rPr>
                <w:sz w:val="16"/>
                <w:szCs w:val="16"/>
                <w:color w:val="auto"/>
              </w:rPr>
            </w:pPr>
          </w:p>
        </w:tc>
        <w:tc>
          <w:tcPr>
            <w:tcW w:w="2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(96,519)</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(178,404)</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4,736</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3,672</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12,727</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9,954</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9,954</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(86,565)</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is included in the computation of net periodic pension costs, see Note 4 for additional details.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condensed consolidated balance sheet at fair value. If individual derivative instruments with the same counterparty can be settled on a net basis, the Company records the corresponding derivative fair values as a net asset or net liability.</w:t>
      </w:r>
    </w:p>
    <w:p>
      <w:pPr>
        <w:spacing w:after="0" w:line="6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have durations generally no longer than 24 months. The notional amount of aluminum futures contracts that hedged future purchases of aluminum to meet fixed-price forward sales contract obligations was $33.7 million (18.4 million pounds of aluminum) at September 30, 2022 and $22.1 million (14.9 million pounds of aluminum) at December 31, 2021.</w:t>
      </w:r>
    </w:p>
    <w:p>
      <w:pPr>
        <w:spacing w:after="0" w:line="41" w:lineRule="exact"/>
        <w:rPr>
          <w:sz w:val="20"/>
          <w:szCs w:val="20"/>
          <w:color w:val="auto"/>
        </w:rPr>
      </w:pPr>
    </w:p>
    <w:p>
      <w:pPr>
        <w:ind w:right="40" w:firstLine="405"/>
        <w:spacing w:after="0" w:line="276"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futures contract fair values (Level 2) in the condensed consolidated balance sheets as of September 30, 2022 and December 31, 2021:</w:t>
      </w:r>
    </w:p>
    <w:tbl>
      <w:tblPr>
        <w:tblLayout w:type="fixed"/>
        <w:tblInd w:w="0" w:type="dxa"/>
        <w:tblCellMar>
          <w:top w:w="0" w:type="dxa"/>
          <w:left w:w="0" w:type="dxa"/>
          <w:bottom w:w="0" w:type="dxa"/>
          <w:right w:w="0" w:type="dxa"/>
        </w:tblCellMar>
      </w:tblPr>
      <w:tr>
        <w:trPr>
          <w:trHeight w:val="238"/>
        </w:trPr>
        <w:tc>
          <w:tcPr>
            <w:tcW w:w="516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740" w:type="dxa"/>
            <w:vAlign w:val="bottom"/>
            <w:tcBorders>
              <w:top w:val="single" w:sz="8" w:color="auto"/>
              <w:bottom w:val="single" w:sz="8" w:color="auto"/>
            </w:tcBorders>
          </w:tcPr>
          <w:p>
            <w:pPr>
              <w:spacing w:after="0"/>
              <w:rPr>
                <w:sz w:val="20"/>
                <w:szCs w:val="20"/>
                <w:color w:val="auto"/>
              </w:rPr>
            </w:pPr>
          </w:p>
        </w:tc>
      </w:tr>
      <w:tr>
        <w:trPr>
          <w:trHeight w:val="178"/>
        </w:trPr>
        <w:tc>
          <w:tcPr>
            <w:tcW w:w="5160" w:type="dxa"/>
            <w:vAlign w:val="bottom"/>
          </w:tcPr>
          <w:p>
            <w:pPr>
              <w:spacing w:after="0"/>
              <w:rPr>
                <w:sz w:val="15"/>
                <w:szCs w:val="15"/>
                <w:color w:val="auto"/>
              </w:rPr>
            </w:pPr>
          </w:p>
        </w:tc>
        <w:tc>
          <w:tcPr>
            <w:tcW w:w="1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80" w:type="dxa"/>
            <w:vAlign w:val="bottom"/>
          </w:tcPr>
          <w:p>
            <w:pPr>
              <w:spacing w:after="0"/>
              <w:rPr>
                <w:sz w:val="15"/>
                <w:szCs w:val="15"/>
                <w:color w:val="auto"/>
              </w:rPr>
            </w:pPr>
          </w:p>
        </w:tc>
        <w:tc>
          <w:tcPr>
            <w:tcW w:w="72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5"/>
                <w:szCs w:val="15"/>
                <w:color w:val="auto"/>
              </w:rPr>
            </w:pPr>
          </w:p>
        </w:tc>
        <w:tc>
          <w:tcPr>
            <w:tcW w:w="1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Balance Sheet</w:t>
            </w:r>
          </w:p>
        </w:tc>
        <w:tc>
          <w:tcPr>
            <w:tcW w:w="380" w:type="dxa"/>
            <w:vAlign w:val="bottom"/>
          </w:tcPr>
          <w:p>
            <w:pPr>
              <w:spacing w:after="0"/>
              <w:rPr>
                <w:sz w:val="15"/>
                <w:szCs w:val="15"/>
                <w:color w:val="auto"/>
              </w:rPr>
            </w:pPr>
          </w:p>
        </w:tc>
        <w:tc>
          <w:tcPr>
            <w:tcW w:w="740" w:type="dxa"/>
            <w:vAlign w:val="bottom"/>
          </w:tcPr>
          <w:p>
            <w:pPr>
              <w:jc w:val="right"/>
              <w:ind w:right="250"/>
              <w:spacing w:after="0" w:line="177" w:lineRule="exact"/>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Value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84"/>
        </w:trPr>
        <w:tc>
          <w:tcPr>
            <w:tcW w:w="5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Prepaid expenses and</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184"/>
        </w:trPr>
        <w:tc>
          <w:tcPr>
            <w:tcW w:w="5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1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84"/>
        </w:trPr>
        <w:tc>
          <w:tcPr>
            <w:tcW w:w="5160" w:type="dxa"/>
            <w:vAlign w:val="bottom"/>
          </w:tcPr>
          <w:p>
            <w:pPr>
              <w:spacing w:after="0"/>
              <w:rPr>
                <w:sz w:val="16"/>
                <w:szCs w:val="16"/>
                <w:color w:val="auto"/>
              </w:rPr>
            </w:pPr>
          </w:p>
        </w:tc>
        <w:tc>
          <w:tcPr>
            <w:tcW w:w="18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Other non-current</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Other non-current</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5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18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r>
    </w:tbl>
    <w:p>
      <w:pPr>
        <w:spacing w:after="0" w:line="17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41"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("R$") is annual net costs of R$150 million for the full year of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color w:val="auto"/>
        </w:rPr>
        <w:t>Terphane Ltda. has the following outstanding foreign exchange average forward rate contracts to purchase Brazilian Real and sell U.S. Dollars: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Average Forward Rate</w:t>
            </w:r>
          </w:p>
        </w:tc>
        <w:tc>
          <w:tcPr>
            <w:tcW w:w="25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w w:val="99"/>
              </w:rPr>
              <w:t>Estimated % of Terphane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8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Ltda. R$ Operating Cost</w:t>
            </w:r>
          </w:p>
        </w:tc>
        <w:tc>
          <w:tcPr>
            <w:tcW w:w="0" w:type="dxa"/>
            <w:vAlign w:val="bottom"/>
          </w:tcPr>
          <w:p>
            <w:pPr>
              <w:spacing w:after="0"/>
              <w:rPr>
                <w:sz w:val="1"/>
                <w:szCs w:val="1"/>
                <w:color w:val="auto"/>
              </w:rPr>
            </w:pPr>
          </w:p>
        </w:tc>
      </w:tr>
      <w:tr>
        <w:trPr>
          <w:trHeight w:val="243"/>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Notional Amount (000s)</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Contracted on USD/BRL</w:t>
            </w:r>
          </w:p>
        </w:tc>
        <w:tc>
          <w:tcPr>
            <w:tcW w:w="2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R$ Equivalent Amount (000s)</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Applicable Month</w:t>
            </w:r>
          </w:p>
        </w:tc>
        <w:tc>
          <w:tcPr>
            <w:tcW w:w="2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Exposure Hedged</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$1,793</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5.6264</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R$10,088</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Oct-22</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$1,784</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5.6597</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R$10,097</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Nov-22</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5.6962</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R$9,450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Dec-22</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$1,728</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5.4310</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R$9,385</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$1,822</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5.4657</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R$9,959</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Feb-23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$1,921</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5.4995</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R$10,565</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$1,903</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5.5379</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R$10,539</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$1,873</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5.5753</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R$10,443</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$1,928</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5.6118</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R$10,820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$2,154</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5.6378</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R$12,144</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$2,020</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5.6831</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R$11,480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$2,071</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5.7174</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R$11,841</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Sep-23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$2,013</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5.7556</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R$11,586</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$2,018</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5.7836</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R$11,671</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Nov-23</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$1,786</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5.8312</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R$10,414</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Dec-23</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5.7360</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R$3,780</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5.7562</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R$3,793</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Feb-24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5.7774</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R$3,807</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5.8000</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R$3,822</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5.8207</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R$3,836</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5.8419</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R$3,850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5.8636</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R$3,864</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5.8872</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R$3,880</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5.9118</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R$3,896</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Sep-24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5.9350</w:t>
            </w:r>
          </w:p>
        </w:tc>
        <w:tc>
          <w:tcPr>
            <w:tcW w:w="25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R$3,911</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Oct-24</w:t>
            </w:r>
          </w:p>
        </w:tc>
        <w:tc>
          <w:tcPr>
            <w:tcW w:w="2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5.9581</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R$3,926</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Nov-24</w:t>
            </w: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$659</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5.9813</w:t>
            </w:r>
          </w:p>
        </w:tc>
        <w:tc>
          <w:tcPr>
            <w:tcW w:w="254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R$3,942</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Dec-24</w:t>
            </w:r>
          </w:p>
        </w:tc>
        <w:tc>
          <w:tcPr>
            <w:tcW w:w="23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$36,381</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5.6840</w:t>
            </w:r>
          </w:p>
        </w:tc>
        <w:tc>
          <w:tcPr>
            <w:tcW w:w="2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R$206,789</w:t>
            </w:r>
          </w:p>
        </w:tc>
        <w:tc>
          <w:tcPr>
            <w:tcW w:w="19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condensed consolidated statements of income.</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6" w:name="page17"/>
    <w:bookmarkEnd w:id="16"/>
    <w:p>
      <w:pPr>
        <w:ind w:right="100" w:firstLine="405"/>
        <w:spacing w:after="0" w:line="276"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foreign currency forward contract fair values (Level 2) in the condensed consolidated balance sheets as of September 30, 2022 and December 31, 2021:</w:t>
      </w:r>
    </w:p>
    <w:tbl>
      <w:tblPr>
        <w:tblLayout w:type="fixed"/>
        <w:tblInd w:w="0" w:type="dxa"/>
        <w:tblCellMar>
          <w:top w:w="0" w:type="dxa"/>
          <w:left w:w="0" w:type="dxa"/>
          <w:bottom w:w="0" w:type="dxa"/>
          <w:right w:w="0" w:type="dxa"/>
        </w:tblCellMar>
      </w:tblPr>
      <w:tr>
        <w:trPr>
          <w:trHeight w:val="238"/>
        </w:trPr>
        <w:tc>
          <w:tcPr>
            <w:tcW w:w="516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c>
          <w:tcPr>
            <w:tcW w:w="7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760" w:type="dxa"/>
            <w:vAlign w:val="bottom"/>
            <w:tcBorders>
              <w:top w:val="single" w:sz="8" w:color="auto"/>
              <w:bottom w:val="single" w:sz="8" w:color="auto"/>
            </w:tcBorders>
          </w:tcPr>
          <w:p>
            <w:pPr>
              <w:spacing w:after="0"/>
              <w:rPr>
                <w:sz w:val="20"/>
                <w:szCs w:val="20"/>
                <w:color w:val="auto"/>
              </w:rPr>
            </w:pPr>
          </w:p>
        </w:tc>
      </w:tr>
      <w:tr>
        <w:trPr>
          <w:trHeight w:val="169"/>
        </w:trPr>
        <w:tc>
          <w:tcPr>
            <w:tcW w:w="5160" w:type="dxa"/>
            <w:vAlign w:val="bottom"/>
          </w:tcPr>
          <w:p>
            <w:pPr>
              <w:spacing w:after="0"/>
              <w:rPr>
                <w:sz w:val="14"/>
                <w:szCs w:val="14"/>
                <w:color w:val="auto"/>
              </w:rPr>
            </w:pPr>
          </w:p>
        </w:tc>
        <w:tc>
          <w:tcPr>
            <w:tcW w:w="18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Balance Sheet</w:t>
            </w:r>
          </w:p>
        </w:tc>
        <w:tc>
          <w:tcPr>
            <w:tcW w:w="400" w:type="dxa"/>
            <w:vAlign w:val="bottom"/>
          </w:tcPr>
          <w:p>
            <w:pPr>
              <w:spacing w:after="0"/>
              <w:rPr>
                <w:sz w:val="14"/>
                <w:szCs w:val="14"/>
                <w:color w:val="auto"/>
              </w:rPr>
            </w:pPr>
          </w:p>
        </w:tc>
        <w:tc>
          <w:tcPr>
            <w:tcW w:w="7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18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Balance Sheet</w:t>
            </w:r>
          </w:p>
        </w:tc>
        <w:tc>
          <w:tcPr>
            <w:tcW w:w="380" w:type="dxa"/>
            <w:vAlign w:val="bottom"/>
          </w:tcPr>
          <w:p>
            <w:pPr>
              <w:spacing w:after="0"/>
              <w:rPr>
                <w:sz w:val="14"/>
                <w:szCs w:val="14"/>
                <w:color w:val="auto"/>
              </w:rPr>
            </w:pPr>
          </w:p>
        </w:tc>
        <w:tc>
          <w:tcPr>
            <w:tcW w:w="76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Value</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75"/>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 derivatives:</w:t>
            </w: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Liability derivatives:</w:t>
            </w:r>
          </w:p>
        </w:tc>
        <w:tc>
          <w:tcPr>
            <w:tcW w:w="1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5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18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bl>
    <w:p>
      <w:pPr>
        <w:spacing w:after="0" w:line="157"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These derivative contracts involve elements of market risk that are not reflected on the condensed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62" w:lineRule="exact"/>
        <w:rPr>
          <w:sz w:val="20"/>
          <w:szCs w:val="20"/>
          <w:color w:val="auto"/>
        </w:rPr>
      </w:pPr>
    </w:p>
    <w:p>
      <w:pPr>
        <w:ind w:right="80" w:firstLine="405"/>
        <w:spacing w:after="0" w:line="276"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the three and nine month periods ended September 30, 2022 and 2021 is summarized in the table below:</w:t>
      </w:r>
    </w:p>
    <w:tbl>
      <w:tblPr>
        <w:tblLayout w:type="fixed"/>
        <w:tblInd w:w="0" w:type="dxa"/>
        <w:tblCellMar>
          <w:top w:w="0" w:type="dxa"/>
          <w:left w:w="0" w:type="dxa"/>
          <w:bottom w:w="0" w:type="dxa"/>
          <w:right w:w="0" w:type="dxa"/>
        </w:tblCellMar>
      </w:tblPr>
      <w:tr>
        <w:trPr>
          <w:trHeight w:val="238"/>
        </w:trPr>
        <w:tc>
          <w:tcPr>
            <w:tcW w:w="53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Cash Flow Derivative Hedges</w:t>
            </w:r>
          </w:p>
        </w:tc>
        <w:tc>
          <w:tcPr>
            <w:tcW w:w="6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Aluminum Futures</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Contracts</w:t>
            </w:r>
          </w:p>
        </w:tc>
        <w:tc>
          <w:tcPr>
            <w:tcW w:w="1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Amount of pre-tax gain (loss) recognized in other comprehensive</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6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175"/>
        </w:trPr>
        <w:tc>
          <w:tcPr>
            <w:tcW w:w="5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Location of gain (loss) reclassified from accumulated other</w:t>
            </w:r>
          </w:p>
        </w:tc>
        <w:tc>
          <w:tcPr>
            <w:tcW w:w="160" w:type="dxa"/>
            <w:vAlign w:val="bottom"/>
          </w:tcPr>
          <w:p>
            <w:pPr>
              <w:spacing w:after="0"/>
              <w:rPr>
                <w:sz w:val="15"/>
                <w:szCs w:val="15"/>
                <w:color w:val="auto"/>
              </w:rPr>
            </w:pPr>
          </w:p>
        </w:tc>
        <w:tc>
          <w:tcPr>
            <w:tcW w:w="8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Cost of</w:t>
            </w:r>
          </w:p>
        </w:tc>
        <w:tc>
          <w:tcPr>
            <w:tcW w:w="200" w:type="dxa"/>
            <w:vAlign w:val="bottom"/>
          </w:tcPr>
          <w:p>
            <w:pPr>
              <w:spacing w:after="0"/>
              <w:rPr>
                <w:sz w:val="15"/>
                <w:szCs w:val="15"/>
                <w:color w:val="auto"/>
              </w:rPr>
            </w:pPr>
          </w:p>
        </w:tc>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Cost of</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Cost of</w:t>
            </w:r>
          </w:p>
        </w:tc>
        <w:tc>
          <w:tcPr>
            <w:tcW w:w="8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Cost of</w:t>
            </w: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Selling,</w:t>
            </w:r>
          </w:p>
        </w:tc>
        <w:tc>
          <w:tcPr>
            <w:tcW w:w="0" w:type="dxa"/>
            <w:vAlign w:val="bottom"/>
          </w:tcPr>
          <w:p>
            <w:pPr>
              <w:spacing w:after="0"/>
              <w:rPr>
                <w:sz w:val="1"/>
                <w:szCs w:val="1"/>
                <w:color w:val="auto"/>
              </w:rPr>
            </w:pPr>
          </w:p>
        </w:tc>
      </w:tr>
      <w:tr>
        <w:trPr>
          <w:trHeight w:val="175"/>
        </w:trPr>
        <w:tc>
          <w:tcPr>
            <w:tcW w:w="5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general &amp;</w:t>
            </w: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general &amp;</w:t>
            </w: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goods sold</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goods sold</w:t>
            </w:r>
          </w:p>
        </w:tc>
        <w:tc>
          <w:tcPr>
            <w:tcW w:w="160" w:type="dxa"/>
            <w:vAlign w:val="bottom"/>
            <w:tcBorders>
              <w:right w:val="single" w:sz="8" w:color="auto"/>
            </w:tcBorders>
          </w:tcPr>
          <w:p>
            <w:pPr>
              <w:spacing w:after="0"/>
              <w:rPr>
                <w:sz w:val="20"/>
                <w:szCs w:val="20"/>
                <w:color w:val="auto"/>
              </w:rPr>
            </w:pPr>
          </w:p>
        </w:tc>
        <w:tc>
          <w:tcPr>
            <w:tcW w:w="9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goods sold</w:t>
            </w: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admin</w:t>
            </w:r>
          </w:p>
        </w:tc>
        <w:tc>
          <w:tcPr>
            <w:tcW w:w="11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goods sold</w:t>
            </w: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admin</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to net income (effective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60" w:type="dxa"/>
            <w:vAlign w:val="bottom"/>
            <w:tcBorders>
              <w:bottom w:val="single" w:sz="8" w:color="auto"/>
              <w:right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16 $</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15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Aluminum Futures</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Contracts</w:t>
            </w:r>
          </w:p>
        </w:tc>
        <w:tc>
          <w:tcPr>
            <w:tcW w:w="1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Amount of pre-tax gain (loss) recognized in other comprehensive</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6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175"/>
        </w:trPr>
        <w:tc>
          <w:tcPr>
            <w:tcW w:w="53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Location of gain (loss) reclassified from accumulated other</w:t>
            </w:r>
          </w:p>
        </w:tc>
        <w:tc>
          <w:tcPr>
            <w:tcW w:w="160" w:type="dxa"/>
            <w:vAlign w:val="bottom"/>
          </w:tcPr>
          <w:p>
            <w:pPr>
              <w:spacing w:after="0"/>
              <w:rPr>
                <w:sz w:val="15"/>
                <w:szCs w:val="15"/>
                <w:color w:val="auto"/>
              </w:rPr>
            </w:pPr>
          </w:p>
        </w:tc>
        <w:tc>
          <w:tcPr>
            <w:tcW w:w="8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Cost of</w:t>
            </w:r>
          </w:p>
        </w:tc>
        <w:tc>
          <w:tcPr>
            <w:tcW w:w="200" w:type="dxa"/>
            <w:vAlign w:val="bottom"/>
          </w:tcPr>
          <w:p>
            <w:pPr>
              <w:spacing w:after="0"/>
              <w:rPr>
                <w:sz w:val="15"/>
                <w:szCs w:val="15"/>
                <w:color w:val="auto"/>
              </w:rPr>
            </w:pPr>
          </w:p>
        </w:tc>
        <w:tc>
          <w:tcPr>
            <w:tcW w:w="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Cost of</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Cost of</w:t>
            </w:r>
          </w:p>
        </w:tc>
        <w:tc>
          <w:tcPr>
            <w:tcW w:w="8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Selling,</w:t>
            </w:r>
          </w:p>
        </w:tc>
        <w:tc>
          <w:tcPr>
            <w:tcW w:w="22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Cost of</w:t>
            </w: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Selling,</w:t>
            </w:r>
          </w:p>
        </w:tc>
        <w:tc>
          <w:tcPr>
            <w:tcW w:w="0" w:type="dxa"/>
            <w:vAlign w:val="bottom"/>
          </w:tcPr>
          <w:p>
            <w:pPr>
              <w:spacing w:after="0"/>
              <w:rPr>
                <w:sz w:val="1"/>
                <w:szCs w:val="1"/>
                <w:color w:val="auto"/>
              </w:rPr>
            </w:pPr>
          </w:p>
        </w:tc>
      </w:tr>
      <w:tr>
        <w:trPr>
          <w:trHeight w:val="176"/>
        </w:trPr>
        <w:tc>
          <w:tcPr>
            <w:tcW w:w="53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general &amp;</w:t>
            </w: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general &amp;</w:t>
            </w: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goods sold</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goods sold</w:t>
            </w:r>
          </w:p>
        </w:tc>
        <w:tc>
          <w:tcPr>
            <w:tcW w:w="160" w:type="dxa"/>
            <w:vAlign w:val="bottom"/>
            <w:tcBorders>
              <w:right w:val="single" w:sz="8" w:color="auto"/>
            </w:tcBorders>
          </w:tcPr>
          <w:p>
            <w:pPr>
              <w:spacing w:after="0"/>
              <w:rPr>
                <w:sz w:val="20"/>
                <w:szCs w:val="20"/>
                <w:color w:val="auto"/>
              </w:rPr>
            </w:pPr>
          </w:p>
        </w:tc>
        <w:tc>
          <w:tcPr>
            <w:tcW w:w="9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goods sold</w:t>
            </w: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admin</w:t>
            </w:r>
          </w:p>
        </w:tc>
        <w:tc>
          <w:tcPr>
            <w:tcW w:w="11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goods sold</w:t>
            </w: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admin</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 to net income (effective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60" w:type="dxa"/>
            <w:vAlign w:val="bottom"/>
            <w:tcBorders>
              <w:bottom w:val="single" w:sz="8" w:color="auto"/>
              <w:right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46 $</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48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expects $3.7 million of unrealized after-tax losses on aluminum and foreign currency derivative instruments reported in accumulated other comprehensive income (loss) to be reclassified to earnings within the next 12 months. For the three and nine month periods ended September 30, 2022 and 2021, net gains or losses realized, from previously unrealized net gains or losses on hedges that had been discontinued, were not material.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9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Tredegar recorded tax expense of $7.5 million on pre-tax income from continuing operations of $39.7 million in the first nine months of 2022. Therefore, the effective tax rate in the first nine months of 2022 was 18.8%, compared to 22.7% in the first nine months of 2021. The decrease in the effective tax rate for continuing operations is primarily due to a discrete benefit recorded in the first quarter of 2022 resulting from the implementation of new U.S. tax regulations associated with foreign tax credits published by the U.S. Treasury and Internal Revenue Service on January 4, 2022. These regulations overhaul various components of the foreign tax credit regime including the determination of creditable foreign taxes and limit the amount of foreign taxes that are creditable against U.S. income taxes. As the result of these regulations, future Brazilian income tax will be deductible, but not creditable, in the U.S. The accounting rules require a reduction of the U.S. deferred tax liability previously established related to anticipated future income from Brazil. The tax effect of the reduction of the U.S. deferred tax liability resulted in the discrete tax benefit described above. This one-time discrete benefit is expected to reduce the effective tax rate for the remainder of 2022, which will be offset by an expected increase to the effective tax rate as the result of Brazilian income tax no longer being creditable in the U.S. for the foreseeable future. Total deferred tax assets declined during the third quarter of 2022 compared to December 31, 2021 primarily due to changes in other comprehensive income and the projected utilization of foreign tax credits partially offset by the change in the deferred tax liability discussed above.</w:t>
      </w:r>
    </w:p>
    <w:p>
      <w:pPr>
        <w:spacing w:after="0" w:line="6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Tredegar accrues U.S. federal income taxes on unremitted earnings of foreign subsidiaries where required. However, due to changes in the taxation of dividends under the U.S. Tax Cuts and Jobs Act of 2017, Tredegar will only record U.S. federal income taxes on unremitted earnings of its foreign subsidiaries where Tredegar cannot take steps to eliminate any potential tax on future distributions from its foreign subsidiaries.</w:t>
      </w:r>
    </w:p>
    <w:p>
      <w:pPr>
        <w:spacing w:after="0" w:line="54" w:lineRule="exact"/>
        <w:rPr>
          <w:sz w:val="20"/>
          <w:szCs w:val="20"/>
          <w:color w:val="auto"/>
        </w:rPr>
      </w:pPr>
    </w:p>
    <w:p>
      <w:pPr>
        <w:ind w:right="120" w:firstLine="405"/>
        <w:spacing w:after="0" w:line="281" w:lineRule="auto"/>
        <w:rPr>
          <w:sz w:val="20"/>
          <w:szCs w:val="20"/>
          <w:color w:val="auto"/>
        </w:rPr>
      </w:pPr>
      <w:r>
        <w:rPr>
          <w:rFonts w:ascii="Times New Roman" w:cs="Times New Roman" w:eastAsia="Times New Roman" w:hAnsi="Times New Roman"/>
          <w:sz w:val="17"/>
          <w:szCs w:val="17"/>
          <w:color w:val="auto"/>
        </w:rPr>
        <w:t>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 its products. The incentives have been granted for a 13-year period, from the commencement date of January 1, 2015. The benefit from the tax incentives was $2.6 million in the first nine months of 2022 and $8.8 million in 2021.</w:t>
      </w:r>
    </w:p>
    <w:p>
      <w:pPr>
        <w:spacing w:after="0" w:line="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Tredegar and its subsidiaries file income tax returns in the U.S., various states, and jurisdictions outside the U.S. With exceptions for some U.S. states and non-U.S. jurisdictions, Tredegar and its subsidiaries as of September 30, 2022 are no longer subject to U.S. federal, state or non-U.S. income tax examinations by tax authorities for years before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SEGMENTS</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Company’s business segments are Aluminum Extrusions, PE Films, and Flexible Packaging Films. Information by business segment is reported below. There are no accounting transactions between segments and no allocations to segments.</w:t>
      </w:r>
    </w:p>
    <w:p>
      <w:pPr>
        <w:spacing w:after="0" w:line="4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8" w:name="page19"/>
    <w:bookmarkEnd w:id="18"/>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sales and EBITDA from ongoing operations by segment for the three and nine months ended September 30, 2022 and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20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34"/>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161,649</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137,086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510,066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394,492</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20,059</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28,501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82,613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87,885</w:t>
            </w:r>
          </w:p>
        </w:tc>
      </w:tr>
      <w:tr>
        <w:trPr>
          <w:trHeight w:val="22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47,278</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36,666</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128,117</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102,560</w:t>
            </w:r>
          </w:p>
        </w:tc>
      </w:tr>
      <w:tr>
        <w:trPr>
          <w:trHeight w:val="223"/>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228,986</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202,253</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720,796</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584,937</w:t>
            </w:r>
          </w:p>
        </w:tc>
      </w:tr>
      <w:tr>
        <w:trPr>
          <w:trHeight w:val="22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9,500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7,264</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28,619</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20,531</w:t>
            </w:r>
          </w:p>
        </w:tc>
      </w:tr>
      <w:tr>
        <w:trPr>
          <w:trHeight w:val="230"/>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as shown in the condensed consolidated statements of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238,486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209,517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749,415</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605,468</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12,071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57,885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45,062</w:t>
            </w:r>
          </w:p>
        </w:tc>
      </w:tr>
      <w:tr>
        <w:trPr>
          <w:trHeight w:val="229"/>
        </w:trPr>
        <w:tc>
          <w:tcPr>
            <w:tcW w:w="5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w:t>
            </w:r>
          </w:p>
        </w:tc>
      </w:tr>
      <w:tr>
        <w:trPr>
          <w:trHeight w:val="223"/>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7,655</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45,039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14,543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r>
      <w:tr>
        <w:trPr>
          <w:trHeight w:val="229"/>
        </w:trPr>
        <w:tc>
          <w:tcPr>
            <w:tcW w:w="5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w:t>
            </w:r>
          </w:p>
        </w:tc>
      </w:tr>
      <w:tr>
        <w:trPr>
          <w:trHeight w:val="223"/>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3,230</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9,810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w:t>
            </w: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7,830</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7,396</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20,495</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25,296</w:t>
            </w:r>
          </w:p>
        </w:tc>
      </w:tr>
      <w:tr>
        <w:trPr>
          <w:trHeight w:val="230"/>
        </w:trPr>
        <w:tc>
          <w:tcPr>
            <w:tcW w:w="5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23"/>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7,240</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6,903</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18,772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23,830</w:t>
            </w:r>
          </w:p>
        </w:tc>
      </w:tr>
      <w:tr>
        <w:trPr>
          <w:trHeight w:val="230"/>
        </w:trPr>
        <w:tc>
          <w:tcPr>
            <w:tcW w:w="5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8,407</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13,211</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17,922</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72,765</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80,911</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1,406</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option-based compensation costs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3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net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9,674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8,555</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30,187</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30,470</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2,137</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39,714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47,304</w:t>
            </w:r>
          </w:p>
        </w:tc>
      </w:tr>
      <w:tr>
        <w:trPr>
          <w:trHeight w:val="23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1,908</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7,460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1,012</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6,229</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32,254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w:t>
            </w:r>
          </w:p>
        </w:tc>
      </w:tr>
      <w:tr>
        <w:trPr>
          <w:trHeight w:val="23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32,322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36,472</w:t>
            </w:r>
          </w:p>
        </w:tc>
      </w:tr>
      <w:tr>
        <w:trPr>
          <w:trHeight w:val="864"/>
        </w:trPr>
        <w:tc>
          <w:tcPr>
            <w:tcW w:w="5460" w:type="dxa"/>
            <w:vAlign w:val="bottom"/>
          </w:tcPr>
          <w:p>
            <w:pPr>
              <w:spacing w:after="0"/>
              <w:rPr>
                <w:sz w:val="24"/>
                <w:szCs w:val="24"/>
                <w:color w:val="auto"/>
              </w:rPr>
            </w:pPr>
          </w:p>
        </w:tc>
        <w:tc>
          <w:tcPr>
            <w:tcW w:w="142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left="420"/>
        <w:spacing w:after="0"/>
        <w:rPr>
          <w:sz w:val="20"/>
          <w:szCs w:val="20"/>
          <w:color w:val="auto"/>
        </w:rPr>
      </w:pPr>
      <w:r>
        <w:rPr>
          <w:rFonts w:ascii="Times New Roman" w:cs="Times New Roman" w:eastAsia="Times New Roman" w:hAnsi="Times New Roman"/>
          <w:sz w:val="18"/>
          <w:szCs w:val="18"/>
          <w:color w:val="auto"/>
        </w:rPr>
        <w:t>The following table presents identifiable assets by segment at September 30, 2022 and December 31,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8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2022</w:t>
            </w:r>
          </w:p>
        </w:tc>
        <w:tc>
          <w:tcPr>
            <w:tcW w:w="26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280,521</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8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105,434</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113,613</w:t>
            </w: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8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75,269</w:t>
            </w:r>
          </w:p>
        </w:tc>
      </w:tr>
      <w:tr>
        <w:trPr>
          <w:trHeight w:val="223"/>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8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504,502</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469,403</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28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23,482</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30,521</w:t>
            </w: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4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523,584</w:t>
            </w:r>
          </w:p>
        </w:tc>
      </w:tr>
    </w:tbl>
    <w:p>
      <w:pPr>
        <w:spacing w:after="0" w:line="157"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the Company’s revenue by geographic area and product group for the three and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2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34"/>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181,405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157,969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577,496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447,585</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1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12,609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34,582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r>
      <w:tr>
        <w:trPr>
          <w:trHeight w:val="230"/>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Latin America</w:t>
            </w:r>
          </w:p>
        </w:tc>
        <w:tc>
          <w:tcPr>
            <w:tcW w:w="17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2,138</w:t>
            </w:r>
          </w:p>
        </w:tc>
        <w:tc>
          <w:tcPr>
            <w:tcW w:w="3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29"/>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12,431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w:t>
            </w:r>
          </w:p>
        </w:tc>
      </w:tr>
      <w:tr>
        <w:trPr>
          <w:trHeight w:val="229"/>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17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w:t>
            </w:r>
          </w:p>
        </w:tc>
        <w:tc>
          <w:tcPr>
            <w:tcW w:w="3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17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1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32,925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25,055</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87,999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73,125</w:t>
            </w:r>
          </w:p>
        </w:tc>
      </w:tr>
      <w:tr>
        <w:trPr>
          <w:trHeight w:val="230"/>
        </w:trPr>
        <w:tc>
          <w:tcPr>
            <w:tcW w:w="4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228,986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202,253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720,796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584,937</w:t>
            </w: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Export sales relate entirely to PE Films. Operations in Brazil relate entirely to Flexible Packaging Films.</w:t>
      </w:r>
    </w:p>
    <w:p>
      <w:pPr>
        <w:spacing w:after="0" w:line="208" w:lineRule="exact"/>
        <w:rPr>
          <w:sz w:val="20"/>
          <w:szCs w:val="20"/>
          <w:color w:val="auto"/>
        </w:rPr>
      </w:pPr>
    </w:p>
    <w:p>
      <w:pPr>
        <w:ind w:right="60" w:firstLine="405"/>
        <w:spacing w:after="0" w:line="270" w:lineRule="auto"/>
        <w:rPr>
          <w:sz w:val="20"/>
          <w:szCs w:val="20"/>
          <w:color w:val="auto"/>
        </w:rPr>
      </w:pPr>
      <w:r>
        <w:rPr>
          <w:rFonts w:ascii="Times New Roman" w:cs="Times New Roman" w:eastAsia="Times New Roman" w:hAnsi="Times New Roman"/>
          <w:sz w:val="17"/>
          <w:szCs w:val="17"/>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$4.4 million and $7.4 million in the third quarters of 2022 and 2021, respectively, and $16.1 million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in the first nine months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Net Sales by Product 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2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86,659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266,882</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195,941</w:t>
            </w: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1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16,714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52,409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39,611</w:t>
            </w:r>
          </w:p>
        </w:tc>
      </w:tr>
      <w:tr>
        <w:trPr>
          <w:trHeight w:val="230"/>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Automotive</w:t>
            </w:r>
          </w:p>
        </w:tc>
        <w:tc>
          <w:tcPr>
            <w:tcW w:w="118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11,543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2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39,857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32,750</w:t>
            </w: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1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52,549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39,755</w:t>
            </w:r>
          </w:p>
        </w:tc>
      </w:tr>
      <w:tr>
        <w:trPr>
          <w:trHeight w:val="230"/>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118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2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21,704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24,767</w:t>
            </w: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1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20,028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48,902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31,190</w:t>
            </w:r>
          </w:p>
        </w:tc>
      </w:tr>
      <w:tr>
        <w:trPr>
          <w:trHeight w:val="229"/>
        </w:trPr>
        <w:tc>
          <w:tcPr>
            <w:tcW w:w="4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6,839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27,763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30,478</w:t>
            </w:r>
          </w:p>
        </w:tc>
      </w:tr>
      <w:tr>
        <w:trPr>
          <w:trHeight w:val="223"/>
        </w:trPr>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161,649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137,086</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510,066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394,492</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Surface protection films</w:t>
            </w:r>
          </w:p>
        </w:tc>
        <w:tc>
          <w:tcPr>
            <w:tcW w:w="1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13,018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58,839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65,997</w:t>
            </w:r>
          </w:p>
        </w:tc>
      </w:tr>
      <w:tr>
        <w:trPr>
          <w:trHeight w:val="229"/>
        </w:trPr>
        <w:tc>
          <w:tcPr>
            <w:tcW w:w="4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Overwrap packaging</w:t>
            </w: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7,041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23,774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21,888</w:t>
            </w:r>
          </w:p>
        </w:tc>
      </w:tr>
      <w:tr>
        <w:trPr>
          <w:trHeight w:val="223"/>
        </w:trPr>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20,059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82,613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87,885</w:t>
            </w:r>
          </w:p>
        </w:tc>
      </w:tr>
      <w:tr>
        <w:trPr>
          <w:trHeight w:val="22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47,278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36,666</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128,117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102,560</w:t>
            </w:r>
          </w:p>
        </w:tc>
      </w:tr>
      <w:tr>
        <w:trPr>
          <w:trHeight w:val="230"/>
        </w:trPr>
        <w:tc>
          <w:tcPr>
            <w:tcW w:w="42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228,986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202,253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720,796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584,937</w:t>
            </w:r>
          </w:p>
        </w:tc>
      </w:tr>
    </w:tbl>
    <w:p>
      <w:pPr>
        <w:spacing w:after="0" w:line="153" w:lineRule="exact"/>
        <w:rPr>
          <w:sz w:val="20"/>
          <w:szCs w:val="20"/>
          <w:color w:val="auto"/>
        </w:rPr>
      </w:pPr>
    </w:p>
    <w:p>
      <w:pPr>
        <w:ind w:right="9640" w:firstLine="8"/>
        <w:spacing w:after="0" w:line="383" w:lineRule="auto"/>
        <w:tabs>
          <w:tab w:leader="none" w:pos="26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DIVESTITURES </w:t>
      </w:r>
      <w:r>
        <w:rPr>
          <w:rFonts w:ascii="Times New Roman" w:cs="Times New Roman" w:eastAsia="Times New Roman" w:hAnsi="Times New Roman"/>
          <w:sz w:val="17"/>
          <w:szCs w:val="17"/>
          <w:i w:val="1"/>
          <w:iCs w:val="1"/>
          <w:color w:val="auto"/>
        </w:rPr>
        <w:t>Personal Care Films</w:t>
      </w:r>
    </w:p>
    <w:p>
      <w:pPr>
        <w:spacing w:after="0" w:line="1" w:lineRule="exact"/>
        <w:rPr>
          <w:sz w:val="20"/>
          <w:szCs w:val="20"/>
          <w:color w:val="auto"/>
        </w:rPr>
      </w:pPr>
    </w:p>
    <w:p>
      <w:pPr>
        <w:ind w:right="100" w:firstLine="405"/>
        <w:spacing w:after="0" w:line="289" w:lineRule="auto"/>
        <w:rPr>
          <w:sz w:val="20"/>
          <w:szCs w:val="20"/>
          <w:color w:val="auto"/>
        </w:rPr>
      </w:pPr>
      <w:r>
        <w:rPr>
          <w:rFonts w:ascii="Times New Roman" w:cs="Times New Roman" w:eastAsia="Times New Roman" w:hAnsi="Times New Roman"/>
          <w:sz w:val="17"/>
          <w:szCs w:val="17"/>
          <w:color w:val="auto"/>
        </w:rPr>
        <w:t>In 2020, the Company completed the sale of Personal Care Films for an aggregate purchase price of $60.5 million, subject to customary adjustments. The Company agreed to provide certain transition services related to finance, human resources and information technology ("IT") that ended during the second quarter of 2021, resulting in final cash proceeds of $64.1 million. Personal Care Films was previously reported in the PE Films segment.</w:t>
      </w:r>
    </w:p>
    <w:p>
      <w:pPr>
        <w:spacing w:after="0" w:line="23" w:lineRule="exact"/>
        <w:rPr>
          <w:sz w:val="20"/>
          <w:szCs w:val="20"/>
          <w:color w:val="auto"/>
        </w:rPr>
      </w:pPr>
    </w:p>
    <w:p>
      <w:pPr>
        <w:ind w:right="120" w:firstLine="405"/>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financial results of discontinued operations reflected in the condensed consolidated statements of income for the three and nine months ended September 30, 2022 and 2021:</w:t>
      </w:r>
    </w:p>
    <w:tbl>
      <w:tblPr>
        <w:tblLayout w:type="fixed"/>
        <w:tblInd w:w="0" w:type="dxa"/>
        <w:tblCellMar>
          <w:top w:w="0" w:type="dxa"/>
          <w:left w:w="0" w:type="dxa"/>
          <w:bottom w:w="0" w:type="dxa"/>
          <w:right w:w="0" w:type="dxa"/>
        </w:tblCellMar>
      </w:tblPr>
      <w:tr>
        <w:trPr>
          <w:trHeight w:val="233"/>
        </w:trPr>
        <w:tc>
          <w:tcPr>
            <w:tcW w:w="462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4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(49)</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(86)</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181"/>
        </w:trPr>
        <w:tc>
          <w:tcPr>
            <w:tcW w:w="462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Adjustment to the fair value estimates used in the</w:t>
            </w:r>
          </w:p>
        </w:tc>
        <w:tc>
          <w:tcPr>
            <w:tcW w:w="1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8"/>
        </w:trPr>
        <w:tc>
          <w:tcPr>
            <w:tcW w:w="4620" w:type="dxa"/>
            <w:vAlign w:val="bottom"/>
            <w:tcBorders>
              <w:bottom w:val="single" w:sz="8" w:color="auto"/>
            </w:tcBorders>
          </w:tcPr>
          <w:p>
            <w:pPr>
              <w:ind w:left="360"/>
              <w:spacing w:after="0" w:line="237" w:lineRule="exact"/>
              <w:rPr>
                <w:sz w:val="20"/>
                <w:szCs w:val="20"/>
                <w:color w:val="auto"/>
              </w:rPr>
            </w:pPr>
            <w:r>
              <w:rPr>
                <w:rFonts w:ascii="Times New Roman" w:cs="Times New Roman" w:eastAsia="Times New Roman" w:hAnsi="Times New Roman"/>
                <w:sz w:val="18"/>
                <w:szCs w:val="18"/>
                <w:color w:val="auto"/>
              </w:rPr>
              <w:t>disposal of Personal Care Films</w:t>
            </w:r>
            <w:r>
              <w:rPr>
                <w:rFonts w:ascii="Times New Roman" w:cs="Times New Roman" w:eastAsia="Times New Roman" w:hAnsi="Times New Roman"/>
                <w:sz w:val="23"/>
                <w:szCs w:val="23"/>
                <w:color w:val="auto"/>
                <w:vertAlign w:val="superscript"/>
              </w:rPr>
              <w:t>(a)</w:t>
            </w:r>
          </w:p>
        </w:tc>
        <w:tc>
          <w:tcPr>
            <w:tcW w:w="158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3"/>
        </w:trPr>
        <w:tc>
          <w:tcPr>
            <w:tcW w:w="46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(49)</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(86)</w:t>
            </w: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178"/>
        </w:trPr>
        <w:tc>
          <w:tcPr>
            <w:tcW w:w="46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Income (loss) from discontinued operations before income</w:t>
            </w:r>
          </w:p>
        </w:tc>
        <w:tc>
          <w:tcPr>
            <w:tcW w:w="1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5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49</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0"/>
                <w:szCs w:val="20"/>
                <w:color w:val="auto"/>
              </w:rPr>
            </w:pPr>
          </w:p>
        </w:tc>
        <w:tc>
          <w:tcPr>
            <w:tcW w:w="13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86</w:t>
            </w: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80" w:type="dxa"/>
            <w:vAlign w:val="bottom"/>
            <w:tcBorders>
              <w:bottom w:val="single" w:sz="8" w:color="auto"/>
            </w:tcBorders>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28</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9"/>
              </w:rPr>
              <w:t>18</w:t>
            </w: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Income (loss) from discontinued operations, net of tax   </w:t>
            </w:r>
            <w:r>
              <w:rPr>
                <w:rFonts w:ascii="Times New Roman" w:cs="Times New Roman" w:eastAsia="Times New Roman" w:hAnsi="Times New Roman"/>
                <w:sz w:val="18"/>
                <w:szCs w:val="18"/>
                <w:color w:val="auto"/>
              </w:rPr>
              <w:t>$</w:t>
            </w:r>
          </w:p>
        </w:tc>
        <w:tc>
          <w:tcPr>
            <w:tcW w:w="15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21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68</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260" w:right="40" w:hanging="234"/>
        <w:spacing w:after="0" w:line="250" w:lineRule="auto"/>
        <w:tabs>
          <w:tab w:leader="none" w:pos="2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net increase to the estimated fair value of Personal Care Films primarily due to lower costs associated with IT transition-related services to provide the seller developed assets, which did not exist at the time of the sale, to support the seller's IT infrastructure.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1" w:name="page22"/>
    <w:bookmarkEnd w:id="21"/>
    <w:p>
      <w:pPr>
        <w:ind w:left="420"/>
        <w:spacing w:after="0"/>
        <w:rPr>
          <w:sz w:val="20"/>
          <w:szCs w:val="20"/>
          <w:color w:val="auto"/>
        </w:rPr>
      </w:pPr>
      <w:r>
        <w:rPr>
          <w:rFonts w:ascii="Times New Roman" w:cs="Times New Roman" w:eastAsia="Times New Roman" w:hAnsi="Times New Roman"/>
          <w:sz w:val="18"/>
          <w:szCs w:val="18"/>
          <w:color w:val="auto"/>
        </w:rPr>
        <w:t>The assets and liabilities of the discontinued operations reflected in the condensed consolidated balance sheets as of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respectively, were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20" w:type="dxa"/>
            <w:vAlign w:val="bottom"/>
            <w:tcBorders>
              <w:top w:val="single" w:sz="8" w:color="auto"/>
            </w:tcBorders>
          </w:tcPr>
          <w:p>
            <w:pPr>
              <w:spacing w:after="0"/>
              <w:rPr>
                <w:sz w:val="21"/>
                <w:szCs w:val="21"/>
                <w:color w:val="auto"/>
              </w:rPr>
            </w:pPr>
          </w:p>
        </w:tc>
        <w:tc>
          <w:tcPr>
            <w:tcW w:w="3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Prepaid expenses and other </w:t>
            </w:r>
            <w:r>
              <w:rPr>
                <w:rFonts w:ascii="Times New Roman" w:cs="Times New Roman" w:eastAsia="Times New Roman" w:hAnsi="Times New Roman"/>
                <w:sz w:val="23"/>
                <w:szCs w:val="23"/>
                <w:color w:val="auto"/>
                <w:vertAlign w:val="superscript"/>
              </w:rPr>
              <w:t>(a)</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57"/>
        </w:trPr>
        <w:tc>
          <w:tcPr>
            <w:tcW w:w="5220" w:type="dxa"/>
            <w:vAlign w:val="bottom"/>
            <w:shd w:val="clear" w:color="auto" w:fill="CCEEFF"/>
          </w:tcPr>
          <w:p>
            <w:pPr>
              <w:spacing w:after="0"/>
              <w:rPr>
                <w:sz w:val="22"/>
                <w:szCs w:val="22"/>
                <w:color w:val="auto"/>
              </w:rPr>
            </w:pPr>
          </w:p>
        </w:tc>
        <w:tc>
          <w:tcPr>
            <w:tcW w:w="3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52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3"/>
                <w:szCs w:val="23"/>
                <w:color w:val="auto"/>
                <w:vertAlign w:val="superscript"/>
              </w:rPr>
              <w:t>(a)</w:t>
            </w:r>
          </w:p>
        </w:tc>
        <w:tc>
          <w:tcPr>
            <w:tcW w:w="3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ind w:left="260" w:right="100" w:hanging="234"/>
        <w:spacing w:after="0" w:line="251" w:lineRule="auto"/>
        <w:tabs>
          <w:tab w:leader="none" w:pos="23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balance sheet of discontinued operations as of September 30, 2022 includes $0.2 million of other receivables related to the settlement of customary post-closing adjustments and other miscellaneous accrued expenses of $0.1 million. The condensed consolidated balance sheet of discontinued operations as of December 31, 2021 includes $0.2 million of other receivables related to the settlement of customary post-closing adjustments and other miscellaneous accrued expenses of $0.2 million.</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significant operating and investing cash flow information for discontinued operations: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60" w:type="dxa"/>
            <w:vAlign w:val="bottom"/>
            <w:tcBorders>
              <w:top w:val="single" w:sz="8" w:color="auto"/>
            </w:tcBorders>
          </w:tcPr>
          <w:p>
            <w:pPr>
              <w:spacing w:after="0"/>
              <w:rPr>
                <w:sz w:val="21"/>
                <w:szCs w:val="21"/>
                <w:color w:val="auto"/>
              </w:rPr>
            </w:pPr>
          </w:p>
        </w:tc>
        <w:tc>
          <w:tcPr>
            <w:tcW w:w="638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9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2022</w:t>
            </w: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9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4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Held For Sale</w:t>
      </w:r>
    </w:p>
    <w:p>
      <w:pPr>
        <w:spacing w:after="0" w:line="108" w:lineRule="exact"/>
        <w:rPr>
          <w:sz w:val="20"/>
          <w:szCs w:val="20"/>
          <w:color w:val="auto"/>
        </w:rPr>
      </w:pPr>
    </w:p>
    <w:p>
      <w:pPr>
        <w:ind w:right="380" w:firstLine="405"/>
        <w:spacing w:after="0" w:line="276" w:lineRule="auto"/>
        <w:rPr>
          <w:sz w:val="20"/>
          <w:szCs w:val="20"/>
          <w:color w:val="auto"/>
        </w:rPr>
      </w:pPr>
      <w:r>
        <w:rPr>
          <w:rFonts w:ascii="Times New Roman" w:cs="Times New Roman" w:eastAsia="Times New Roman" w:hAnsi="Times New Roman"/>
          <w:sz w:val="17"/>
          <w:szCs w:val="17"/>
          <w:color w:val="auto"/>
        </w:rPr>
        <w:t>In July 2019, the Company committed to a plan to close its manufacturing facility in Lake Zurich, Illinois, which historically was reported by the Company within the Personal Care Films component of its PE Films segment. During the third quarter of 2020, the disposal group carrying value of</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$4.6 million was reported in "Prepaid expenses and other" in the consolidated balance sheet as the held for sale criteria was met. During the third quarter of 2021, the Company completed the sale of the remaining assets in Lake Zurich, Illinois resulting in total cash proceeds of $4.7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w:t>
      </w:r>
    </w:p>
    <w:p>
      <w:pPr>
        <w:spacing w:after="0" w:line="9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August 2007 and December 2008, the Company made an aggregate investment of $7.5 million in kaleo, Inc. (“kaléo”), a privately held specialty pharmaceutical company dedicated to building innovative solutions for serious and life-threatening medical conditions. Tredegar historically accounted for its investment in kaléo under the fair value option. At the time of the initial investment, the Company elected the fair value option of accounting since its investment objectives were similar to those of venture capitalists, which typically do not have controlling financial interests. kaléo’s stock is not publicly traded.</w:t>
      </w:r>
    </w:p>
    <w:p>
      <w:pPr>
        <w:spacing w:after="0" w:line="6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the first nine months ended September 30, 2021, a pre-tax gain of $1.2 million was recognized on the Company’s investment in kaléo, which included a $0.3 million dividend received from kaléo. On December 27, 2021, the Company completed the sale of its investment interests in kaléo (Series A-3 Preferred Stock, Series B Preferred Stock and common stock) and received closing cash proceeds of $47.1 million. Subsequently, in May 2022, additional cash consideration of $1.4 million was received related to customary post-closing adjustments, which is reported in “Other income (expense), net” in the condensed consolidated statements of income.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June 29, 2022, Tredegar entered into a Second Amended and Restated Credit Agreement (the “Credit Agreement”) that replaced its existing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 million five-year, secured revolving credit facility that was due to expire on June 28, 2024. The Credit Agreement is a five-year, revolving,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that permits aggregate borrowings of $375 million and matures on June 29, 2027.</w:t>
      </w:r>
    </w:p>
    <w:p>
      <w:pPr>
        <w:spacing w:after="0" w:line="8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an interest rate equal to Secured Overnight Financing Rate ("SOFR") plus a credit spread adjustment of 10 basis points ("Adjusted Term SOFR Rate") and an amount depending on the type of borrowing and commitment fees charged on the unused amount under the Credit Agreement at various Total Net Leverage Ratio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Under the Credit Agreement (Basis Points)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Borders>
              <w:top w:val="single" w:sz="8" w:color="auto"/>
            </w:tcBorders>
          </w:tcPr>
          <w:p>
            <w:pPr>
              <w:spacing w:after="0"/>
              <w:rPr>
                <w:sz w:val="14"/>
                <w:szCs w:val="14"/>
                <w:color w:val="auto"/>
              </w:rPr>
            </w:pPr>
          </w:p>
        </w:tc>
        <w:tc>
          <w:tcPr>
            <w:tcW w:w="47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Term Benchmark</w:t>
            </w: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Commitment</w:t>
            </w: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4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Spread</w:t>
            </w: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Fee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&gt;1.0x but &lt;=2.0x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&gt;2.0x but &lt;=3.0x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&gt;3.0x but &lt;=3.5x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6"/>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&gt;3.5x</w:t>
            </w:r>
          </w:p>
        </w:tc>
        <w:tc>
          <w:tcPr>
            <w:tcW w:w="4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84"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At September 30, 2022, $124.0 million of the outstanding debt was principally priced at an interest rate equal to the Adjusted Term SOFR Rate plus the applicable credit spread of 150.0 basis points. Prior to the Credit Agreement, the interest rate was based on London Inter-Bank Offered Rate plus an applicable credit spread.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primary restrictive covenants in the Credit Agreement include:</w:t>
      </w:r>
    </w:p>
    <w:p>
      <w:pPr>
        <w:spacing w:after="0" w:line="90" w:lineRule="exact"/>
        <w:rPr>
          <w:sz w:val="20"/>
          <w:szCs w:val="20"/>
          <w:color w:val="auto"/>
        </w:rPr>
      </w:pPr>
    </w:p>
    <w:p>
      <w:pPr>
        <w:ind w:left="820" w:hanging="407"/>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of 4.00x;</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of 3.00x; and</w:t>
      </w:r>
    </w:p>
    <w:p>
      <w:pPr>
        <w:spacing w:after="0" w:line="103" w:lineRule="exact"/>
        <w:rPr>
          <w:rFonts w:ascii="Times New Roman" w:cs="Times New Roman" w:eastAsia="Times New Roman" w:hAnsi="Times New Roman"/>
          <w:sz w:val="18"/>
          <w:szCs w:val="18"/>
          <w:color w:val="auto"/>
        </w:rPr>
      </w:pPr>
    </w:p>
    <w:p>
      <w:pPr>
        <w:ind w:left="820" w:right="140" w:hanging="407"/>
        <w:spacing w:after="0" w:line="261"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Unlimited payments for dividends and stock repurchases during the term of the Credit Agreement so long as the Total Net Leverage Ratio is equal to or less than 2.00x, and otherwise restrictions on payments for dividends and stock repurchases for the term of the Credit Agreement at $75 million (provided that the $75 million basket will reset at the end of each fiscal quarter when the Total Net Leverage ratio is less than or equal to 2.00x).</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Credit Agreement:</w:t>
      </w:r>
    </w:p>
    <w:p>
      <w:pPr>
        <w:spacing w:after="0" w:line="104" w:lineRule="exact"/>
        <w:rPr>
          <w:sz w:val="20"/>
          <w:szCs w:val="20"/>
          <w:color w:val="auto"/>
        </w:rPr>
      </w:pPr>
    </w:p>
    <w:p>
      <w:pPr>
        <w:ind w:left="820" w:right="440" w:hanging="407"/>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is defined as the ratio of (a)(i) total indebtedness minus (ii) liquidity (the lesser of $50,000,000 and the aggregate amount of cash and cash equivalents) to (b) EBITDA (as defined in Credit Agreement "Credit EBITDA"); and</w:t>
      </w:r>
    </w:p>
    <w:p>
      <w:pPr>
        <w:spacing w:after="0" w:line="40"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is defined as the ratio of (a) Credit EBITDA to (b) interest expense.</w:t>
      </w:r>
    </w:p>
    <w:p>
      <w:pPr>
        <w:spacing w:after="0" w:line="9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Credit Agreement is secured by substantially all of the Company’s and its domestic subsidiaries’ assets, including equity in certain material first-tier foreign subsidiaries. Tredegar was in compliance with all of its debt covenants as of September 30, 2022. Noncompliance with any of the debt covenants may have a material adverse effect on its financial condition or liquidity, in the event such noncompliance cannot be cured or should the Company be unable to obtain a waiver from the lenders. Renegotiation of the covenant through an amendment to the Credit Agreement may effectively cure the noncompliance, but may have an effect on its financial condition or liquidity depending upon how the covenant is renegotiated.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jc w:val="right"/>
        <w:ind w:right="36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and Cautionary Statements</w:t>
      </w:r>
    </w:p>
    <w:p>
      <w:pPr>
        <w:spacing w:after="0" w:line="1"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spacing w:after="0" w:line="7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gain of sales to significant customers on which the Company’s business is highly dependent;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sales to new customers to replace lost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efficiently manufacture and deliver new products at competitive prices;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customers to achieve success or maintain market share;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in countries outside the U.S. that affect our international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regulatory factors concerning the Company’s products;</w:t>
      </w:r>
    </w:p>
    <w:p>
      <w:pPr>
        <w:spacing w:after="0" w:line="9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economic conditions in countries in which the Company does business, including continued high inflation and the effects of the Russian invasion of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manufacturers, including manufacturers in lower-cost countries and manufacturers benefiting from government subsidies;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fluctuations in foreign exchange rates;</w:t>
      </w:r>
    </w:p>
    <w:p>
      <w:pPr>
        <w:spacing w:after="0" w:line="9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movement of pension plan assets and liabilities up through initiating hedging activities to fix underfunding amounts and assumptions thereafter relating to differences between the ultimate settlement benefit obligation and the projected benefit obligation, census data, administrative costs, the effectiveness of hedging activities and discounts required to liquidate non-public securities held by the plan;</w:t>
      </w:r>
    </w:p>
    <w:p>
      <w:pPr>
        <w:spacing w:after="0" w:line="54" w:lineRule="exact"/>
        <w:rPr>
          <w:rFonts w:ascii="Times New Roman" w:cs="Times New Roman" w:eastAsia="Times New Roman" w:hAnsi="Times New Roman"/>
          <w:sz w:val="18"/>
          <w:szCs w:val="18"/>
          <w:color w:val="auto"/>
          <w:strike w:val="1"/>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operating costs incurred by the Company’s business units, including, for example, the cost of raw materials and energy;</w:t>
      </w:r>
    </w:p>
    <w:p>
      <w:pPr>
        <w:spacing w:after="0" w:line="10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identify, complete or integrate strategic acquisitions; failure to realize the expected benefits of such acquisitions and assumption of unanticipated risks in such acquisitions;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manufacturing facilities, including those resulting from labor shortages;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develop and retain certain key officers or employees;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employees, production and the global economy, such as the COVID-19 pandemic;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system failure or breach;</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imposition of tariffs and sanctions on imported aluminum ingot used by Bonnell Aluminum;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tariffs, duties or other trade restrictions imposed as a result of trade tensions between the U.S. and other countries;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anti-dumping duties on products imported to Brazil that compete with products produced by Flexible Packaging;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 over financial reporting;</w:t>
      </w:r>
    </w:p>
    <w:p>
      <w:pPr>
        <w:spacing w:after="0" w:line="9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2021 (the “2021 Form 10-K”). Readers are urged to review and consider carefully the disclosures Tredegar makes in its filings with the SEC.</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4" w:name="page25"/>
    <w:bookmarkEnd w:id="24"/>
    <w:p>
      <w:pPr>
        <w:ind w:right="480" w:firstLine="405"/>
        <w:spacing w:after="0" w:line="312" w:lineRule="auto"/>
        <w:rPr>
          <w:sz w:val="20"/>
          <w:szCs w:val="20"/>
          <w:color w:val="auto"/>
        </w:rPr>
      </w:pPr>
      <w:r>
        <w:rPr>
          <w:rFonts w:ascii="Times New Roman" w:cs="Times New Roman" w:eastAsia="Times New Roman" w:hAnsi="Times New Roman"/>
          <w:sz w:val="17"/>
          <w:szCs w:val="17"/>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5"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References herein to “Tredegar,” “the Company,” “we,” “us” and “our” are to Tredegar Corporation and its subsidiaries, collectively, unless the context otherwise indicates or requires.</w:t>
      </w:r>
    </w:p>
    <w:p>
      <w:pPr>
        <w:spacing w:after="0" w:line="40"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Unless otherwise stated or indicated, all comparisons are to the prior year period. References to "Notes" are to notes to our condensed consolidated financial statements found in Part I, Item 1 of this Form 10-Q.</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makes a number of estimates and assumptions relating to the reporting of results of operations and financial position in the preparation of financial statements in conformity with GAAP. The Company believes the estimates, assumptions and judgments described in the section “Management’s Discussion and Analysis of Financial Condition and Results of Operations – Critical Accounting Policies and Estimates” in the 2021 Form 10-K have the greatest potential impact on our financial statements, so Tredegar considers these to be its critical accounting policies. Since December 31, 2021, there have been no changes in these policies or estimates that have had a material impact on our results of operations or financial position.</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Tredegar Corporation is an industrial manufacturer with three primary businesses: custom aluminum extrusions for the North American building and construction ("B&amp;C"),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2,300 employees, the Company operates manufacturing facilities in North America, South America, and Asia.</w:t>
      </w:r>
    </w:p>
    <w:p>
      <w:pPr>
        <w:spacing w:after="0" w:line="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from continuing operations as its measure of revenues from external customers at the segment level. This measure is separately included in the financial information regularly provided to the CODM.</w:t>
      </w:r>
    </w:p>
    <w:p>
      <w:pPr>
        <w:spacing w:after="0" w:line="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Earnings before interest and taxes ("EBIT") from ongoing operations is a non-GAAP financial measure included in the reconciliation of segment financial information to consolidated results for the Company. It is not intended to represent the stand-alone results for Tredegar's ongoing operations under generally accepted accounting standards in the United States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Results Highlights</w:t>
      </w:r>
    </w:p>
    <w:p>
      <w:pPr>
        <w:spacing w:after="0" w:line="9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Third quarter 2022 net income from continuing operations was $1.0 million ($0.03 per diluted share) compared with net income from continuing operations of $6.2 million ($0.19 per diluted share) in the third quarter of 2021.</w:t>
      </w:r>
    </w:p>
    <w:p>
      <w:pPr>
        <w:spacing w:after="0" w:line="40"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Aluminum Extrusions of $12.1 million was consistent with the third quarter of 2021</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PE Films of $0.4 million was $4.4 million lower than the third quarter of 2021</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Flexible Packaging Films of $7.8 million was $0.4 million higher than the third quarter of 2021</w:t>
      </w:r>
    </w:p>
    <w:p>
      <w:pPr>
        <w:spacing w:after="0" w:line="104"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Given recessionary concerns and recent customer inventory corrections during the third quarter of 2022, the outlook for demand for Aluminum Extrusions’ and PE Films’ products remains uncertain.</w:t>
      </w:r>
    </w:p>
    <w:p>
      <w:pPr>
        <w:spacing w:after="0" w:line="40"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 xml:space="preserve">Other losses related to asset impairments and costs associated with exit and disposal activities for continuing operations were not material for the three ended September 30, 2022 and 2021, respectively. Gains and losses associated with plant shutdowns, asset impairments, restructurings and other items are described in </w:t>
      </w:r>
      <w:r>
        <w:rPr>
          <w:rFonts w:ascii="Times New Roman" w:cs="Times New Roman" w:eastAsia="Times New Roman" w:hAnsi="Times New Roman"/>
          <w:sz w:val="18"/>
          <w:szCs w:val="18"/>
          <w:b w:val="1"/>
          <w:bCs w:val="1"/>
          <w:i w:val="1"/>
          <w:iCs w:val="1"/>
          <w:color w:val="auto"/>
        </w:rPr>
        <w:t>Results of Operations</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Third Quarter of 2022 Compared with the Third Quarter of 2021</w:t>
      </w:r>
    </w:p>
    <w:p>
      <w:pPr>
        <w:spacing w:after="0" w:line="106"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third quarter of 2021 to third quarter of 2022 with related management's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for the three months ended September 30, 2021</w:t>
            </w:r>
          </w:p>
        </w:tc>
        <w:tc>
          <w:tcPr>
            <w:tcW w:w="1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r>
      <w:tr>
        <w:trPr>
          <w:trHeight w:val="229"/>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three months ended September 30, 2021</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28,969</w:t>
            </w:r>
          </w:p>
        </w:tc>
      </w:tr>
      <w:tr>
        <w:trPr>
          <w:trHeight w:val="229"/>
        </w:trPr>
        <w:tc>
          <w:tcPr>
            <w:tcW w:w="9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3"/>
        </w:trPr>
        <w:tc>
          <w:tcPr>
            <w:tcW w:w="9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28,697</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(29,826)</w:t>
            </w:r>
          </w:p>
        </w:tc>
      </w:tr>
      <w:tr>
        <w:trPr>
          <w:trHeight w:val="230"/>
        </w:trPr>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29"/>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30"/>
        </w:trPr>
        <w:tc>
          <w:tcPr>
            <w:tcW w:w="9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three months ended September 30, 2022</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29"/>
        </w:trPr>
        <w:tc>
          <w:tcPr>
            <w:tcW w:w="9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for the three months ended September 30, 2022</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r>
    </w:tbl>
    <w:p>
      <w:pPr>
        <w:spacing w:after="0" w:line="157" w:lineRule="exact"/>
        <w:rPr>
          <w:sz w:val="20"/>
          <w:szCs w:val="20"/>
          <w:color w:val="auto"/>
        </w:rPr>
      </w:pPr>
    </w:p>
    <w:p>
      <w:pPr>
        <w:ind w:right="360" w:firstLine="405"/>
        <w:spacing w:after="0" w:line="256" w:lineRule="auto"/>
        <w:rPr>
          <w:sz w:val="20"/>
          <w:szCs w:val="20"/>
          <w:color w:val="auto"/>
        </w:rPr>
      </w:pPr>
      <w:r>
        <w:rPr>
          <w:rFonts w:ascii="Times New Roman" w:cs="Times New Roman" w:eastAsia="Times New Roman" w:hAnsi="Times New Roman"/>
          <w:sz w:val="18"/>
          <w:szCs w:val="18"/>
          <w:color w:val="auto"/>
        </w:rPr>
        <w:t xml:space="preserve">Sales in the third quarter of 2022 increased by $29.0 million compared with the third quarter of 2021. Net sales (sales less freight) in Aluminum Extrusions increased $24.6 million, primarily due to an increase in average selling prices to cover higher operating costs, partially offset by the pass-through of lower metal costs. Net sales in PE Films decreased $8.4 million, primarily due to weakening market demand, competitive pricing and unfavorable product mix. Net sales in Flexible Packaging Films increased $10.6 million, primarily due to higher sales volume and higher selling prices from the pass-through of higher resin costs, higher sales volume and favorable product mix. For more information on net sales and volume, see the </w:t>
      </w:r>
      <w:r>
        <w:rPr>
          <w:rFonts w:ascii="Times New Roman" w:cs="Times New Roman" w:eastAsia="Times New Roman" w:hAnsi="Times New Roman"/>
          <w:sz w:val="18"/>
          <w:szCs w:val="18"/>
          <w:b w:val="1"/>
          <w:bCs w:val="1"/>
          <w:i w:val="1"/>
          <w:iCs w:val="1"/>
          <w:color w:val="auto"/>
        </w:rPr>
        <w:t xml:space="preserve">Segment Operations Review </w:t>
      </w:r>
      <w:r>
        <w:rPr>
          <w:rFonts w:ascii="Times New Roman" w:cs="Times New Roman" w:eastAsia="Times New Roman" w:hAnsi="Times New Roman"/>
          <w:sz w:val="18"/>
          <w:szCs w:val="18"/>
          <w:color w:val="auto"/>
        </w:rPr>
        <w:t>below.</w:t>
      </w:r>
    </w:p>
    <w:p>
      <w:pPr>
        <w:spacing w:after="0" w:line="66"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Other income (expense), net for the third quarter ended September 30, 2022 remained consistent with the third quarter of 2021. See Note 5 for additional information.</w:t>
      </w:r>
    </w:p>
    <w:p>
      <w:pPr>
        <w:spacing w:after="0" w:line="27"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11.9% in the third quarter of 2022 compared to 15.0% in the third quarter of 2021. The gross profit margin in Aluminum Extrusions decreased primarily due to higher labor and employee-related costs, lower labor productivity, higher supply expense, higher utility costs and higher freight rates. Additionally, the timing of the flow through under the first-in first-out method of aluminum raw material costs passed through to customers, previously acquired at higher prices in a quickly changing commodity pricing environment, resulted in a charge in the third quarter of 2022 versus a benefit in the third quarter of 2021. In addition, the Company recorded an out-of-period adjustment of $2.5 million related to inventory and accrued labor costs. The gross profit margin in PE Films decreased primarily due to lower Surface Protection contribution margin for non-transitioning products associated with a market slowdown and customer inventory corrections, competitive pricing and previously disclosed customer product transitions. The gross profit margin in Flexible Packaging Films decreased primarily due to higher raw material costs and higher fixed costs, partially offset by higher selling prices from the pass-through of higher resin costs, higher sales volume, favorable product mix and lower variable costs.</w:t>
      </w:r>
    </w:p>
    <w:p>
      <w:pPr>
        <w:spacing w:after="0" w:line="73" w:lineRule="exact"/>
        <w:rPr>
          <w:sz w:val="20"/>
          <w:szCs w:val="20"/>
          <w:color w:val="auto"/>
        </w:rPr>
      </w:pPr>
    </w:p>
    <w:p>
      <w:pPr>
        <w:ind w:right="120" w:firstLine="405"/>
        <w:spacing w:after="0" w:line="281" w:lineRule="auto"/>
        <w:rPr>
          <w:sz w:val="20"/>
          <w:szCs w:val="20"/>
          <w:color w:val="auto"/>
        </w:rPr>
      </w:pPr>
      <w:r>
        <w:rPr>
          <w:rFonts w:ascii="Times New Roman" w:cs="Times New Roman" w:eastAsia="Times New Roman" w:hAnsi="Times New Roman"/>
          <w:sz w:val="17"/>
          <w:szCs w:val="17"/>
          <w:color w:val="auto"/>
        </w:rPr>
        <w:t>As a percentage of sales, selling, general and administrative (“SG&amp;A”) and research and development ("R&amp;D") expenses were 8.6% in the third quarter of 2022, compared with 8.8% in the third quarter of 2021. While third quarter SG&amp;A expenses increased and sales increased year-over-year, R&amp;D expenses remained consistent with prior year. Higher SG&amp;A spending is primarily due to higher professional fees associated with remediation activities related to the Company's previously disclosed material weaknesses in internal control over financial reporting and higher employee-related compensation.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ind w:right="60" w:firstLine="405"/>
        <w:spacing w:after="0" w:line="241" w:lineRule="auto"/>
        <w:rPr>
          <w:sz w:val="20"/>
          <w:szCs w:val="20"/>
          <w:color w:val="auto"/>
        </w:rPr>
      </w:pPr>
      <w:r>
        <w:rPr>
          <w:rFonts w:ascii="Times New Roman" w:cs="Times New Roman" w:eastAsia="Times New Roman" w:hAnsi="Times New Roman"/>
          <w:sz w:val="18"/>
          <w:szCs w:val="18"/>
          <w:color w:val="auto"/>
        </w:rPr>
        <w:t>The effective tax rate used to compute income taxes for continuing operations in the third quarter of 2022 was 52.6%, compared to 23.5% in the third quarter of 2021. The increase in the effective tax rate for continuing operations is primarily due to the implementation of new U.S. tax regulations associated with foreign tax credits published by the U.S. Treasury and Internal Revenue Service on January 4, 2022. These regulations overhaul various components of the foreign tax credit regime, including the determination of creditable foreign taxes, and limit the amount of foreign taxes that are creditable against U.S. income taxes. Brazilian income tax is no longer creditable in the U.S. for the foreseeable future under these regulations. See Note 9 for additional information.</w:t>
      </w:r>
    </w:p>
    <w:p>
      <w:pPr>
        <w:spacing w:after="0" w:line="6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Pre-tax gains and losses associated with plant shutdowns, asset impairments, restructurings and other items for continuing operations in the third quarters of 2022 and 2021 detailed below are shown in the statements of net sales and EBITDA from ongoing operations by segment table in Note 10 and are included in “Asset impairments and costs associated with exit and disposal activities, net of adjustments” in the condensed consolidated statements of income,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8"/>
          <w:szCs w:val="18"/>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Environmental charges at Newnan, Georgia plant</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920" w:type="dxa"/>
            <w:vAlign w:val="bottom"/>
            <w:tcBorders>
              <w:bottom w:val="single" w:sz="8" w:color="auto"/>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COVID-19-related expenses, net of relief</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20" w:type="dxa"/>
            <w:vAlign w:val="bottom"/>
            <w:tcBorders>
              <w:bottom w:val="single" w:sz="8" w:color="auto"/>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7"/>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net of costs associated with the sale of the Lake Zurich manufacturing facility assets</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 and other</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9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internal control over financial reporting</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181"/>
        </w:trPr>
        <w:tc>
          <w:tcPr>
            <w:tcW w:w="892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Stock-based compensation expense associated with the fair value remeasurement of awards granted at the time of the</w:t>
            </w: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8"/>
        </w:trPr>
        <w:tc>
          <w:tcPr>
            <w:tcW w:w="8920" w:type="dxa"/>
            <w:vAlign w:val="bottom"/>
          </w:tcPr>
          <w:p>
            <w:pPr>
              <w:ind w:left="360"/>
              <w:spacing w:after="0" w:line="237" w:lineRule="exact"/>
              <w:rPr>
                <w:sz w:val="20"/>
                <w:szCs w:val="20"/>
                <w:color w:val="auto"/>
              </w:rPr>
            </w:pPr>
            <w:r>
              <w:rPr>
                <w:rFonts w:ascii="Times New Roman" w:cs="Times New Roman" w:eastAsia="Times New Roman" w:hAnsi="Times New Roman"/>
                <w:sz w:val="18"/>
                <w:szCs w:val="18"/>
                <w:color w:val="auto"/>
              </w:rPr>
              <w:t>2020 special dividend</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9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Transition service fees, net of corporate costs associated with the divested Personal Care Films business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92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ind w:left="180" w:hanging="154"/>
        <w:spacing w:after="0" w:line="234" w:lineRule="auto"/>
        <w:tabs>
          <w:tab w:leader="none" w:pos="1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condensed consolidated statements of income.</w:t>
      </w:r>
    </w:p>
    <w:p>
      <w:pPr>
        <w:ind w:left="180" w:hanging="154"/>
        <w:spacing w:after="0" w:line="211" w:lineRule="auto"/>
        <w:tabs>
          <w:tab w:leader="none" w:pos="1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180" w:hanging="154"/>
        <w:spacing w:after="0" w:line="211" w:lineRule="auto"/>
        <w:tabs>
          <w:tab w:leader="none" w:pos="1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“Costs of goods sold” in the condensed consolidated statements of income.</w:t>
      </w:r>
    </w:p>
    <w:p>
      <w:pPr>
        <w:ind w:left="180" w:hanging="154"/>
        <w:spacing w:after="0"/>
        <w:tabs>
          <w:tab w:leader="none" w:pos="1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“Corporate Expenses, Interest, &amp; Other” below and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color w:val="auto"/>
        </w:rPr>
        <w:t>Average debt outstanding and interest rates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Three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outstanding debt balance</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111.1</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122.5</w:t>
            </w:r>
          </w:p>
        </w:tc>
      </w:tr>
      <w:tr>
        <w:trPr>
          <w:trHeight w:val="236"/>
        </w:trPr>
        <w:tc>
          <w:tcPr>
            <w:tcW w:w="6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ind w:left="180" w:right="260" w:hanging="154"/>
        <w:spacing w:after="0" w:line="222" w:lineRule="auto"/>
        <w:tabs>
          <w:tab w:leader="none" w:pos="1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entry into the Second Amended and Restated Credit Agreement on June 29, 2022, borrowings bear an interest rate equal to Secured Overnight Financing Rate ("SOFR") plus a credit spread adjustment of 10 basis points and an amount depending on the type of borrowing and commitment fees charged on the unused amount under the Second Amended and Restated Credit Agreement. Prior to entry into the Second Amended and Restated Credit Agreement, the interest rate was based on London Inter-Bank Offered Rate ("LIBOR") plus an applicable credit spread.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Nine Months of 2022 Results vs. First Nine Months of 2021 Results</w:t>
      </w:r>
    </w:p>
    <w:p>
      <w:pPr>
        <w:spacing w:after="0" w:line="106"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first nine months of 2021 to first nine months of 2022 with related management's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for the first nine months ended September 30, 2021</w:t>
            </w:r>
          </w:p>
        </w:tc>
        <w:tc>
          <w:tcPr>
            <w:tcW w:w="11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w:t>
            </w:r>
          </w:p>
        </w:tc>
      </w:tr>
      <w:tr>
        <w:trPr>
          <w:trHeight w:val="229"/>
        </w:trPr>
        <w:tc>
          <w:tcPr>
            <w:tcW w:w="9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w:t>
            </w:r>
          </w:p>
        </w:tc>
      </w:tr>
      <w:tr>
        <w:trPr>
          <w:trHeight w:val="22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first nine months ended September 30, 2021</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47,304</w:t>
            </w: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9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143,947</w:t>
            </w:r>
          </w:p>
        </w:tc>
      </w:tr>
      <w:tr>
        <w:trPr>
          <w:trHeight w:val="230"/>
        </w:trPr>
        <w:tc>
          <w:tcPr>
            <w:tcW w:w="9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(8,159)</w:t>
            </w:r>
          </w:p>
        </w:tc>
      </w:tr>
      <w:tr>
        <w:trPr>
          <w:trHeight w:val="223"/>
        </w:trPr>
        <w:tc>
          <w:tcPr>
            <w:tcW w:w="9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135,788</w:t>
            </w:r>
          </w:p>
        </w:tc>
      </w:tr>
      <w:tr>
        <w:trPr>
          <w:trHeight w:val="23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from (increases) decreases in the following items:</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9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(131,197)</w:t>
            </w:r>
          </w:p>
        </w:tc>
      </w:tr>
      <w:tr>
        <w:trPr>
          <w:trHeight w:val="230"/>
        </w:trPr>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w:t>
            </w:r>
          </w:p>
        </w:tc>
      </w:tr>
      <w:tr>
        <w:trPr>
          <w:trHeight w:val="230"/>
        </w:trPr>
        <w:tc>
          <w:tcPr>
            <w:tcW w:w="9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30"/>
        </w:trPr>
        <w:tc>
          <w:tcPr>
            <w:tcW w:w="9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3"/>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(143,378)</w:t>
            </w: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first nine months ended September 30, 2022</w:t>
            </w:r>
          </w:p>
        </w:tc>
        <w:tc>
          <w:tcPr>
            <w:tcW w:w="1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39,714</w:t>
            </w:r>
          </w:p>
        </w:tc>
      </w:tr>
      <w:tr>
        <w:trPr>
          <w:trHeight w:val="230"/>
        </w:trPr>
        <w:tc>
          <w:tcPr>
            <w:tcW w:w="9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r>
      <w:tr>
        <w:trPr>
          <w:trHeight w:val="230"/>
        </w:trPr>
        <w:tc>
          <w:tcPr>
            <w:tcW w:w="9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for the first nine months ended September 30, 2022</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32,254</w:t>
            </w:r>
          </w:p>
        </w:tc>
      </w:tr>
    </w:tbl>
    <w:p>
      <w:pPr>
        <w:spacing w:after="0" w:line="171"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 xml:space="preserve">Sales in the first nine months of 2022 increased by $143.9 million compared with the first nine months of 2021. Net sales (sales less freight) in Aluminum Extrusions increased $115.6 million, primarily due to an increase in average selling prices to cover higher aluminum raw material costs and higher operating costs, partially offset by lower sales volume. Net sales decreased $5.3 million in PE Films, primarily due to lower volume in Surface Protection and overwrap films, partially offset by an increase in average selling prices associated with the pass-through of higher market-driven raw material costs. Net sales in Flexible Packaging Films increased $25.6 million, primarily due to higher selling prices from the pass-through of higher resin costs, favorable product mix and higher sales volume. For more information on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below.</w:t>
      </w:r>
    </w:p>
    <w:p>
      <w:pPr>
        <w:spacing w:after="0" w:line="52"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Other income decreased $8.2 million in the first nine months of 2022 compared to the first nine months of 2021, primarily due to a 2021 gain of $8.5 million associated with a one-time tax credit in Brazil for unemployment/social security insurance non-income taxes resulting from a favorable decision by Brazil's Supreme Court regarding the calculation of such tax. See Note 5 for additional information.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8" w:name="page29"/>
    <w:bookmarkEnd w:id="28"/>
    <w:p>
      <w:pPr>
        <w:ind w:firstLine="405"/>
        <w:spacing w:after="0" w:line="255"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15.9% in the first nine months of 2022 compared to 18.9% in the first nine months of 2021. The gross profit margin in Aluminum Extrusions remained flat compared to the first nine months of 2021. The gross profit margin in PE Films decreased primarily due to lower Surface Protection contribution margin related to previously disclosed customer product transitions and for non-transitioning products associated with a market slowdown and customer inventory corrections and competitive pricing pressures, partially offset by the pass-through lag associated with resin costs. The gross profit margin in Flexible Packaging Films decreased primarily due to higher raw material costs, higher fixed and variable costs, partially offset by higher selling prices from the pass-through of higher resin costs, higher sales volume and favorable product mix.</w:t>
      </w:r>
    </w:p>
    <w:p>
      <w:pPr>
        <w:spacing w:after="0" w:line="5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As a percentage of SG&amp;A and R&amp;D expenses were 8.5% in the first nine months of 2022, compared with 9.9% in the first nine months of 2021. SG&amp;A expenses and sales increased year-over-year, while R&amp;D expenses remained consistent with prior year. Increased SG&amp;A spending is primarily due to higher professional fees associated with remediation activities related to the Company's previously disclosed material weaknesses in internal control over financial reporting and higher employee-related compensation.</w:t>
      </w:r>
    </w:p>
    <w:p>
      <w:pPr>
        <w:spacing w:after="0" w:line="58"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The effective tax rate used to compute income taxes for continuing operations in the first nine months of 2022 was 18.8%, compared to 22.7% in the first nine months of 2021. The decrease in the effective tax rate for continuing operations is primarily due to a discrete benefit recorded in the first quarter of 2022 resulting from the implementation of new U.S. tax regulations associated with foreign tax credits published by the U.S. Treasury and Internal Revenue Service on January 4, 2022. These regulations overhaul various components of the foreign tax credit regime including the determination of creditable foreign taxes and limit the amount of foreign taxes that are creditable against U.S. income taxes. This one-time discrete benefit is expected to reduce the effective tax rate for the remainder of 2022, which will be offset by an expected increase to the effective tax rate as the result of Brazilian income tax no longer being creditable in the U.S. for the foreseeable future. See Note 9 for additional information.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Pre-tax gains and losses associated with plant shutdowns, asset impairments, restructurings and other items for continuing operations in the first nine months of 2022 and 2021 detailed below are shown in the statements of net sales and EBITDA from ongoing operations by segment table in Note 10 and are included in “Asset impairments and costs associated with exit and disposal activities, net of adjustments” in the condensed consolidated statements of income, unless otherwise noted.</w:t>
      </w:r>
    </w:p>
    <w:tbl>
      <w:tblPr>
        <w:tblLayout w:type="fixed"/>
        <w:tblInd w:w="0" w:type="dxa"/>
        <w:tblCellMar>
          <w:top w:w="0" w:type="dxa"/>
          <w:left w:w="0" w:type="dxa"/>
          <w:bottom w:w="0" w:type="dxa"/>
          <w:right w:w="0" w:type="dxa"/>
        </w:tblCellMar>
      </w:tblPr>
      <w:tr>
        <w:trPr>
          <w:trHeight w:val="191"/>
        </w:trPr>
        <w:tc>
          <w:tcPr>
            <w:tcW w:w="9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3"/>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9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8"/>
        </w:trPr>
        <w:tc>
          <w:tcPr>
            <w:tcW w:w="9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2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Environmental charges at Newnan, Georgia plant</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9220" w:type="dxa"/>
            <w:vAlign w:val="bottom"/>
            <w:tcBorders>
              <w:bottom w:val="single" w:sz="8" w:color="auto"/>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COVID-19-related expenses, net of relief</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9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9220" w:type="dxa"/>
            <w:vAlign w:val="bottom"/>
            <w:tcBorders>
              <w:bottom w:val="single" w:sz="8" w:color="auto"/>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9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losses from sale of assets, investment writedowns and other items: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76"/>
        </w:trPr>
        <w:tc>
          <w:tcPr>
            <w:tcW w:w="92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One-time tax credit in Brazil for unemployment/social security insurance non-income taxes resulting from a favorable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9220" w:type="dxa"/>
            <w:vAlign w:val="bottom"/>
          </w:tcPr>
          <w:p>
            <w:pPr>
              <w:ind w:left="460"/>
              <w:spacing w:after="0" w:line="243" w:lineRule="exact"/>
              <w:rPr>
                <w:sz w:val="20"/>
                <w:szCs w:val="20"/>
                <w:color w:val="auto"/>
              </w:rPr>
            </w:pPr>
            <w:r>
              <w:rPr>
                <w:rFonts w:ascii="Times New Roman" w:cs="Times New Roman" w:eastAsia="Times New Roman" w:hAnsi="Times New Roman"/>
                <w:sz w:val="18"/>
                <w:szCs w:val="18"/>
                <w:color w:val="auto"/>
              </w:rPr>
              <w:t>decision by Brazil's Supreme Court regarding the calculation of such taxes</w:t>
            </w:r>
            <w:r>
              <w:rPr>
                <w:rFonts w:ascii="Times New Roman" w:cs="Times New Roman" w:eastAsia="Times New Roman" w:hAnsi="Times New Roman"/>
                <w:sz w:val="23"/>
                <w:szCs w:val="23"/>
                <w:color w:val="auto"/>
                <w:vertAlign w:val="superscript"/>
              </w:rPr>
              <w:t>1,5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9220" w:type="dxa"/>
            <w:vAlign w:val="bottom"/>
            <w:tcBorders>
              <w:bottom w:val="single" w:sz="8" w:color="auto"/>
            </w:tcBorders>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COVID-19-related expenses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9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Flexible Packaging Films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net of costs associated with the sale of the Lake Zurich manufacturing facility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92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 and other</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92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internal control over financial reporting</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2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Write-down of investment in Harbinger Capital Partners Special Situations Fund</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175"/>
        </w:trPr>
        <w:tc>
          <w:tcPr>
            <w:tcW w:w="92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Stock-based compensation expense associated with the fair value remeasurement of awards granted at the time of the 2020</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92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special dividend</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92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Transition service fees, net of corporate costs associated with the divested Personal Care Films business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922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condensed consolidated statements of income.</w:t>
      </w:r>
    </w:p>
    <w:p>
      <w:pPr>
        <w:ind w:left="180" w:hanging="154"/>
        <w:spacing w:after="0" w:line="211" w:lineRule="auto"/>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180" w:hanging="154"/>
        <w:spacing w:after="0" w:line="211" w:lineRule="auto"/>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“Costs of goods sold” in the condensed consolidated statements of income.</w:t>
      </w:r>
    </w:p>
    <w:p>
      <w:pPr>
        <w:ind w:left="180" w:hanging="154"/>
        <w:spacing w:after="0" w:line="211" w:lineRule="auto"/>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“Corporate Expenses, Interest, &amp; Other” below and see Note 4 for additional information.</w:t>
      </w:r>
    </w:p>
    <w:p>
      <w:pPr>
        <w:ind w:left="180" w:hanging="154"/>
        <w:spacing w:after="0"/>
        <w:tabs>
          <w:tab w:leader="none" w:pos="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8"/>
          <w:szCs w:val="18"/>
          <w:color w:val="auto"/>
        </w:rPr>
        <w:t>Average debt outstanding and interest rates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6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outstanding debt balance</w:t>
            </w: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108.3</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131.5</w:t>
            </w:r>
          </w:p>
        </w:tc>
      </w:tr>
      <w:tr>
        <w:trPr>
          <w:trHeight w:val="237"/>
        </w:trPr>
        <w:tc>
          <w:tcPr>
            <w:tcW w:w="66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4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ind w:left="180" w:right="180" w:hanging="154"/>
        <w:spacing w:after="0" w:line="223" w:lineRule="auto"/>
        <w:tabs>
          <w:tab w:leader="none" w:pos="1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entry into the Second Amended and Restated Credit Agreement on June 29, 2022, borrowings bear an interest rate equal to SOFR plus a credit spread adjustment of 10 basis points and an amount depending on the type of borrowing and commitment fees charged on the unused amount under the Second Amended and Restated Credit Agreement. Prior to entry into the Second Amended and Restated Credit Agreement, the interest rate was based on LIBOR plus an applicable credit spread.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for additional information.</w:t>
      </w:r>
    </w:p>
    <w:p>
      <w:pPr>
        <w:spacing w:after="0" w:line="15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Segment Operations Review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Aluminum Extrusions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Favorable/</w:t>
            </w:r>
          </w:p>
        </w:tc>
        <w:tc>
          <w:tcPr>
            <w:tcW w:w="280" w:type="dxa"/>
            <w:vAlign w:val="bottom"/>
          </w:tcPr>
          <w:p>
            <w:pPr>
              <w:spacing w:after="0"/>
              <w:rPr>
                <w:sz w:val="20"/>
                <w:szCs w:val="20"/>
                <w:color w:val="auto"/>
              </w:rPr>
            </w:pPr>
          </w:p>
        </w:tc>
        <w:tc>
          <w:tcPr>
            <w:tcW w:w="232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Nine Months Ended</w:t>
            </w: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gridSpan w:val="3"/>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September 30,</w:t>
            </w:r>
          </w:p>
        </w:tc>
        <w:tc>
          <w:tcPr>
            <w:tcW w:w="1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gridSpan w:val="3"/>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September 30,</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9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15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(Unfavorable)</w:t>
            </w:r>
          </w:p>
        </w:tc>
        <w:tc>
          <w:tcPr>
            <w:tcW w:w="28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1480" w:type="dxa"/>
            <w:vAlign w:val="bottom"/>
          </w:tcPr>
          <w:p>
            <w:pPr>
              <w:jc w:val="center"/>
              <w:ind w:left="10"/>
              <w:spacing w:after="0" w:line="156"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45,457</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137,427</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138,793</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161,649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137,086</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17.9%</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510,066</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394,492</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12,071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57,885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45,062</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(6.5)%</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7,655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45,039</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5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15,089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860" w:firstLine="18"/>
        <w:spacing w:after="0" w:line="404" w:lineRule="auto"/>
        <w:rPr>
          <w:sz w:val="20"/>
          <w:szCs w:val="20"/>
          <w:color w:val="auto"/>
        </w:rPr>
      </w:pPr>
      <w:r>
        <w:rPr>
          <w:rFonts w:ascii="Times New Roman" w:cs="Times New Roman" w:eastAsia="Times New Roman" w:hAnsi="Times New Roman"/>
          <w:sz w:val="18"/>
          <w:szCs w:val="18"/>
          <w:color w:val="auto"/>
        </w:rPr>
        <w:t xml:space="preserve">*See the table in Note 10 for a reconciliation of this non-GAAP measure to the most comparable measure calculated in accordance with GAAP. </w:t>
      </w:r>
      <w:r>
        <w:rPr>
          <w:rFonts w:ascii="Times New Roman" w:cs="Times New Roman" w:eastAsia="Times New Roman" w:hAnsi="Times New Roman"/>
          <w:sz w:val="18"/>
          <w:szCs w:val="18"/>
          <w:i w:val="1"/>
          <w:iCs w:val="1"/>
          <w:u w:val="single" w:color="auto"/>
          <w:color w:val="auto"/>
        </w:rPr>
        <w:t>Third Quarter 2022 Results vs. Third Quarter 2021 Results</w:t>
      </w: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Net sales (sales less freight) in the third quarter of 2022 increased 17.9% versus 2021 primarily due to an increase in average selling prices to cover higher operating costs, partially offset by the pass-through of lower metal costs. Sales volume in the third quarter of 2022 was flat versus 2021. Sales volume in the specialty market, which represented 34% of total volume in 2021, decreased 11.0% in the third quarter of 2022 versus 2021, primarily as a result of exiting lower-margin business. Sales volume in the automotive market, which represented 8% of total volume in 2021, increased 5.3% versus the third quarter of 2021. Nonresidential B&amp;C sales volume, which represented 51% of 2021 volume, increased 8.5% in the third quarter of 2022 versus 2021. The Company has observed slowing order input and order cancellations as customers report high inventory levels. In addition, given the recent slowdown in orders, average labor shortage levels have been significantly diminished. Nonetheless, onboarding new employees has resulted in higher hiring and training costs and production inefficiencies in 2022 versus last year. With a reduced level of incoming orders in the third quarter of 2022, overall open orders at the end of the quarter were 59 million lbs. versus 86 million lbs. at the end of the second quarter of 2022.</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third quarter of 2022 was flat versus the third quarter of 2021 primarily due to:</w:t>
      </w:r>
    </w:p>
    <w:p>
      <w:pPr>
        <w:spacing w:after="0" w:line="104" w:lineRule="exact"/>
        <w:rPr>
          <w:sz w:val="20"/>
          <w:szCs w:val="20"/>
          <w:color w:val="auto"/>
        </w:rPr>
      </w:pPr>
    </w:p>
    <w:p>
      <w:pPr>
        <w:ind w:left="660" w:right="20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pricing ($19.6 million, net of the pass-through of aluminum raw material costs), partially offset by: higher labor and employee-related costs ($2.1 million) and lower labor productivity ($1.3 million); higher supply expense, including significant price increases in paint, chemicals, packaging and other supplies ($3.6 million); higher utility costs ($2.0 million); higher freight rates ($1.3 million); and increased selling, general and administrative ("SG&amp;A") expenses ($0.8 million); and</w:t>
      </w:r>
    </w:p>
    <w:p>
      <w:pPr>
        <w:spacing w:after="0" w:line="58"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 through under the first-in first-out method of aluminum raw material costs passed through to customers, previously acquired at higher prices in a quickly changing commodity pricing environment, resulted in a charge of $3.8 million in the third quarter of 2022 versus a benefit of $1.7 million in the third quarter of 2021. In addition, the Company recorded an out-of-period adjustment of $2.5 million related to inventory and accrued labor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Nine Months of 2022 Results vs. First Nine Months of 2021 Results</w:t>
      </w:r>
    </w:p>
    <w:p>
      <w:pPr>
        <w:spacing w:after="0" w:line="9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Net sales in the first nine months of 2022 increased 29.3% versus 2021 primarily due to an increase in average selling prices to cover higher aluminum raw material costs and higher operating costs, partially offset by lower sales volume. Sales volume in the first nine months of 2022 decreased by 1.0% versus 2021.</w:t>
      </w:r>
    </w:p>
    <w:p>
      <w:pPr>
        <w:spacing w:after="0" w:line="5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EBITDA from ongoing operations in the first nine months of 2022 increased $12.8 million in comparison to the first nine months of 2021, primarily due to:</w:t>
      </w:r>
    </w:p>
    <w:p>
      <w:pPr>
        <w:spacing w:after="0" w:line="40" w:lineRule="exact"/>
        <w:rPr>
          <w:sz w:val="20"/>
          <w:szCs w:val="20"/>
          <w:color w:val="auto"/>
        </w:rPr>
      </w:pPr>
    </w:p>
    <w:p>
      <w:pPr>
        <w:ind w:left="660" w:right="28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pricing ($53.7 million, net of the pass-through of aluminum raw material costs), partially offset by: lower volume ($0.7 million); higher labor and employee-related costs ($6.0 million) and lower labor productivity ($4.6 million); higher maintenance costs ($1.4 million); higher supply expense, including significant price increases in paint, chemicals, packaging and other supplies ($10.1 million); higher utilities ($2.7 million); higher freight rates ($5.2 million); and increased SG&amp;A expenses ($3.2 million); and</w:t>
      </w:r>
    </w:p>
    <w:p>
      <w:pPr>
        <w:spacing w:after="0" w:line="44"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 through under the first-in first-out method of aluminum raw material costs passed through to customers, previously acquired at lower prices in a quickly changing commodity pricing environment, resulted in a benefit of $1.7 million in the first nine months of 2022 versus a benefit of $5.8 million in the first nine months of 2021. The benefit in the first nine months of 2022 was net of an adverse impact from the lag in pricing during the first half of 2022 ($0.3 million), in which products committed to customers at a specified price were shipped in a later period. In addition, the Company recorded an out-of-period adjustment of $2.5 million related to inventory and accrued labor costs.</w:t>
      </w:r>
    </w:p>
    <w:p>
      <w:pPr>
        <w:spacing w:after="0" w:line="6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Aluminum Extrusions has adequate supply agreements for aluminum raw materials in 2022 and continues to secure supply sources to meet expected needs in 2023. 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aluminum prices.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9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$30 million in 2022, including $15 million for new enterprise resource planning and manufacturing execution systems ("ERP/MES"), $6 million for infrastructure upgrades at the facilities located in Niles, Michigan, Carthage, Tennessee and Newnan, Georgia and $3 million for other strategic projects. The ERP/MES project is expected to cost $28 million over a two-year time span. In addition to strategic projects, approximately $6 million will be required to support continuity of current operations. Depreciation expense is projected to be $15 million in 2022. Amortization expense is projected to be $2 million in 2022.</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PE Films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Favorable/</w:t>
            </w:r>
          </w:p>
        </w:tc>
        <w:tc>
          <w:tcPr>
            <w:tcW w:w="240" w:type="dxa"/>
            <w:vAlign w:val="bottom"/>
          </w:tcPr>
          <w:p>
            <w:pPr>
              <w:spacing w:after="0"/>
              <w:rPr>
                <w:sz w:val="20"/>
                <w:szCs w:val="20"/>
                <w:color w:val="auto"/>
              </w:rPr>
            </w:pPr>
          </w:p>
        </w:tc>
        <w:tc>
          <w:tcPr>
            <w:tcW w:w="22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w:t>
            </w: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30"/>
        </w:trPr>
        <w:tc>
          <w:tcPr>
            <w:tcW w:w="3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gridSpan w:val="3"/>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c>
          <w:tcPr>
            <w:tcW w:w="1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20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September 30,</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3"/>
            <w:vMerge w:val="continue"/>
          </w:tcPr>
          <w:p>
            <w:pPr>
              <w:spacing w:after="0"/>
              <w:rPr>
                <w:sz w:val="12"/>
                <w:szCs w:val="12"/>
                <w:color w:val="auto"/>
              </w:rPr>
            </w:pPr>
          </w:p>
        </w:tc>
        <w:tc>
          <w:tcPr>
            <w:tcW w:w="162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(Unfavorable)</w:t>
            </w:r>
          </w:p>
        </w:tc>
        <w:tc>
          <w:tcPr>
            <w:tcW w:w="24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3"/>
            <w:vMerge w:val="continue"/>
          </w:tcPr>
          <w:p>
            <w:pPr>
              <w:spacing w:after="0"/>
              <w:rPr>
                <w:sz w:val="12"/>
                <w:szCs w:val="12"/>
                <w:color w:val="auto"/>
              </w:rPr>
            </w:pPr>
          </w:p>
        </w:tc>
        <w:tc>
          <w:tcPr>
            <w:tcW w:w="1480" w:type="dxa"/>
            <w:vAlign w:val="bottom"/>
            <w:vMerge w:val="restart"/>
          </w:tcPr>
          <w:p>
            <w:pPr>
              <w:jc w:val="center"/>
              <w:ind w:left="10"/>
              <w:spacing w:after="0" w:line="181"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60" w:type="dxa"/>
            <w:vAlign w:val="bottom"/>
          </w:tcPr>
          <w:p>
            <w:pPr>
              <w:spacing w:after="0" w:line="20" w:lineRule="exact"/>
              <w:rPr>
                <w:sz w:val="1"/>
                <w:szCs w:val="1"/>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line="20" w:lineRule="exact"/>
              <w:rPr>
                <w:sz w:val="1"/>
                <w:szCs w:val="1"/>
                <w:color w:val="auto"/>
              </w:rPr>
            </w:pPr>
          </w:p>
        </w:tc>
        <w:tc>
          <w:tcPr>
            <w:tcW w:w="9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6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line="20" w:lineRule="exact"/>
              <w:rPr>
                <w:sz w:val="1"/>
                <w:szCs w:val="1"/>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Change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7,081</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27,273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30,066</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(9.3)%</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20,059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82,613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87,885</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14,543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0.8%</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(135.5)%</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9,810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6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 See the table in Note 10 for a reconciliation of this non-GAAP measure to the most comparable measure calculated in accordance with GAAP.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Third Quarter 2022 Results vs. Third Quarter 2021 Results</w:t>
      </w:r>
    </w:p>
    <w:p>
      <w:pPr>
        <w:spacing w:after="0" w:line="92"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Net sales in the third quarter of 2022 decreased 29.6% compared to the third quarter of 2021. Sales volume decreased in both Surface Protection and overwrap films versus the third quarter of 2021. Surface Protection sales volume declined 26% versus the third quarter of 2021 and 37% versus the second quarter of 2022. Surface Protection sales have been adversely impacted by weak market demand and competitive pricing. Consumer demand for electronics has significantly softened, causing manufacturers in the supply chain to experience reduced capacity utilization and inventory corrections. In addition, these market conditions are adversely impacting mix through reduced sales to our highest value-added customers and products.</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third quarter of 2022 decreased $4.4 million versus the third quarter of 2021, primarily due to:</w:t>
      </w:r>
    </w:p>
    <w:p>
      <w:pPr>
        <w:spacing w:after="0" w:line="104" w:lineRule="exact"/>
        <w:rPr>
          <w:sz w:val="20"/>
          <w:szCs w:val="20"/>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$4.7 million decrease from Surface Protection:</w:t>
      </w:r>
    </w:p>
    <w:p>
      <w:pPr>
        <w:spacing w:after="0" w:line="90" w:lineRule="exact"/>
        <w:rPr>
          <w:rFonts w:ascii="Times New Roman" w:cs="Times New Roman" w:eastAsia="Times New Roman" w:hAnsi="Times New Roman"/>
          <w:sz w:val="18"/>
          <w:szCs w:val="18"/>
          <w:color w:val="auto"/>
        </w:rPr>
      </w:pPr>
    </w:p>
    <w:p>
      <w:pPr>
        <w:jc w:val="both"/>
        <w:ind w:left="1300" w:right="140" w:hanging="239"/>
        <w:spacing w:after="0" w:line="266"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contribution margin for non-transitioning products associated with a market slowdown and customer inventory corrections ($4.0 million) and competitive pricing ($1.1 million); and for previously disclosed customer product transitions ($1.1 million), partially offset by lower SG&amp;A expenses ($0.4 million);</w:t>
      </w:r>
    </w:p>
    <w:p>
      <w:pPr>
        <w:spacing w:after="0" w:line="54"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transaction gain of $0.5 million in the third quarter of 2022 versus no gains or losses in the third quarter of 2021; and</w:t>
      </w:r>
    </w:p>
    <w:p>
      <w:pPr>
        <w:spacing w:after="0" w:line="103" w:lineRule="exact"/>
        <w:rPr>
          <w:rFonts w:ascii="Times New Roman" w:cs="Times New Roman" w:eastAsia="Times New Roman" w:hAnsi="Times New Roman"/>
          <w:sz w:val="18"/>
          <w:szCs w:val="18"/>
          <w:color w:val="auto"/>
        </w:rPr>
      </w:pPr>
    </w:p>
    <w:p>
      <w:pPr>
        <w:ind w:left="1300" w:right="220" w:hanging="239"/>
        <w:spacing w:after="0" w:line="282"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pass-through lag associated with resin costs (no benefit or charge in the third quarter of 2022 versus a charge of $0.6 million in the third quarter of 2021).</w:t>
      </w:r>
    </w:p>
    <w:p>
      <w:pPr>
        <w:spacing w:after="0" w:line="26" w:lineRule="exact"/>
        <w:rPr>
          <w:rFonts w:ascii="Times New Roman" w:cs="Times New Roman" w:eastAsia="Times New Roman" w:hAnsi="Times New Roman"/>
          <w:sz w:val="18"/>
          <w:szCs w:val="18"/>
          <w:color w:val="auto"/>
        </w:rPr>
      </w:pPr>
    </w:p>
    <w:p>
      <w:pPr>
        <w:ind w:left="660" w:right="100" w:hanging="247"/>
        <w:spacing w:after="0" w:line="312"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$0.3 million increase from overwrap films primarily due to a benefit from the pass-through lag associated with resin costs (no benefit or charge in the third quarter of 2022 versus a charge of $0.4 million in the third quarter of 2021), partially offset by lower sales volume ($0.1 million).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Nine Months of 2022 Results vs. First Nine Months of 2021 Results</w:t>
      </w:r>
    </w:p>
    <w:p>
      <w:pPr>
        <w:spacing w:after="0" w:line="10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Net sales in the first nine months of 2022 decreased 6% versus the first nine months of 2021 due to lower volume in Surface Protection and overwrap films. Sales volume and revenue declined 7% and 11%, respectively, in Surface Protection. Despite a decline of 11% in sales volume in overwrap films, revenue increased 9% as a result of the pricing impact associated with the pass-through of resin costs.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EBITDA from ongoing operations in the first nine months of 2022 decreased $6.5 million versus the first nine months of 2021, primarily due to:</w:t>
      </w:r>
    </w:p>
    <w:p>
      <w:pPr>
        <w:spacing w:after="0" w:line="104" w:lineRule="exact"/>
        <w:rPr>
          <w:sz w:val="20"/>
          <w:szCs w:val="20"/>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$7.2 million decrease from Surface Protection:</w:t>
      </w:r>
    </w:p>
    <w:p>
      <w:pPr>
        <w:spacing w:after="0" w:line="103" w:lineRule="exact"/>
        <w:rPr>
          <w:rFonts w:ascii="Times New Roman" w:cs="Times New Roman" w:eastAsia="Times New Roman" w:hAnsi="Times New Roman"/>
          <w:sz w:val="18"/>
          <w:szCs w:val="18"/>
          <w:color w:val="auto"/>
        </w:rPr>
      </w:pPr>
    </w:p>
    <w:p>
      <w:pPr>
        <w:ind w:left="1300" w:right="100" w:hanging="239"/>
        <w:spacing w:after="0" w:line="266"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contribution margin related to previously disclosed customer product transitions ($4.8 million) and for non-transitioning products associated with a market slowdown and customer inventory corrections ($1.6 million) and competitive pricing pressures ($4.4 million), partially offset by lower SG&amp;A expenses ($0.7 million);</w:t>
      </w:r>
    </w:p>
    <w:p>
      <w:pPr>
        <w:spacing w:after="0" w:line="40" w:lineRule="exact"/>
        <w:rPr>
          <w:rFonts w:ascii="Times New Roman" w:cs="Times New Roman" w:eastAsia="Times New Roman" w:hAnsi="Times New Roman"/>
          <w:sz w:val="18"/>
          <w:szCs w:val="18"/>
          <w:color w:val="auto"/>
        </w:rPr>
      </w:pPr>
    </w:p>
    <w:p>
      <w:pPr>
        <w:ind w:left="1300" w:right="120" w:hanging="239"/>
        <w:spacing w:after="0" w:line="282"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transaction gain ($1.0 million) in the first nine months of 2022 versus a charge ($0.1 million) in the first nine months of 2021;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ind w:left="1300" w:right="160" w:hanging="239"/>
        <w:spacing w:after="0" w:line="282" w:lineRule="auto"/>
        <w:tabs>
          <w:tab w:leader="none" w:pos="12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pass-through lag associated with resin costs (benefit of $0.3 million in the first nine months of 2022 versus a charge of $1.3 million in the first nine months of 2021).</w:t>
      </w:r>
    </w:p>
    <w:p>
      <w:pPr>
        <w:spacing w:after="0" w:line="26" w:lineRule="exact"/>
        <w:rPr>
          <w:rFonts w:ascii="Times New Roman" w:cs="Times New Roman" w:eastAsia="Times New Roman" w:hAnsi="Times New Roman"/>
          <w:sz w:val="18"/>
          <w:szCs w:val="18"/>
          <w:color w:val="auto"/>
        </w:rPr>
      </w:pPr>
    </w:p>
    <w:p>
      <w:pPr>
        <w:ind w:left="660" w:hanging="247"/>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$0.7 million increase from overwrap films primarily related to a benefit from the pass-through lag associated with resin costs (benefit of $0.2 million in the first nine months of 2022 versus a charge of $1.3 million in the first nine months of 2021), partially offset by lower sales volume and unfavorable mix ($0.6 million).</w:t>
      </w:r>
    </w:p>
    <w:p>
      <w:pPr>
        <w:spacing w:after="0" w:line="52" w:lineRule="exact"/>
        <w:rPr>
          <w:sz w:val="20"/>
          <w:szCs w:val="20"/>
          <w:color w:val="auto"/>
        </w:rPr>
      </w:pPr>
    </w:p>
    <w:p>
      <w:pPr>
        <w:ind w:right="900" w:firstLine="405"/>
        <w:spacing w:after="0" w:line="353"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resin prices. </w:t>
      </w:r>
      <w:r>
        <w:rPr>
          <w:rFonts w:ascii="Times New Roman" w:cs="Times New Roman" w:eastAsia="Times New Roman" w:hAnsi="Times New Roman"/>
          <w:sz w:val="18"/>
          <w:szCs w:val="18"/>
          <w:i w:val="1"/>
          <w:iCs w:val="1"/>
          <w:color w:val="auto"/>
        </w:rPr>
        <w:t>Customer Product Transitions and Other Factors in Surface Protection</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Surface Protection component of PE Films supports manufacturers of optical and other specialty substrates used in flat panel display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films are primarily used by customers to protect components of displays in the manufacturing and transportation processes and then discarded.</w:t>
      </w:r>
    </w:p>
    <w:p>
      <w:pPr>
        <w:spacing w:after="0" w:line="8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previously reported the risk that a portion of its film products used in surface protection applications would be made obsolete by customer product transitions to less costly alternative processes or materials. The Company estimates that these transitions, which principally relate to one customer, adversely impacted pre-tax income from continuing operations as reported under GAAP and EBITDA from ongoing operations for PE Films by $14.8 million during 2021 versus 2020. The transitions, which were complete as of the second quarter of 2022, have resulted in a total decline of $7 million in pre-tax income from continuing operations as reported under GAAP and EBITDA from ongoing operations versus 2021.</w:t>
      </w:r>
    </w:p>
    <w:p>
      <w:pPr>
        <w:spacing w:after="0" w:line="6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Surface Protection business is continuing to experience competitive pricing pressures, unrelated to the customer product transitions, that are expected to adversely impact pre-tax income from continuing operations as reported under GAAP and EBITDA from ongoing operations by approximately $5 million for full year 2022 versus 2021; these competitive pricing pressures are being exacerbated for the Company's exports to Asia with the strengthening of the U.S. Dollar versus the local currencies of competitors in the region. In addition, the timing of a recovery in the consumer electronics market is highly uncertain. To offset the expected adverse impact of the customer transitions and pricing pressures, the Company is aggressively pursuing sales of new surface protection products, applications and customers and driving production efficiencies and cost savings.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PE Films are projected to be $3 million in 2022, including $2 million for productivity projects and $1 million for capital expenditures required to support continuity of current operations. Depreciation expense is projected to be $6 million in 2022. There is no amortization expense for PE Films.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Packaging Films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Favorable/</w:t>
            </w:r>
          </w:p>
        </w:tc>
        <w:tc>
          <w:tcPr>
            <w:tcW w:w="200" w:type="dxa"/>
            <w:vAlign w:val="bottom"/>
          </w:tcPr>
          <w:p>
            <w:pPr>
              <w:spacing w:after="0"/>
              <w:rPr>
                <w:sz w:val="20"/>
                <w:szCs w:val="20"/>
                <w:color w:val="auto"/>
              </w:rPr>
            </w:pPr>
          </w:p>
        </w:tc>
        <w:tc>
          <w:tcPr>
            <w:tcW w:w="18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Nine Months Ended</w:t>
            </w:r>
          </w:p>
        </w:tc>
        <w:tc>
          <w:tcPr>
            <w:tcW w:w="14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30"/>
        </w:trPr>
        <w:tc>
          <w:tcPr>
            <w:tcW w:w="4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c>
          <w:tcPr>
            <w:tcW w:w="1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0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158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(Unfavorable)</w:t>
            </w:r>
          </w:p>
        </w:tc>
        <w:tc>
          <w:tcPr>
            <w:tcW w:w="2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vMerge w:val="continue"/>
          </w:tcPr>
          <w:p>
            <w:pPr>
              <w:spacing w:after="0"/>
              <w:rPr>
                <w:sz w:val="12"/>
                <w:szCs w:val="12"/>
                <w:color w:val="auto"/>
              </w:rPr>
            </w:pPr>
          </w:p>
        </w:tc>
        <w:tc>
          <w:tcPr>
            <w:tcW w:w="1480" w:type="dxa"/>
            <w:vAlign w:val="bottom"/>
            <w:vMerge w:val="restart"/>
          </w:tcPr>
          <w:p>
            <w:pPr>
              <w:jc w:val="center"/>
              <w:ind w:left="10"/>
              <w:spacing w:after="0" w:line="181" w:lineRule="exact"/>
              <w:rPr>
                <w:sz w:val="20"/>
                <w:szCs w:val="20"/>
                <w:color w:val="auto"/>
              </w:rPr>
            </w:pPr>
            <w:r>
              <w:rPr>
                <w:rFonts w:ascii="Times New Roman" w:cs="Times New Roman" w:eastAsia="Times New Roman" w:hAnsi="Times New Roman"/>
                <w:sz w:val="18"/>
                <w:szCs w:val="18"/>
                <w:color w:val="auto"/>
                <w:w w:val="99"/>
              </w:rPr>
              <w:t>(Unfavorable)</w:t>
            </w:r>
          </w:p>
        </w:tc>
        <w:tc>
          <w:tcPr>
            <w:tcW w:w="0" w:type="dxa"/>
            <w:vAlign w:val="bottom"/>
          </w:tcPr>
          <w:p>
            <w:pPr>
              <w:spacing w:after="0"/>
              <w:rPr>
                <w:sz w:val="1"/>
                <w:szCs w:val="1"/>
                <w:color w:val="auto"/>
              </w:rPr>
            </w:pPr>
          </w:p>
        </w:tc>
      </w:tr>
      <w:tr>
        <w:trPr>
          <w:trHeight w:val="21"/>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line="20" w:lineRule="exact"/>
              <w:rPr>
                <w:sz w:val="1"/>
                <w:szCs w:val="1"/>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line="20" w:lineRule="exact"/>
              <w:rPr>
                <w:sz w:val="1"/>
                <w:szCs w:val="1"/>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28,889</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82,210</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78,666</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4.5%</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47,278</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36,666</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28.9%</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128,117</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102,560</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20,495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25,296</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7,240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18,772</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23,830</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5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7,310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 See the table in Note 10 for a reconciliation of this non-GAAP measure to the most comparable measure calculated in accordance with GAAP.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Third Quarter 2022 Results vs. Third Quarter 2021 Results</w:t>
      </w:r>
    </w:p>
    <w:p>
      <w:pPr>
        <w:spacing w:after="0" w:line="92"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Net sales in the third quarter of 2022 increased 28.9% compared to the third quarter of 2021, primarily due to higher selling prices from the pass-through of higher resin costs, higher sales volume and favorable product mix.</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third quarter of 2022 increased by $0.4 million versus the third quarter of 2021, primarily due to:</w:t>
      </w:r>
    </w:p>
    <w:p>
      <w:pPr>
        <w:spacing w:after="0" w:line="104" w:lineRule="exact"/>
        <w:rPr>
          <w:sz w:val="20"/>
          <w:szCs w:val="20"/>
          <w:color w:val="auto"/>
        </w:rPr>
      </w:pPr>
    </w:p>
    <w:p>
      <w:pPr>
        <w:ind w:left="660" w:right="1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prices ($6.9 million) from the pass-through of higher resin costs, higher sales volume ($0.9 million), favorable product mix ($0.5 million), and lower variable costs ($0.4 million), partially offset by higher raw material costs ($5.6 million), higher fixed costs ($0.6 million) and higher SG&amp;A expenses ($0.4 million);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foreign currency translation of Real-denominated operating costs ($1.2 million); and</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gains ($0.1 million) in the third quarter of 2022 compared to foreign currency transaction gains ($0.6 million) in the third quarter of 2021.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Nine Months of 2022 Results vs. First Nine Months of 2021 Results</w:t>
      </w:r>
    </w:p>
    <w:p>
      <w:pPr>
        <w:spacing w:after="0" w:line="9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Net sales in the first nine months of 2022 increased 24.9% compared to the first nine months of 2021, primarily due to higher selling prices from the pass-through of higher resin costs, favorable product mix and higher sales volume.</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nine months of 2022 decreased by $4.8 million versus the first nine months of 2021, primarily due to:</w:t>
      </w:r>
    </w:p>
    <w:p>
      <w:pPr>
        <w:spacing w:after="0" w:line="104" w:lineRule="exact"/>
        <w:rPr>
          <w:sz w:val="20"/>
          <w:szCs w:val="20"/>
          <w:color w:val="auto"/>
        </w:rPr>
      </w:pPr>
    </w:p>
    <w:p>
      <w:pPr>
        <w:ind w:left="660" w:right="20" w:hanging="328"/>
        <w:spacing w:after="0" w:line="265" w:lineRule="auto"/>
        <w:tabs>
          <w:tab w:leader="none" w:pos="65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Higher raw material costs ($16.3 million), higher fixed ($0.7 million) and variable costs ($1.5 million), and higher SG&amp;A expenses ($1.0 million), partially offset by higher selling prices ($15.5 million) from the pass-through of higher resin costs, higher sales volume ($1.9 million) and favorable product mix ($1.3 million);</w:t>
      </w:r>
    </w:p>
    <w:p>
      <w:pPr>
        <w:spacing w:after="0" w:line="4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Net unfavorable foreign currency translation of Real-denominated operating costs ($3.1 million); and</w:t>
      </w:r>
    </w:p>
    <w:p>
      <w:pPr>
        <w:spacing w:after="0" w:line="102"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Foreign currency transaction losses ($0.3 million) in the first nine months of 2022 compared to foreign currency transaction gains ($0.6 million) in the first nine months of 2021.</w:t>
      </w:r>
    </w:p>
    <w:p>
      <w:pPr>
        <w:spacing w:after="0" w:line="39" w:lineRule="exact"/>
        <w:rPr>
          <w:sz w:val="20"/>
          <w:szCs w:val="20"/>
          <w:color w:val="auto"/>
        </w:rPr>
      </w:pPr>
    </w:p>
    <w:p>
      <w:pPr>
        <w:ind w:right="4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polyester fiber and component price trends.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Flexible Packaging Films are projected to be $8 million in 2022, including $4 million for new capacity for value-added products and productivity projects and $4 million for capital expenditures required to support continuity of current operations. Depreciation expense is projected to be $2 million in 2022. Amortization expense is projected to be $0.4 million in 2022.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Expenses, Interest &amp; Other</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Corporate expenses, net in the first nine months of 2022 decreased $0.3 million compared to the first nine months of 2021 primarily due to lower professional fees associated with business development activities ($1.6 million) and lower stock-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ind w:right="120"/>
        <w:spacing w:after="0" w:line="282" w:lineRule="auto"/>
        <w:rPr>
          <w:sz w:val="20"/>
          <w:szCs w:val="20"/>
          <w:color w:val="auto"/>
        </w:rPr>
      </w:pPr>
      <w:r>
        <w:rPr>
          <w:rFonts w:ascii="Times New Roman" w:cs="Times New Roman" w:eastAsia="Times New Roman" w:hAnsi="Times New Roman"/>
          <w:sz w:val="18"/>
          <w:szCs w:val="18"/>
          <w:color w:val="auto"/>
        </w:rPr>
        <w:t>based compensation ($1.2 million), offset by higher professional fees associated with remediation activities related to the Company's previously disclosed material weaknesses in internal control over financial reporting ($2.3 million).</w:t>
      </w:r>
    </w:p>
    <w:p>
      <w:pPr>
        <w:spacing w:after="0" w:line="40"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Interest expense of $3.2 million in the first nine months of 2022 increased $0.6 million compared to the first nine months of 2021 due to higher average interest rates during the first nine months of 2022, partially offset by lower average debt levels.</w:t>
      </w:r>
    </w:p>
    <w:p>
      <w:pPr>
        <w:spacing w:after="0" w:line="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Pension expense under GAAP of $10.4 million in the first nine months of 2022 remained consistent with the first nine months of 2021. On February 10, 2022, Tredegar announced the initiation of a process to terminate and settle its frozen defined benefit pension plan, which could take up to 24 months to complete. In connection therewith, the Company borrowed funds under its revolving credit agreement and made a $50 million contribution to the pension plan (the “Special Contribution”) to reduce its underfunding and as part of a program within the pension plan to hedge or fix the expected future contributions that will be needed by the Company through the settlement process. The Company expects to realize income tax cash benefits on the Special Contribution of approximately $11 million in 2022. Administrative costs for the pension plan through the settlement process are estimated at $4 to $5 million.</w:t>
      </w:r>
    </w:p>
    <w:p>
      <w:pPr>
        <w:spacing w:after="0" w:line="6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Tredegar’s frozen defined benefit pension plan was underfunded on a GAAP basis by $69 million at December 31, 2021, comprised of investments at fair value of $245 million and a projected benefit obligation (“PBO”) of $314 million. GAAP accounting requires adjustment for changes in values of assets and the PBO only at the end of each year, even though these values change daily. The Company estimates that the Special Contribution and changes to the values of pension plan assets and liabilities resulted in a decrease in the underfunding on a GAAP basis from $69 million at December 31, 2021 to approximately $10 million at September 30, 2022. The ultimate settlement benefit obligation may differ from the PBO, depending on market factors for buyers of pension obligations at the time of settlement.</w:t>
      </w:r>
    </w:p>
    <w:p>
      <w:pPr>
        <w:spacing w:after="0" w:line="6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Prior to the Special Contribution, GAAP pension expense was a reasonable proxy for the Company’s required minimum cash contribution to the pension plan. The Company estimates that, with the Special Contribution, there will be no required minimum cash contributions until final settlement. Pension expense under GAAP is projected to be approximately $14 million in 2022, which is mainly comprised of non-cash amortization of deferred net actuarial losses reflected in the Company’s shareholders’ equity as accumulated other comprehensive losses. Beginning in 2022, and consistent with no expected required minimum cash contributions, no pension expense is included in calculating earnings before interest, taxes, depreciation and amortization as defined in the Company’s revolving credit agreement ("Credit EBITDA").</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Net capitalization and other credit measures are provided in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10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0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continuing operations from December 31, 2021 to September 30, 2022 are summarized below. Cash flows for discontinued operations have not been separately disclosed in the condensed consolidated statements of cash flows.</w:t>
      </w:r>
    </w:p>
    <w:p>
      <w:pPr>
        <w:spacing w:after="0" w:line="45"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increased $6.8 million (6.5%).</w:t>
      </w:r>
    </w:p>
    <w:p>
      <w:pPr>
        <w:spacing w:after="0" w:line="103" w:lineRule="exact"/>
        <w:rPr>
          <w:rFonts w:ascii="Times New Roman" w:cs="Times New Roman" w:eastAsia="Times New Roman" w:hAnsi="Times New Roman"/>
          <w:sz w:val="18"/>
          <w:szCs w:val="18"/>
          <w:color w:val="auto"/>
        </w:rPr>
      </w:pPr>
    </w:p>
    <w:p>
      <w:pPr>
        <w:ind w:left="820" w:right="200" w:hanging="407"/>
        <w:spacing w:after="0" w:line="261" w:lineRule="auto"/>
        <w:tabs>
          <w:tab w:leader="none" w:pos="816" w:val="left"/>
        </w:tabs>
        <w:numPr>
          <w:ilvl w:val="1"/>
          <w:numId w:val="22"/>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Accounts and other receivables in Aluminum Extrusions increased $7.3 million primarily due to an increase in average selling prices to cover higher operating costs, partially offset by lower sales volume. DSO (represents trailing 12 months net sales divided by a rolling 12-month average of accounts and other receivables balances) was approximately 48.3 days for the 12 months ended September 30, 2022 and 47.6 days for the 12 months ended December 31, 2021.</w:t>
      </w:r>
    </w:p>
    <w:p>
      <w:pPr>
        <w:spacing w:after="0" w:line="58" w:lineRule="exact"/>
        <w:rPr>
          <w:rFonts w:ascii="Times New Roman" w:cs="Times New Roman" w:eastAsia="Times New Roman" w:hAnsi="Times New Roman"/>
          <w:sz w:val="18"/>
          <w:szCs w:val="18"/>
          <w:color w:val="auto"/>
          <w:strike w:val="1"/>
        </w:rPr>
      </w:pPr>
    </w:p>
    <w:p>
      <w:pPr>
        <w:ind w:left="820" w:right="240" w:hanging="407"/>
        <w:spacing w:after="0" w:line="266" w:lineRule="auto"/>
        <w:tabs>
          <w:tab w:leader="none" w:pos="8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PE Films decreased $6.8 million due to lower sales volume in both Surface Protection and overwrap films, partially offset by increased overwrap films sales as a result of the pricing impact associated with the pass-through of resin costs. DSO was approximately 29.4 days for the 12 months ended September 30, 2022 and 28.5 days for the 12 months ended December 31, 2021.</w:t>
      </w:r>
    </w:p>
    <w:p>
      <w:pPr>
        <w:spacing w:after="0" w:line="40" w:lineRule="exact"/>
        <w:rPr>
          <w:rFonts w:ascii="Times New Roman" w:cs="Times New Roman" w:eastAsia="Times New Roman" w:hAnsi="Times New Roman"/>
          <w:sz w:val="18"/>
          <w:szCs w:val="18"/>
          <w:color w:val="auto"/>
        </w:rPr>
      </w:pPr>
    </w:p>
    <w:p>
      <w:pPr>
        <w:ind w:left="820" w:hanging="407"/>
        <w:spacing w:after="0" w:line="266" w:lineRule="auto"/>
        <w:tabs>
          <w:tab w:leader="none" w:pos="8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Flexible Packaging Films increased $6.2 million primarily due to higher selling prices from the pass-through of higher resin costs, favorable product mix and higher sales volume. DSO was approximately 40.8 days for the 12 months ended September 30, 2022 and 40.0 days for the 12 months ended December 31, 2021.</w:t>
      </w:r>
    </w:p>
    <w:p>
      <w:pPr>
        <w:spacing w:after="0" w:line="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$25.5 million (28.8%).</w:t>
      </w:r>
    </w:p>
    <w:p>
      <w:pPr>
        <w:spacing w:after="0" w:line="103" w:lineRule="exact"/>
        <w:rPr>
          <w:rFonts w:ascii="Times New Roman" w:cs="Times New Roman" w:eastAsia="Times New Roman" w:hAnsi="Times New Roman"/>
          <w:sz w:val="18"/>
          <w:szCs w:val="18"/>
          <w:color w:val="auto"/>
        </w:rPr>
      </w:pPr>
    </w:p>
    <w:p>
      <w:pPr>
        <w:ind w:left="820" w:hanging="407"/>
        <w:spacing w:after="0" w:line="261" w:lineRule="auto"/>
        <w:tabs>
          <w:tab w:leader="none" w:pos="8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increased $12.8 million due to increased raw material levels due to slowing order input, order cancellations as customers report high inventory levels, and increased aluminum supplier costs. DIO (represents trailing 12 months costs of goods sold calculated on a first-in first-out basis divided by a rolling 12-month average of inventory balances calculated on the first-in first-out basis) was approximately 48.3 days for the 12 months ended September 30, 2022 and 41.4 days for the 12 months ended December 31, 2021.</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6" w:name="page37"/>
    <w:bookmarkEnd w:id="36"/>
    <w:p>
      <w:pPr>
        <w:jc w:val="both"/>
        <w:ind w:left="820" w:right="320" w:hanging="407"/>
        <w:spacing w:after="0" w:line="306" w:lineRule="auto"/>
        <w:tabs>
          <w:tab w:leader="none" w:pos="816"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Inventories in PE Films increased $2.9 million due to lower sales volume and higher planned raw material levels from the first half of 2022. DIO was approximately 62.6 days for the 12 months ended September 30, 2022 and 62.8 days for the 12 months ended December 31, 2021.</w:t>
      </w:r>
    </w:p>
    <w:p>
      <w:pPr>
        <w:spacing w:after="0" w:line="1" w:lineRule="exact"/>
        <w:rPr>
          <w:rFonts w:ascii="Times New Roman" w:cs="Times New Roman" w:eastAsia="Times New Roman" w:hAnsi="Times New Roman"/>
          <w:sz w:val="17"/>
          <w:szCs w:val="17"/>
          <w:color w:val="auto"/>
        </w:rPr>
      </w:pPr>
    </w:p>
    <w:p>
      <w:pPr>
        <w:ind w:left="820" w:right="280" w:hanging="407"/>
        <w:spacing w:after="0" w:line="245"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Flexible Packaging Films increased $9.8 million primarily due to the impact of higher average resin prices on raw materials, higher planned finished good levels and the impact from the change in the U.S. dollar value of currencies related to operations outside of the U.S. DIO was approximately 96.7 days for the 12 months ended September 30, 2022 and 93.1 days for the 12 months ended December 31, 2021.</w:t>
      </w:r>
    </w:p>
    <w:p>
      <w:pPr>
        <w:spacing w:after="0" w:line="72" w:lineRule="exact"/>
        <w:rPr>
          <w:rFonts w:ascii="Times New Roman" w:cs="Times New Roman" w:eastAsia="Times New Roman" w:hAnsi="Times New Roman"/>
          <w:sz w:val="18"/>
          <w:szCs w:val="18"/>
          <w:color w:val="auto"/>
        </w:rPr>
      </w:pPr>
    </w:p>
    <w:p>
      <w:pPr>
        <w:ind w:left="420" w:right="500" w:hanging="412"/>
        <w:spacing w:after="0" w:line="282" w:lineRule="auto"/>
        <w:tabs>
          <w:tab w:leader="none" w:pos="4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increased $9.1 million primarily due to capital expenditures of $28.5 million, partially offset by depreciation expense of $17.5 million and a $1.1 million unfavorable change in the value of the U.S. dollar relative to foreign currencies.</w:t>
      </w:r>
    </w:p>
    <w:p>
      <w:pPr>
        <w:spacing w:after="0" w:line="2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$2.0 million (13.8%) due to amortization expense.</w:t>
      </w:r>
    </w:p>
    <w:p>
      <w:pPr>
        <w:spacing w:after="0" w:line="103" w:lineRule="exact"/>
        <w:rPr>
          <w:rFonts w:ascii="Times New Roman" w:cs="Times New Roman" w:eastAsia="Times New Roman" w:hAnsi="Times New Roman"/>
          <w:sz w:val="18"/>
          <w:szCs w:val="18"/>
          <w:color w:val="auto"/>
        </w:rPr>
      </w:pPr>
    </w:p>
    <w:p>
      <w:pPr>
        <w:ind w:left="420" w:right="240" w:hanging="412"/>
        <w:spacing w:after="0" w:line="289" w:lineRule="auto"/>
        <w:tabs>
          <w:tab w:leader="none" w:pos="4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income tax assets decreased $3.9 million primarily due to changes in other comprehensive income and the projected utilization of foreign tax credits partially offset by the change in the deferred tax liability as a result of the implementation of new U.S. tax regulations associated with foreign tax credits published by the U.S. Treasury and Internal Revenue Service on January 4, 2022. See Note 9 for additional information.</w:t>
      </w:r>
    </w:p>
    <w:p>
      <w:pPr>
        <w:spacing w:after="0" w:line="36" w:lineRule="exact"/>
        <w:rPr>
          <w:rFonts w:ascii="Times New Roman" w:cs="Times New Roman" w:eastAsia="Times New Roman" w:hAnsi="Times New Roman"/>
          <w:sz w:val="17"/>
          <w:szCs w:val="17"/>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$3.1 million (2.5%).</w:t>
      </w:r>
    </w:p>
    <w:p>
      <w:pPr>
        <w:spacing w:after="0" w:line="90" w:lineRule="exact"/>
        <w:rPr>
          <w:rFonts w:ascii="Times New Roman" w:cs="Times New Roman" w:eastAsia="Times New Roman" w:hAnsi="Times New Roman"/>
          <w:sz w:val="18"/>
          <w:szCs w:val="18"/>
          <w:color w:val="auto"/>
        </w:rPr>
      </w:pPr>
    </w:p>
    <w:p>
      <w:pPr>
        <w:ind w:left="820" w:right="20" w:hanging="407"/>
        <w:spacing w:after="0" w:line="261"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increased $4.8 million primarily due to the timing of purchasing raw materials at higher aluminum prices and higher aluminum supplier costs. DPO (represents trailing 12 months costs of goods sold calculated on a first-in first-out basis divided by a rolling 12-month average of accounts payable balances) was approximately 63.3 days for the 12 months ended September 30, 2022 and 60.1 days for the 12 months ended December 31, 2021.</w:t>
      </w:r>
    </w:p>
    <w:p>
      <w:pPr>
        <w:spacing w:after="0" w:line="58"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PE Films decreased $2.5 million primarily due to lower raw material purchases. DPO was approximately 51.9 days for the 12 months ended September 30, 2022 and 44.0 days for the 12 months ended December 31, 2021.</w:t>
      </w:r>
    </w:p>
    <w:p>
      <w:pPr>
        <w:spacing w:after="0" w:line="40" w:lineRule="exact"/>
        <w:rPr>
          <w:rFonts w:ascii="Times New Roman" w:cs="Times New Roman" w:eastAsia="Times New Roman" w:hAnsi="Times New Roman"/>
          <w:sz w:val="18"/>
          <w:szCs w:val="18"/>
          <w:color w:val="auto"/>
        </w:rPr>
      </w:pPr>
    </w:p>
    <w:p>
      <w:pPr>
        <w:ind w:left="820" w:right="200" w:hanging="407"/>
        <w:spacing w:after="0" w:line="282" w:lineRule="auto"/>
        <w:tabs>
          <w:tab w:leader="none" w:pos="8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Flexible Packaging Films remained flat compared to the prior year. DPO was approximately 69.5 days for the 12 months ended September 30, 2022 and 68.2 days for the 12 months ended December 31, 2021.</w:t>
      </w:r>
    </w:p>
    <w:p>
      <w:pPr>
        <w:spacing w:after="0" w:line="2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$23.2 million in the first nine months of 2022 compared to net cash provided by operating activities of $51.5 million in the first nine months of 2021. The change in operating activities is primarily due to the Special Contribution ($50 million) and higher working capital due to factors discussed earlier in this section relating to accounts and other receivables, inventories and accounts payable.</w:t>
      </w:r>
    </w:p>
    <w:p>
      <w:pPr>
        <w:spacing w:after="0" w:line="5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during the first nine months of 2022 compared to the first nine months of 2021 due to higher capital expenditure spending ($6.0 million) and cash proceeds received during the three months ended September 30, 2021 from the sale of the Lake Zurich manufacturing facility assets ($4.7 million), partially offset by a gain related to additional cash consideration received during the first nine months of 2022 in connection with the Company's sale of its investment interests kaléo ($1.4 million).</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 was $36.8 million in the first nine months of 2022, compared to net cash used in financing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 million in the first nine months of 2021. The change in financing activities is primarily due to higher net borrowings ($58.0 million) under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defined below) to fund the $50 million Special Contribution to the pension plan, higher deferred financing costs ($1.2 million), repurchases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employee common stock for tax withholdings of $0.4 million in the first nine months of 2022, and $0.9 million of proceeds from the exercise of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in the first nine months of 2021.</w:t>
      </w:r>
    </w:p>
    <w:p>
      <w:pPr>
        <w:spacing w:after="0" w:line="7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expenditures, debt repayments and dividend requirements for at least the next twelve months. In the longer term, liquidity will depend on many factors, including results of operations, the timing and extent of capital expenditures, changes in operating plans, or other events that would cause the Company to seek additional financing in future periods.</w:t>
      </w:r>
    </w:p>
    <w:p>
      <w:pPr>
        <w:spacing w:after="0" w:line="5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2022, the Company had cash and cash equivalents of $19.3 million, including cash and cash equivalents held in locations outside the U.S. of $8.5 million.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7" w:name="page38"/>
    <w:bookmarkEnd w:id="37"/>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June 29, 2022, Tredegar entered into a Second Amended and Restated Credit Agreement (the “Credit Agreement”) that replaced its existing $375 million five-year, secured revolving credit facility that was due to expire on June 28, 2024. The Credit Agreement is a five-year, revolving, secured credit facility that permits aggregate borrowings of $375 million and matures on June 29, 2027.</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capitalization and indebtedness as defined under the Credit Agreement as of September 30, 2022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360" w:type="dxa"/>
            <w:vAlign w:val="bottom"/>
            <w:tcBorders>
              <w:top w:val="single" w:sz="8" w:color="auto"/>
            </w:tcBorders>
          </w:tcPr>
          <w:p>
            <w:pPr>
              <w:spacing w:after="0"/>
              <w:rPr>
                <w:sz w:val="21"/>
                <w:szCs w:val="21"/>
                <w:color w:val="auto"/>
              </w:rPr>
            </w:pPr>
          </w:p>
        </w:tc>
        <w:tc>
          <w:tcPr>
            <w:tcW w:w="6900" w:type="dxa"/>
            <w:vAlign w:val="bottom"/>
            <w:tcBorders>
              <w:top w:val="single" w:sz="8" w:color="auto"/>
            </w:tcBorders>
          </w:tcPr>
          <w:p>
            <w:pPr>
              <w:jc w:val="right"/>
              <w:ind w:right="2310"/>
              <w:spacing w:after="0"/>
              <w:rPr>
                <w:sz w:val="20"/>
                <w:szCs w:val="20"/>
                <w:color w:val="auto"/>
              </w:rPr>
            </w:pPr>
            <w:r>
              <w:rPr>
                <w:rFonts w:ascii="Times New Roman" w:cs="Times New Roman" w:eastAsia="Times New Roman" w:hAnsi="Times New Roman"/>
                <w:sz w:val="18"/>
                <w:szCs w:val="18"/>
                <w:color w:val="auto"/>
                <w:w w:val="99"/>
              </w:rPr>
              <w:t>Net Capitalization and Indebtedness as of September 30, 2022</w:t>
            </w:r>
          </w:p>
        </w:tc>
        <w:tc>
          <w:tcPr>
            <w:tcW w:w="980" w:type="dxa"/>
            <w:vAlign w:val="bottom"/>
            <w:tcBorders>
              <w:top w:val="single" w:sz="8" w:color="auto"/>
            </w:tcBorders>
          </w:tcPr>
          <w:p>
            <w:pPr>
              <w:spacing w:after="0"/>
              <w:rPr>
                <w:sz w:val="21"/>
                <w:szCs w:val="21"/>
                <w:color w:val="auto"/>
              </w:rPr>
            </w:pPr>
          </w:p>
        </w:tc>
      </w:tr>
      <w:tr>
        <w:trPr>
          <w:trHeight w:val="234"/>
        </w:trPr>
        <w:tc>
          <w:tcPr>
            <w:tcW w:w="33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jc w:val="right"/>
              <w:ind w:right="403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Borders>
              <w:bottom w:val="single" w:sz="8" w:color="auto"/>
            </w:tcBorders>
          </w:tcPr>
          <w:p>
            <w:pPr>
              <w:spacing w:after="0"/>
              <w:rPr>
                <w:sz w:val="20"/>
                <w:szCs w:val="20"/>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capitalization:</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w:t>
            </w:r>
          </w:p>
        </w:tc>
      </w:tr>
      <w:tr>
        <w:trPr>
          <w:trHeight w:val="23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3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Credit Agreement</w:t>
            </w:r>
          </w:p>
        </w:tc>
        <w:tc>
          <w:tcPr>
            <w:tcW w:w="6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124,000</w:t>
            </w:r>
          </w:p>
        </w:tc>
      </w:tr>
      <w:tr>
        <w:trPr>
          <w:trHeight w:val="223"/>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net of cash and cash equivalents</w:t>
            </w:r>
          </w:p>
        </w:tc>
        <w:tc>
          <w:tcPr>
            <w:tcW w:w="69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104,750</w:t>
            </w:r>
          </w:p>
        </w:tc>
      </w:tr>
      <w:tr>
        <w:trPr>
          <w:trHeight w:val="229"/>
        </w:trPr>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6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207,058</w:t>
            </w:r>
          </w:p>
        </w:tc>
      </w:tr>
      <w:tr>
        <w:trPr>
          <w:trHeight w:val="230"/>
        </w:trPr>
        <w:tc>
          <w:tcPr>
            <w:tcW w:w="33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capitalization</w:t>
            </w:r>
          </w:p>
        </w:tc>
        <w:tc>
          <w:tcPr>
            <w:tcW w:w="6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311,808</w:t>
            </w: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Indebtedness as defined in Credit Agreement:</w:t>
            </w:r>
          </w:p>
        </w:tc>
        <w:tc>
          <w:tcPr>
            <w:tcW w:w="69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6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r>
      <w:tr>
        <w:trPr>
          <w:trHeight w:val="230"/>
        </w:trPr>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Indebtedness</w:t>
            </w:r>
          </w:p>
        </w:tc>
        <w:tc>
          <w:tcPr>
            <w:tcW w:w="6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124,000</w:t>
            </w:r>
          </w:p>
        </w:tc>
      </w:tr>
    </w:tbl>
    <w:p>
      <w:pPr>
        <w:spacing w:after="0" w:line="17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bear an interest rate equal to Secured Overnight Financing Rate ("SOFR") plus a credit spread adjustment of 10 basis points ("Adjusted Term SOFR Rate") and an amount depending on the type of borrowing and commitment fees charged on the unused amount under the Credit Agreement at various Total Net Leverage Ratio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Under the Credit Agreement (Basis Points)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60" w:type="dxa"/>
            <w:vAlign w:val="bottom"/>
            <w:tcBorders>
              <w:top w:val="single" w:sz="8" w:color="auto"/>
            </w:tcBorders>
          </w:tcPr>
          <w:p>
            <w:pPr>
              <w:spacing w:after="0"/>
              <w:rPr>
                <w:sz w:val="14"/>
                <w:szCs w:val="14"/>
                <w:color w:val="auto"/>
              </w:rPr>
            </w:pPr>
          </w:p>
        </w:tc>
        <w:tc>
          <w:tcPr>
            <w:tcW w:w="474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Term Benchmark</w:t>
            </w: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Commitment</w:t>
            </w: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4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Spread</w:t>
            </w: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Fee</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&gt;1.0x but &lt;=2.0x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&gt;2.0x but &lt;=3.0x</w:t>
            </w:r>
          </w:p>
        </w:tc>
        <w:tc>
          <w:tcPr>
            <w:tcW w:w="4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&gt;3.0x but &lt;=3.5x</w:t>
            </w:r>
          </w:p>
        </w:tc>
        <w:tc>
          <w:tcPr>
            <w:tcW w:w="4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6"/>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&gt;3.5x</w:t>
            </w:r>
          </w:p>
        </w:tc>
        <w:tc>
          <w:tcPr>
            <w:tcW w:w="4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71" w:lineRule="exact"/>
        <w:rPr>
          <w:sz w:val="20"/>
          <w:szCs w:val="20"/>
          <w:color w:val="auto"/>
        </w:rPr>
      </w:pPr>
    </w:p>
    <w:p>
      <w:pPr>
        <w:ind w:right="180" w:firstLine="405"/>
        <w:spacing w:after="0" w:line="312" w:lineRule="auto"/>
        <w:rPr>
          <w:sz w:val="20"/>
          <w:szCs w:val="20"/>
          <w:color w:val="auto"/>
        </w:rPr>
      </w:pPr>
      <w:r>
        <w:rPr>
          <w:rFonts w:ascii="Times New Roman" w:cs="Times New Roman" w:eastAsia="Times New Roman" w:hAnsi="Times New Roman"/>
          <w:sz w:val="17"/>
          <w:szCs w:val="17"/>
          <w:color w:val="auto"/>
        </w:rPr>
        <w:t>At September 30, 2022, $124.0 million of the outstanding debt was principally priced at an interest rate equal to the Adjusted Term SOFR Rate plus the applicable credit spread of 150.0 basis points. Prior to the Credit Agreement, the interest rate was based on LIBOR plus an applicable credit spread.</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primary restrictive covenants in the Credit Agreement include:</w:t>
      </w:r>
    </w:p>
    <w:p>
      <w:pPr>
        <w:spacing w:after="0" w:line="104" w:lineRule="exact"/>
        <w:rPr>
          <w:sz w:val="20"/>
          <w:szCs w:val="20"/>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of 4.00x;</w:t>
      </w:r>
    </w:p>
    <w:p>
      <w:pPr>
        <w:spacing w:after="0" w:line="10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of 3.00x; and</w:t>
      </w:r>
    </w:p>
    <w:p>
      <w:pPr>
        <w:spacing w:after="0" w:line="90" w:lineRule="exact"/>
        <w:rPr>
          <w:rFonts w:ascii="Times New Roman" w:cs="Times New Roman" w:eastAsia="Times New Roman" w:hAnsi="Times New Roman"/>
          <w:sz w:val="18"/>
          <w:szCs w:val="18"/>
          <w:color w:val="auto"/>
        </w:rPr>
      </w:pPr>
    </w:p>
    <w:p>
      <w:pPr>
        <w:ind w:left="820" w:right="140" w:hanging="407"/>
        <w:spacing w:after="0" w:line="261"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Unlimited payments for dividends and stock repurchases during the term of the Credit Agreement so long as the Total Net Leverage Ratio is equal to or less than 2.00x, and otherwise restrictions on payments for dividends and stock repurchases for the term of the Credit Agreement at $75 million (provided that the $75 million basket will reset at the end of each fiscal quarter when the Total Net Leverage ratio is less than or equal to 2.00x).</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Credit Agreement:</w:t>
      </w:r>
    </w:p>
    <w:p>
      <w:pPr>
        <w:spacing w:after="0" w:line="104" w:lineRule="exact"/>
        <w:rPr>
          <w:sz w:val="20"/>
          <w:szCs w:val="20"/>
          <w:color w:val="auto"/>
        </w:rPr>
      </w:pPr>
    </w:p>
    <w:p>
      <w:pPr>
        <w:ind w:left="820" w:right="440" w:hanging="407"/>
        <w:spacing w:after="0" w:line="282"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Leverage Ratio is defined as the ratio of (a)(i) total indebtedness minus (ii) liquidity (the lesser of $50,000,000 and the aggregate amount of cash and cash equivalents) to (b) Credit EBITDA; and</w:t>
      </w:r>
    </w:p>
    <w:p>
      <w:pPr>
        <w:spacing w:after="0" w:line="26"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is defined as the ratio of (a) Credit EBITDA to (b) interest expense.</w:t>
      </w:r>
    </w:p>
    <w:p>
      <w:pPr>
        <w:spacing w:after="0" w:line="104"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The Credit Agreement is secured by substantially all of the Company’s and its domestic subsidiaries’ assets, including equity in certain material first-tier foreign subsidiaries. At September 30, 2022, based upon the restrictive covenants within the Credit Agreement, available credit under the Credit Agreement was approximately $249 million. Total debt outstanding was $124.0 million and $73.0 million as of September 30, 2022 and December 31, 2021, respectively.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Credit EBITDA is not intended to represent net income (loss) or cash flow from operations as defined by GAAP and should not be considered as an alternative to either net income (loss) or to cash flow. The computations of Credit EBITDA, the Total Net Leverage Ratio and Interest Coverage Ratio as defined in the Credit Agreement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3" w:lineRule="exact"/>
        <w:rPr>
          <w:sz w:val="20"/>
          <w:szCs w:val="20"/>
          <w:color w:val="auto"/>
        </w:rPr>
      </w:pPr>
    </w:p>
    <w:p>
      <w:pPr>
        <w:jc w:val="center"/>
        <w:spacing w:after="0" w:line="245" w:lineRule="auto"/>
        <w:rPr>
          <w:sz w:val="20"/>
          <w:szCs w:val="20"/>
          <w:color w:val="auto"/>
        </w:rPr>
      </w:pPr>
      <w:r>
        <w:rPr>
          <w:rFonts w:ascii="Times New Roman" w:cs="Times New Roman" w:eastAsia="Times New Roman" w:hAnsi="Times New Roman"/>
          <w:sz w:val="16"/>
          <w:szCs w:val="16"/>
          <w:color w:val="auto"/>
        </w:rPr>
        <w:t>Computations of Credit EBITDA, Total Net Leverage Ratio and Interest Coverage Ratio (in each case, as Defined in the Credit Agreement) Along with Related Primary Restrictive Covenants as of and for the Twelve Months Ended September 30, 2022</w:t>
      </w:r>
    </w:p>
    <w:tbl>
      <w:tblPr>
        <w:tblLayout w:type="fixed"/>
        <w:tblInd w:w="0" w:type="dxa"/>
        <w:tblCellMar>
          <w:top w:w="0" w:type="dxa"/>
          <w:left w:w="0" w:type="dxa"/>
          <w:bottom w:w="0" w:type="dxa"/>
          <w:right w:w="0" w:type="dxa"/>
        </w:tblCellMar>
      </w:tblPr>
      <w:tr>
        <w:trPr>
          <w:trHeight w:val="226"/>
        </w:trPr>
        <w:tc>
          <w:tcPr>
            <w:tcW w:w="100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Computation of Credit EBITDA for the twelve months ended September 30, 2022 (In Thousands):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53,676</w:t>
            </w:r>
          </w:p>
        </w:tc>
        <w:tc>
          <w:tcPr>
            <w:tcW w:w="0" w:type="dxa"/>
            <w:vAlign w:val="bottom"/>
          </w:tcPr>
          <w:p>
            <w:pPr>
              <w:spacing w:after="0"/>
              <w:rPr>
                <w:sz w:val="1"/>
                <w:szCs w:val="1"/>
                <w:color w:val="auto"/>
              </w:rPr>
            </w:pPr>
          </w:p>
        </w:tc>
      </w:tr>
      <w:tr>
        <w:trPr>
          <w:trHeight w:val="229"/>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0" w:type="dxa"/>
            <w:vAlign w:val="bottom"/>
          </w:tcPr>
          <w:p>
            <w:pPr>
              <w:spacing w:after="0"/>
              <w:rPr>
                <w:sz w:val="1"/>
                <w:szCs w:val="1"/>
                <w:color w:val="auto"/>
              </w:rPr>
            </w:pPr>
          </w:p>
        </w:tc>
      </w:tr>
      <w:tr>
        <w:trPr>
          <w:trHeight w:val="184"/>
        </w:trPr>
        <w:tc>
          <w:tcPr>
            <w:tcW w:w="100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080" w:type="dxa"/>
            <w:vAlign w:val="bottom"/>
            <w:shd w:val="clear" w:color="auto" w:fill="CCEEFF"/>
          </w:tcPr>
          <w:p>
            <w:pPr>
              <w:ind w:left="680"/>
              <w:spacing w:after="0" w:line="181"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(cash-related</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of $8,225)</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29"/>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84"/>
        </w:trPr>
        <w:tc>
          <w:tcPr>
            <w:tcW w:w="100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All non-cash gains and income, plus cash gains and income in excess of $10,000, for continuing operations that are classified as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unusual, extraordinary or which are related to plant shutdowns, asset impairments and/or restructurings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0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cash dividends declared on investments in an amount not to exceed $10,000 for such period</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100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Plus or minus, as applicable, pro forma EBITDA adjustments to pension expense associated with the early payment of pension</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0" w:type="dxa"/>
            <w:vAlign w:val="bottom"/>
          </w:tcPr>
          <w:p>
            <w:pPr>
              <w:spacing w:after="0"/>
              <w:rPr>
                <w:sz w:val="1"/>
                <w:szCs w:val="1"/>
                <w:color w:val="auto"/>
              </w:rPr>
            </w:pPr>
          </w:p>
        </w:tc>
      </w:tr>
      <w:tr>
        <w:trPr>
          <w:trHeight w:val="230"/>
        </w:trPr>
        <w:tc>
          <w:tcPr>
            <w:tcW w:w="10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Credit EBITDA</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95,470</w:t>
            </w:r>
          </w:p>
        </w:tc>
        <w:tc>
          <w:tcPr>
            <w:tcW w:w="0" w:type="dxa"/>
            <w:vAlign w:val="bottom"/>
          </w:tcPr>
          <w:p>
            <w:pPr>
              <w:spacing w:after="0"/>
              <w:rPr>
                <w:sz w:val="1"/>
                <w:szCs w:val="1"/>
                <w:color w:val="auto"/>
              </w:rPr>
            </w:pPr>
          </w:p>
        </w:tc>
      </w:tr>
      <w:tr>
        <w:trPr>
          <w:trHeight w:val="23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Computations of Total Net Leverage Ratio and Interest Coverage Ratio at September 30, 2022: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Leverage Ratio</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1.1x</w:t>
            </w:r>
          </w:p>
        </w:tc>
        <w:tc>
          <w:tcPr>
            <w:tcW w:w="0" w:type="dxa"/>
            <w:vAlign w:val="bottom"/>
          </w:tcPr>
          <w:p>
            <w:pPr>
              <w:spacing w:after="0"/>
              <w:rPr>
                <w:sz w:val="1"/>
                <w:szCs w:val="1"/>
                <w:color w:val="auto"/>
              </w:rPr>
            </w:pPr>
          </w:p>
        </w:tc>
      </w:tr>
      <w:tr>
        <w:trPr>
          <w:trHeight w:val="229"/>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Coverage Ratio</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23.93x</w:t>
            </w:r>
          </w:p>
        </w:tc>
        <w:tc>
          <w:tcPr>
            <w:tcW w:w="0" w:type="dxa"/>
            <w:vAlign w:val="bottom"/>
          </w:tcPr>
          <w:p>
            <w:pPr>
              <w:spacing w:after="0"/>
              <w:rPr>
                <w:sz w:val="1"/>
                <w:szCs w:val="1"/>
                <w:color w:val="auto"/>
              </w:rPr>
            </w:pPr>
          </w:p>
        </w:tc>
      </w:tr>
      <w:tr>
        <w:trPr>
          <w:trHeight w:val="230"/>
        </w:trPr>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Primary restrictive covenants: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Unlimited payments for dividends and stock repurchases during the term of the Credit Agreement so long as the Total Net Leverage</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100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Ratio is equal to or less than 2.00x, and otherwise restrictions on payments for dividends and stock repurchases for the term of the</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Agreement at $75 million</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Unlimited</w:t>
            </w:r>
          </w:p>
        </w:tc>
        <w:tc>
          <w:tcPr>
            <w:tcW w:w="0" w:type="dxa"/>
            <w:vAlign w:val="bottom"/>
          </w:tcPr>
          <w:p>
            <w:pPr>
              <w:spacing w:after="0"/>
              <w:rPr>
                <w:sz w:val="1"/>
                <w:szCs w:val="1"/>
                <w:color w:val="auto"/>
              </w:rPr>
            </w:pPr>
          </w:p>
        </w:tc>
      </w:tr>
      <w:tr>
        <w:trPr>
          <w:trHeight w:val="230"/>
        </w:trPr>
        <w:tc>
          <w:tcPr>
            <w:tcW w:w="10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Total Net Leverage Ratio permitted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4.00x</w:t>
            </w:r>
          </w:p>
        </w:tc>
        <w:tc>
          <w:tcPr>
            <w:tcW w:w="0" w:type="dxa"/>
            <w:vAlign w:val="bottom"/>
          </w:tcPr>
          <w:p>
            <w:pPr>
              <w:spacing w:after="0"/>
              <w:rPr>
                <w:sz w:val="1"/>
                <w:szCs w:val="1"/>
                <w:color w:val="auto"/>
              </w:rPr>
            </w:pPr>
          </w:p>
        </w:tc>
      </w:tr>
      <w:tr>
        <w:trPr>
          <w:trHeight w:val="237"/>
        </w:trPr>
        <w:tc>
          <w:tcPr>
            <w:tcW w:w="10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 Interest Coverage Ratio permitted</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ind w:firstLine="405"/>
        <w:spacing w:after="0" w:line="261" w:lineRule="auto"/>
        <w:rPr>
          <w:sz w:val="20"/>
          <w:szCs w:val="20"/>
          <w:color w:val="auto"/>
        </w:rPr>
      </w:pPr>
      <w:r>
        <w:rPr>
          <w:rFonts w:ascii="Times New Roman" w:cs="Times New Roman" w:eastAsia="Times New Roman" w:hAnsi="Times New Roman"/>
          <w:sz w:val="18"/>
          <w:szCs w:val="18"/>
          <w:color w:val="auto"/>
        </w:rPr>
        <w:t>Tredegar was in compliance with all of its debt covenants as of September 30, 2022. Noncompliance with any of the debt covenants could have a material adverse effect on its financial condition or liquidity, in the event such noncompliance cannot be cured or should the Company be unable to obtain a waiver from the lenders. Renegotiation of the covenant through an amendment to the Credit Agreement could effectively cure the noncompliance, but could have an effect on its financial condition or liquidity depending upon how the covenant is renegotiated.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0" w:name="page41"/>
    <w:bookmarkEnd w:id="4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08"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above regarding interest rate exposures related to borrowings under the Credit Agreement.</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48"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24 months, the Company enters into a combination of forward purchase commitments and futures contracts to acquire or hedge aluminum, based on the scheduled deliveries. See Note 8 for additional information.</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77470</wp:posOffset>
            </wp:positionV>
            <wp:extent cx="5768975" cy="254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Source: Quarterly averages computed by the Company using daily Midwest average prices provided by Platts.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ind w:left="420"/>
        <w:spacing w:after="0"/>
        <w:rPr>
          <w:sz w:val="20"/>
          <w:szCs w:val="20"/>
          <w:color w:val="auto"/>
        </w:rPr>
      </w:pPr>
      <w:r>
        <w:rPr>
          <w:rFonts w:ascii="Times New Roman" w:cs="Times New Roman" w:eastAsia="Times New Roman" w:hAnsi="Times New Roman"/>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NYMEX settlement prices.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77470</wp:posOffset>
            </wp:positionV>
            <wp:extent cx="5768975" cy="254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right="280"/>
        <w:spacing w:after="0" w:line="229" w:lineRule="auto"/>
        <w:rPr>
          <w:sz w:val="20"/>
          <w:szCs w:val="20"/>
          <w:color w:val="auto"/>
        </w:rPr>
      </w:pPr>
      <w:r>
        <w:rPr>
          <w:rFonts w:ascii="Times New Roman" w:cs="Times New Roman" w:eastAsia="Times New Roman" w:hAnsi="Times New Roman"/>
          <w:sz w:val="13"/>
          <w:szCs w:val="13"/>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w:t>
      </w:r>
    </w:p>
    <w:p>
      <w:pPr>
        <w:spacing w:after="0" w:line="18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6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w:t>
      </w:r>
    </w:p>
    <w:p>
      <w:pPr>
        <w:sectPr>
          <w:pgSz w:w="11900" w:h="16838" w:orient="portrait"/>
          <w:cols w:equalWidth="0" w:num="1">
            <w:col w:w="11200"/>
          </w:cols>
          <w:pgMar w:left="320" w:top="985" w:right="3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representative of polyester resin (a primary raw material for Flexible Packaging Films) pricing trends,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18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36830</wp:posOffset>
            </wp:positionV>
            <wp:extent cx="5768975" cy="26574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689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data from CMAI Global Index data.</w:t>
      </w:r>
    </w:p>
    <w:p>
      <w:pPr>
        <w:spacing w:after="0" w:line="18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continuing foreign operations relates to the Chinese Yuan and the Brazilian Real.</w:t>
      </w:r>
    </w:p>
    <w:p>
      <w:pPr>
        <w:spacing w:after="0" w:line="5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w:t>
      </w:r>
    </w:p>
    <w:p>
      <w:pPr>
        <w:sectPr>
          <w:pgSz w:w="11900" w:h="16838" w:orient="portrait"/>
          <w:cols w:equalWidth="0" w:num="1">
            <w:col w:w="11040"/>
          </w:cols>
          <w:pgMar w:left="320" w:top="985" w:right="5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5" w:right="539" w:bottom="1440" w:gutter="0" w:footer="0" w:header="0"/>
          <w:type w:val="continuous"/>
        </w:sectPr>
      </w:pPr>
    </w:p>
    <w:bookmarkStart w:id="43" w:name="page44"/>
    <w:bookmarkEnd w:id="43"/>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4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estimates annual net costs of R$150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8 for more information on outstanding hedging contracts and this hedging program.</w:t>
      </w:r>
    </w:p>
    <w:p>
      <w:pPr>
        <w:spacing w:after="0" w:line="5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Tredegar estimates that the change in the value of foreign currencies relative to the U.S. Dollar for PE Films had a favorable impact on EBITDA from ongoing operations of $0.5 million in the third quarter of 2022 and $1.1 million in the first nine months of 2022 compared with the same periods of 2021.</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Trends for the Brazilian Real and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Source: Quarterly averages computed by Tredegar using daily closing data provided by Bloomberg.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jc w:val="both"/>
        <w:ind w:right="500" w:firstLine="405"/>
        <w:spacing w:after="0" w:line="266" w:lineRule="auto"/>
        <w:rPr>
          <w:sz w:val="20"/>
          <w:szCs w:val="20"/>
          <w:color w:val="auto"/>
        </w:rPr>
      </w:pPr>
      <w:r>
        <w:rPr>
          <w:rFonts w:ascii="Times New Roman" w:cs="Times New Roman" w:eastAsia="Times New Roman" w:hAnsi="Times New Roman"/>
          <w:sz w:val="18"/>
          <w:szCs w:val="18"/>
          <w:color w:val="auto"/>
        </w:rPr>
        <w:t>On November 1, 2018, the Company filed a Current Report on Form 8-K (the “November 2018 Form 8-K”) to disclose deficiencies in internal control over financial reporting. For further information, see the November 2018 Form 8-K and Item 4. “Controls and Procedures” of the Company’s Quarterly Report on Form 10-Q for the quarterly period ended September 30, 2018.</w:t>
      </w:r>
    </w:p>
    <w:p>
      <w:pPr>
        <w:spacing w:after="0" w:line="3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our disclosure controls and procedures (as defined under Rule 13a-15(e) and 15d-15(e) under the Exchange Act) as of September 30, 2022.</w:t>
      </w:r>
    </w:p>
    <w:p>
      <w:pPr>
        <w:spacing w:after="0" w:line="58" w:lineRule="exact"/>
        <w:rPr>
          <w:sz w:val="20"/>
          <w:szCs w:val="20"/>
          <w:color w:val="auto"/>
        </w:rPr>
      </w:pPr>
    </w:p>
    <w:p>
      <w:pPr>
        <w:ind w:right="20" w:firstLine="405"/>
        <w:spacing w:after="0" w:line="277" w:lineRule="auto"/>
        <w:rPr>
          <w:sz w:val="20"/>
          <w:szCs w:val="20"/>
          <w:color w:val="auto"/>
        </w:rPr>
      </w:pPr>
      <w:r>
        <w:rPr>
          <w:rFonts w:ascii="Times New Roman" w:cs="Times New Roman" w:eastAsia="Times New Roman" w:hAnsi="Times New Roman"/>
          <w:sz w:val="17"/>
          <w:szCs w:val="17"/>
          <w:color w:val="auto"/>
        </w:rPr>
        <w:t>Based on this evaluation, the Company’s Chief Executive Officer and Chief Financial Officer concluded that, because of the material weaknesses in internal control over financial reporting discussed below, the Company’s disclosure controls and procedures were not effective as of September 30, 2022, to ensure: (i) that information required to be disclosed by the Company in the reports that it files or submits under the Exchange Act, is recorded, processed, summarized and reported, within the time periods specified in the SEC’s rules and forms, and (ii) that such information is accumulated and communicated to management, including the Chief Executive Officer and Chief Financial Officer, as appropriate, to allow timely decisions regarding required disclosure.</w:t>
      </w:r>
    </w:p>
    <w:p>
      <w:pPr>
        <w:spacing w:after="0" w:line="3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in Rules 13a-15(f) and 15d-15(f) under the Exchange Act. The Company’s internal control over financial reporting is a process designed by or under the supervision of the Company’s Chief Executive Officer and Chief</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right="820"/>
        <w:spacing w:after="0" w:line="282" w:lineRule="auto"/>
        <w:rPr>
          <w:sz w:val="20"/>
          <w:szCs w:val="20"/>
          <w:color w:val="auto"/>
        </w:rPr>
      </w:pPr>
      <w:r>
        <w:rPr>
          <w:rFonts w:ascii="Times New Roman" w:cs="Times New Roman" w:eastAsia="Times New Roman" w:hAnsi="Times New Roman"/>
          <w:sz w:val="18"/>
          <w:szCs w:val="18"/>
          <w:color w:val="auto"/>
        </w:rPr>
        <w:t>Financial Officer, and overseen by the Board of Directors, to provide reasonable assurance regarding the reliability of financial reporting and the preparation of financial statements for external purposes in accordance with GAAP and includes policies and procedures that:</w:t>
      </w:r>
    </w:p>
    <w:p>
      <w:pPr>
        <w:spacing w:after="0" w:line="27" w:lineRule="exact"/>
        <w:rPr>
          <w:sz w:val="20"/>
          <w:szCs w:val="20"/>
          <w:color w:val="auto"/>
        </w:rPr>
      </w:pPr>
    </w:p>
    <w:p>
      <w:pPr>
        <w:ind w:left="660" w:right="3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312"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spacing w:after="0" w:line="18" w:lineRule="exact"/>
        <w:rPr>
          <w:rFonts w:ascii="Times New Roman" w:cs="Times New Roman" w:eastAsia="Times New Roman" w:hAnsi="Times New Roman"/>
          <w:sz w:val="17"/>
          <w:szCs w:val="17"/>
          <w:color w:val="auto"/>
        </w:rPr>
      </w:pPr>
    </w:p>
    <w:p>
      <w:pPr>
        <w:ind w:left="660" w:right="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7"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4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Management conducted an evaluation of the effectiveness of the Company’s internal control over financial reporting as of December 31, 2021 using the criteria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“2013 COSO Framework”). As a result of this evaluation, management concluded, as disclosed in the 2021 Form 10-K, that the Company’s internal control over financial reporting was not effective as of December 31, 2021, because of the material weaknesses in internal control over financial reporting discussed below.</w:t>
      </w:r>
    </w:p>
    <w:p>
      <w:pPr>
        <w:spacing w:after="0" w:line="44" w:lineRule="exact"/>
        <w:rPr>
          <w:sz w:val="20"/>
          <w:szCs w:val="20"/>
          <w:color w:val="auto"/>
        </w:rPr>
      </w:pPr>
    </w:p>
    <w:p>
      <w:pPr>
        <w:ind w:left="660" w:right="8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Control Environment: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did not have a sufficient number of trained resources with assigned responsibility and accountability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operation and documentation of internal control over financial reporting in accordance with the 2013 COSO Framework.</w:t>
      </w:r>
    </w:p>
    <w:p>
      <w:pPr>
        <w:spacing w:after="0" w:line="33"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Risk Assessment: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did not have an effective risk assessment process to identify and evaluate at a sufficient level of detail all relevant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of material misstatement, including fraud risks.</w:t>
      </w:r>
    </w:p>
    <w:p>
      <w:pPr>
        <w:spacing w:after="0" w:line="33"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Information and Communication: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did not have an effective information and communication process that identified and assessed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source of and controls necessary to ensure the reliability of information used in financial reporting and that communicates relevant information about roles and responsibilities for internal control over financial reporting.</w:t>
      </w:r>
    </w:p>
    <w:p>
      <w:pPr>
        <w:spacing w:after="0" w:line="35" w:lineRule="exact"/>
        <w:rPr>
          <w:rFonts w:ascii="Times New Roman" w:cs="Times New Roman" w:eastAsia="Times New Roman" w:hAnsi="Times New Roman"/>
          <w:sz w:val="18"/>
          <w:szCs w:val="18"/>
          <w:color w:val="auto"/>
        </w:rPr>
      </w:pPr>
    </w:p>
    <w:p>
      <w:pPr>
        <w:ind w:left="660" w:right="500" w:hanging="328"/>
        <w:spacing w:after="0" w:line="317"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Monitoring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did not have effective monitoring activities to assess the operation of internal control over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reporting, including the continued appropriateness of control design and level of documentation maintained to support control effectiveness.</w:t>
      </w:r>
    </w:p>
    <w:p>
      <w:pPr>
        <w:spacing w:after="0" w:line="10" w:lineRule="exact"/>
        <w:rPr>
          <w:rFonts w:ascii="Times New Roman" w:cs="Times New Roman" w:eastAsia="Times New Roman" w:hAnsi="Times New Roman"/>
          <w:sz w:val="17"/>
          <w:szCs w:val="17"/>
          <w:color w:val="auto"/>
        </w:rPr>
      </w:pPr>
    </w:p>
    <w:p>
      <w:pPr>
        <w:ind w:left="660" w:right="80" w:hanging="328"/>
        <w:spacing w:after="0" w:line="317" w:lineRule="auto"/>
        <w:tabs>
          <w:tab w:leader="none" w:pos="6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Control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a consequence of the material weaknesses described above, internal control deficiencies related to the design and operation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process-level controls and general information technology controls were determined to be pervasive throughout the Company’s processes.</w:t>
      </w:r>
    </w:p>
    <w:p>
      <w:pPr>
        <w:spacing w:after="0" w:line="1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While these material weaknesses did not result in material misstatements of the Company’s consolidated financial statements as of and for the year ended December 31, 2021, these material weaknesses create a reasonable possibility that a material misstatement of account balances or disclosures in annual or interim consolidated financial statements may not be prevented or detected in a timely manner. Accordingly, the Company concluded that the deficiencies represent material weaknesses in its internal control over financial reporting and its internal control over financial reporting was not effective as of December 31, 2021.</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independent registered public accounting firm, KPMG LLP, which audited the 2021 consolidated financial statements included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Form 10-K, expressed an adverse opinion on the operating effectiveness of the Company's internal control over financial reporting as of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31, 2021.</w:t>
      </w:r>
    </w:p>
    <w:p>
      <w:pPr>
        <w:spacing w:after="0" w:line="8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Remediation Plan and Efforts to Address the Previously Identified Material Weaknesses</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To remediate the material weaknesses described above, the Company, with the oversight of the Audit Committee of the Board of Directors (the “Audit Committee”), has been pursuing the six remediation steps as originally identified in the Company’s Annual Report on Form 10-K for the year ended December 31, 2018. The Company’s remediation plan was designed with the assistance of management’s outside consultant, an internationally recognized accounting firm.</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Through the third quarter of 2022 and as of the date of this report, the Company substantially completed all items previously disclosed as expected to be completed in the third quarter of 2022 including implementing all remaining new and revised internal controls over financial reporting designed as part of management’s remediation plan. Management’s testing of the design, implementation and operating effectiveness of controls and training with control owners are ongoing. Remediation efforts continue for deficiencies noted in the initial testing of a number of the newly implemented controls. In addition, the Company intends to finalize its ongoing risk assessment in the fourth quarter of 2022, including the risks arising from fraud.</w:t>
      </w:r>
    </w:p>
    <w:p>
      <w:pPr>
        <w:spacing w:after="0" w:line="4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Company is committed to the improvement of its internal control over financial reporting and management continues to work with its outside consultant to assist in those efforts, as necessary. The Company continues to monitor the impact of employee turnover, the COVID-19 pandemic and other external factors on its remediation plan and its assessment of internal control over financial reporting. The material weaknesses cannot be considered remediated until the applicable controls have operated for a sufficient period of time and management has concluded, through testing, that these controls are operating effectively. The Company cannot assure you when it will remediate the identified material weaknesses, nor can it be certain whether additional actions will be required. Moreover, the Company cannot assure you that additional material weaknesses will not arise in the future.</w:t>
      </w:r>
    </w:p>
    <w:p>
      <w:pPr>
        <w:spacing w:after="0" w:line="6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08"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making certain changes in its internal controls to remediate the material weaknesses as described above. The execution of the material aspects of this remediation plan began in the second quarter of 2019. Except as noted above, there has been no change in the Company’s internal control over financial reporting during the quarter ended September 30, 2022, that has materially affected, or is reasonably likely to materially affect, its internal control over financial reporting (as defined in Rules 13a-15(f) and 15d-15(f) under the Exchange Act).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As disclosed in “Item 1A. Risk Factors” in the 2021 Form 10-K and the Company's Quarterly Report on Form 10-Q for the period ended June 30, 2022 ("Second Quarter 2022 Form 10-Q"), there are a number of risks and uncertainties that can have a material effect on the operating results of our businesses and our financial condition. There are no additional material updates or changes to our risk factors previously disclosed in the 2021 Form 10-K and the Second Quarter 2022 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7"/>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Rules 13a-14(a) and 15d-14(a) promulgated</w:t>
            </w:r>
          </w:p>
        </w:tc>
      </w:tr>
      <w:tr>
        <w:trPr>
          <w:trHeight w:val="190"/>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830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under the Securities Exchange Act of 1934, as adopted pursuant to Section 302 of the Sarbanes-Oxley Act of 2002.</w:t>
            </w:r>
          </w:p>
        </w:tc>
        <w:tc>
          <w:tcPr>
            <w:tcW w:w="15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Rules 13a-14(a) and 15d-14(a)</w:t>
            </w:r>
          </w:p>
        </w:tc>
      </w:tr>
      <w:tr>
        <w:trPr>
          <w:trHeight w:val="169"/>
        </w:trPr>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94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promulgated under the Securities Exchange Act of 1934, as adopted pursuant to Section 302 of the Sarbanes-Oxley Act of 2002.</w:t>
            </w:r>
          </w:p>
        </w:tc>
        <w:tc>
          <w:tcPr>
            <w:tcW w:w="60" w:type="dxa"/>
            <w:vAlign w:val="bottom"/>
          </w:tcPr>
          <w:p>
            <w:pPr>
              <w:spacing w:after="0"/>
              <w:rPr>
                <w:sz w:val="14"/>
                <w:szCs w:val="14"/>
                <w:color w:val="auto"/>
              </w:rPr>
            </w:pPr>
          </w:p>
        </w:tc>
      </w:tr>
      <w:tr>
        <w:trPr>
          <w:trHeight w:val="21"/>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33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18 U.S.C. Section 1350, as adopted pursuant</w:t>
            </w:r>
          </w:p>
        </w:tc>
      </w:tr>
      <w:tr>
        <w:trPr>
          <w:trHeight w:val="169"/>
        </w:trPr>
        <w:tc>
          <w:tcPr>
            <w:tcW w:w="6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9840" w:type="dxa"/>
            <w:vAlign w:val="bottom"/>
            <w:tcBorders>
              <w:top w:val="single" w:sz="8" w:color="0000FF"/>
            </w:tcBorders>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60" w:type="dxa"/>
            <w:vAlign w:val="bottom"/>
            <w:tcBorders>
              <w:top w:val="single" w:sz="8" w:color="CCEEFF"/>
            </w:tcBorders>
            <w:gridSpan w:val="2"/>
            <w:shd w:val="clear" w:color="auto" w:fill="CCEEFF"/>
          </w:tcPr>
          <w:p>
            <w:pPr>
              <w:spacing w:after="0"/>
              <w:rPr>
                <w:sz w:val="14"/>
                <w:szCs w:val="14"/>
                <w:color w:val="auto"/>
              </w:rPr>
            </w:pPr>
          </w:p>
        </w:tc>
      </w:tr>
      <w:tr>
        <w:trPr>
          <w:trHeight w:val="20"/>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18 U.S.C. Section 1350, as</w:t>
            </w:r>
          </w:p>
        </w:tc>
      </w:tr>
      <w:tr>
        <w:trPr>
          <w:trHeight w:val="169"/>
        </w:trPr>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6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340" w:type="dxa"/>
            <w:vAlign w:val="bottom"/>
            <w:gridSpan w:val="4"/>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shd w:val="clear" w:color="auto" w:fill="CCEEFF"/>
          </w:tcPr>
          <w:p>
            <w:pPr>
              <w:spacing w:after="0"/>
              <w:rPr>
                <w:sz w:val="19"/>
                <w:szCs w:val="19"/>
                <w:color w:val="auto"/>
              </w:rPr>
            </w:pP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 and Related Items.</w:t>
            </w:r>
          </w:p>
        </w:tc>
      </w:tr>
    </w:tbl>
    <w:p>
      <w:pPr>
        <w:ind w:left="1200" w:hanging="1174"/>
        <w:spacing w:after="0"/>
        <w:tabs>
          <w:tab w:leader="none" w:pos="1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4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9, 2022</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John M. Steitz</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M. Steitz</w:t>
            </w:r>
          </w:p>
        </w:tc>
      </w:t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9, 2022</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D. Andrew Edwards</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 Andrew Edwards</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9, 2022</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Frasier W. Brickhouse, II</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Frasier W. Brickhouse, II</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Treasurer and Controller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8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Steitz, certify that:</w:t>
      </w:r>
    </w:p>
    <w:p>
      <w:pPr>
        <w:spacing w:after="0" w:line="117"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2022,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John M. Steitz</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Andrew Edwards, certify that:</w:t>
      </w:r>
    </w:p>
    <w:p>
      <w:pPr>
        <w:spacing w:after="0" w:line="117"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2022,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September 30, 2022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960"/>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John M. Steitz John M. Steitz</w:t>
      </w:r>
    </w:p>
    <w:p>
      <w:pPr>
        <w:ind w:left="20" w:right="8460"/>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(Principal Executive Officer) 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27514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September 30, 2022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5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D. Andrew Edwards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27514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9,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decimal"/>
      <w:start w:val="1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lvl w:ilvl="1">
      <w:lvlJc w:val="left"/>
      <w:lvlText w:val="◦"/>
      <w:numFmt w:val="bullet"/>
      <w:start w:val="1"/>
    </w:lvl>
  </w:abstractNum>
  <w:abstractNum w:abstractNumId="17">
    <w:nsid w:val="79838CB2"/>
    <w:multiLevelType w:val="hybridMultilevel"/>
    <w:lvl w:ilvl="0">
      <w:lvlJc w:val="left"/>
      <w:lvlText w:val="•"/>
      <w:numFmt w:val="bullet"/>
      <w:start w:val="1"/>
    </w:lvl>
    <w:lvl w:ilvl="1">
      <w:lvlJc w:val="left"/>
      <w:lvlText w:val="◦"/>
      <w:numFmt w:val="bullet"/>
      <w:start w:val="1"/>
    </w:lvl>
  </w:abstractNum>
  <w:abstractNum w:abstractNumId="18">
    <w:nsid w:val="4353D0CD"/>
    <w:multiLevelType w:val="hybridMultilevel"/>
    <w:lvl w:ilvl="0">
      <w:lvlJc w:val="left"/>
      <w:lvlText w:val="•"/>
      <w:numFmt w:val="bullet"/>
      <w:start w:val="1"/>
    </w:lvl>
    <w:lvl w:ilvl="1">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lvl w:ilvl="1">
      <w:lvlJc w:val="left"/>
      <w:lvlText w:val="◦"/>
      <w:numFmt w:val="bullet"/>
      <w:start w:val="1"/>
    </w:lvl>
  </w:abstractNum>
  <w:abstractNum w:abstractNumId="22">
    <w:nsid w:val="71F32454"/>
    <w:multiLevelType w:val="hybridMultilevel"/>
    <w:lvl w:ilvl="0">
      <w:lvlJc w:val="left"/>
      <w:lvlText w:val="•"/>
      <w:numFmt w:val="bullet"/>
      <w:start w:val="1"/>
    </w:lvl>
    <w:lvl w:ilvl="1">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0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2022-11-09T07:21:05Z</dcterms:created>
  <dcterms:modified xsi:type="dcterms:W3CDTF">2022-11-09T07:21:05Z</dcterms:modified>
</cp:coreProperties>
</file>