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31, 2026 (July 28, 2026) </w:t>
      </w:r>
    </w:p>
    <w:tbl>
      <w:tblPr>
        <w:tblW w:w="4754" w:type="dxa"/>
        <w:jc w:val="left"/>
        <w:tblInd w:w="0" w:type="dxa"/>
        <w:tblLayout w:type="fixed"/>
        <w:tblCellMar>
          <w:top w:w="28" w:type="dxa"/>
          <w:left w:w="28" w:type="dxa"/>
          <w:bottom w:w="28" w:type="dxa"/>
          <w:right w:w="28" w:type="dxa"/>
        </w:tblCellMar>
      </w:tblPr>
      <w:tblGrid>
        <w:gridCol w:w="1523"/>
        <w:gridCol w:w="1339"/>
        <w:gridCol w:w="1892"/>
      </w:tblGrid>
      <w:tr>
        <w:trPr/>
        <w:tc>
          <w:tcPr>
            <w:tcW w:w="152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Tredegar Corporation</w:t>
            </w:r>
          </w:p>
        </w:tc>
      </w:tr>
      <w:tr>
        <w:trPr/>
        <w:tc>
          <w:tcPr>
            <w:tcW w:w="47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908" w:type="dxa"/>
        <w:jc w:val="left"/>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1-10258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54-1497771</w:t>
            </w:r>
          </w:p>
        </w:tc>
      </w:tr>
      <w:tr>
        <w:trPr/>
        <w:tc>
          <w:tcPr>
            <w:tcW w:w="37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271" w:type="dxa"/>
        <w:jc w:val="left"/>
        <w:tblInd w:w="0" w:type="dxa"/>
        <w:tblLayout w:type="fixed"/>
        <w:tblCellMar>
          <w:top w:w="28" w:type="dxa"/>
          <w:left w:w="28" w:type="dxa"/>
          <w:bottom w:w="28" w:type="dxa"/>
          <w:right w:w="28" w:type="dxa"/>
        </w:tblCellMar>
      </w:tblPr>
      <w:tblGrid>
        <w:gridCol w:w="558"/>
        <w:gridCol w:w="490"/>
        <w:gridCol w:w="490"/>
        <w:gridCol w:w="490"/>
        <w:gridCol w:w="490"/>
        <w:gridCol w:w="497"/>
        <w:gridCol w:w="109"/>
        <w:gridCol w:w="109"/>
        <w:gridCol w:w="109"/>
        <w:gridCol w:w="272"/>
        <w:gridCol w:w="272"/>
        <w:gridCol w:w="385"/>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Boulders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Richmond,</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23225</w:t>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(804) 330-1000</w:t>
      </w:r>
    </w:p>
    <w:p>
      <w:pPr>
        <w:pStyle w:val="TextBody"/>
        <w:bidi w:val="0"/>
        <w:spacing w:before="0" w:after="0"/>
        <w:ind w:left="0" w:right="0" w:firstLine="792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4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TG</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12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r>
    </w:tbl>
    <w:p>
      <w:pPr>
        <w:pStyle w:val="TextBody"/>
        <w:bidi w:val="0"/>
        <w:spacing w:lineRule="auto" w:line="288" w:before="100" w:after="100"/>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
        <w:gridCol w:w="229"/>
        <w:gridCol w:w="232"/>
        <w:gridCol w:w="2777"/>
        <w:gridCol w:w="2777"/>
        <w:gridCol w:w="3928"/>
      </w:tblGrid>
      <w:tr>
        <w:trPr/>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Officers.Results of Operations and Financial Condition.</w:t>
            </w:r>
          </w:p>
        </w:tc>
      </w:tr>
    </w:tbl>
    <w:p>
      <w:pPr>
        <w:pStyle w:val="TextBody"/>
        <w:bidi w:val="0"/>
        <w:spacing w:lineRule="auto" w:line="268" w:before="100" w:after="100"/>
        <w:ind w:left="0" w:right="0" w:firstLine="454"/>
        <w:jc w:val="left"/>
        <w:rPr>
          <w:rFonts w:ascii="Times New Roman;serif" w:hAnsi="Times New Roman;serif"/>
          <w:b w:val="false"/>
          <w:color w:val="000000"/>
          <w:sz w:val="20"/>
        </w:rPr>
      </w:pPr>
      <w:r>
        <w:rPr>
          <w:rFonts w:ascii="Times New Roman;serif" w:hAnsi="Times New Roman;serif"/>
          <w:b w:val="false"/>
          <w:color w:val="000000"/>
          <w:sz w:val="20"/>
        </w:rPr>
        <w:t>On July 28, 2026, Frasier W. Brickhouse, II notified Tredegar Corporation (the “Company”) of his intention to retire as Vice President, Chief Financial Officer and Treasurer of the Company, effective September 1, 2026.</w:t>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100" w:after="100"/>
        <w:ind w:left="0" w:right="0" w:firstLine="72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On July 30, 2026, in connection with Mr. Brickhouse’s retirement, the Company issued a press release, a copy of which is attached as Exhibit 99.1 and incorporated by reference in this Item 7.01.</w:t>
      </w:r>
    </w:p>
    <w:p>
      <w:pPr>
        <w:pStyle w:val="TextBody"/>
        <w:bidi w:val="0"/>
        <w:spacing w:lineRule="auto" w:line="26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Item 7.01 of this Current Report on Form 8-K, including Exhibit 99.1, shall not be deemed “filed” for the purposes of Section 18 of the Securities Exchange Act of 1934, as amended, or otherwise subject to the liabilities of that section, nor shall it be deemed incorporated by reference in any filing or other document pursuant to the Securities Act of 1933, as amended, except as shall be expressly set forth by specific reference in such a filing.</w:t>
      </w:r>
    </w:p>
    <w:tbl>
      <w:tblPr>
        <w:tblW w:w="4035" w:type="dxa"/>
        <w:jc w:val="left"/>
        <w:tblInd w:w="0" w:type="dxa"/>
        <w:tblLayout w:type="fixed"/>
        <w:tblCellMar>
          <w:top w:w="28" w:type="dxa"/>
          <w:left w:w="28" w:type="dxa"/>
          <w:bottom w:w="28" w:type="dxa"/>
          <w:right w:w="28" w:type="dxa"/>
        </w:tblCellMar>
      </w:tblPr>
      <w:tblGrid>
        <w:gridCol w:w="347"/>
        <w:gridCol w:w="305"/>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1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    Exhibits.    </w:t>
      </w:r>
    </w:p>
    <w:tbl>
      <w:tblPr>
        <w:tblW w:w="8115" w:type="dxa"/>
        <w:jc w:val="left"/>
        <w:tblInd w:w="0" w:type="dxa"/>
        <w:tblLayout w:type="fixed"/>
        <w:tblCellMar>
          <w:top w:w="28" w:type="dxa"/>
          <w:left w:w="28" w:type="dxa"/>
          <w:bottom w:w="28" w:type="dxa"/>
          <w:right w:w="28" w:type="dxa"/>
        </w:tblCellMar>
      </w:tblPr>
      <w:tblGrid>
        <w:gridCol w:w="391"/>
        <w:gridCol w:w="344"/>
        <w:gridCol w:w="345"/>
        <w:gridCol w:w="2056"/>
        <w:gridCol w:w="2056"/>
        <w:gridCol w:w="292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g-20260730xexhibit.htm">
              <w:r>
                <w:rPr>
                  <w:rStyle w:val="InternetLink"/>
                  <w:rFonts w:ascii="Times New Roman;serif" w:hAnsi="Times New Roman;serif"/>
                  <w:b w:val="false"/>
                  <w:color w:val="0000FF"/>
                  <w:sz w:val="20"/>
                  <w:u w:val="single"/>
                </w:rPr>
                <w:t>Press release issued on July 30,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and contained in Exhibit 101).</w:t>
            </w:r>
          </w:p>
        </w:tc>
      </w:tr>
    </w:tbl>
    <w:p>
      <w:pPr>
        <w:pStyle w:val="TextBody"/>
        <w:bidi w:val="0"/>
        <w:spacing w:before="0" w:after="0"/>
        <w:ind w:left="0" w:right="0" w:hanging="454"/>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67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427"/>
        <w:gridCol w:w="427"/>
        <w:gridCol w:w="427"/>
        <w:gridCol w:w="1643"/>
        <w:gridCol w:w="1643"/>
        <w:gridCol w:w="23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TREDEGAR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Donnelly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Donnelly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943600" cy="828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43600" cy="828675"/>
                    </a:xfrm>
                    <a:prstGeom prst="rect">
                      <a:avLst/>
                    </a:prstGeom>
                  </pic:spPr>
                </pic:pic>
              </a:graphicData>
            </a:graphic>
          </wp:inline>
        </w:drawing>
      </w:r>
    </w:p>
    <w:tbl>
      <w:tblPr>
        <w:tblW w:w="4308" w:type="dxa"/>
        <w:jc w:val="left"/>
        <w:tblInd w:w="0" w:type="dxa"/>
        <w:tblLayout w:type="fixed"/>
        <w:tblCellMar>
          <w:top w:w="28" w:type="dxa"/>
          <w:left w:w="28" w:type="dxa"/>
          <w:bottom w:w="28" w:type="dxa"/>
          <w:right w:w="28" w:type="dxa"/>
        </w:tblCellMar>
      </w:tblPr>
      <w:tblGrid>
        <w:gridCol w:w="296"/>
        <w:gridCol w:w="259"/>
        <w:gridCol w:w="259"/>
        <w:gridCol w:w="259"/>
        <w:gridCol w:w="259"/>
        <w:gridCol w:w="259"/>
        <w:gridCol w:w="259"/>
        <w:gridCol w:w="259"/>
        <w:gridCol w:w="270"/>
        <w:gridCol w:w="205"/>
        <w:gridCol w:w="205"/>
        <w:gridCol w:w="205"/>
        <w:gridCol w:w="205"/>
        <w:gridCol w:w="205"/>
        <w:gridCol w:w="205"/>
        <w:gridCol w:w="205"/>
        <w:gridCol w:w="205"/>
        <w:gridCol w:w="289"/>
      </w:tblGrid>
      <w:tr>
        <w:trPr/>
        <w:tc>
          <w:tcPr>
            <w:tcW w:w="2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Tredegar Corporation</w:t>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Contact: </w:t>
            </w:r>
          </w:p>
        </w:tc>
      </w:tr>
      <w:tr>
        <w:trPr/>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Communications</w:t>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Neill Bellamy</w:t>
            </w:r>
          </w:p>
        </w:tc>
      </w:tr>
      <w:tr>
        <w:trPr/>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1100 Boulders Parkway</w:t>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Phone: 804/330-1211</w:t>
            </w:r>
          </w:p>
        </w:tc>
      </w:tr>
      <w:tr>
        <w:trPr/>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 Virginia 23225</w:t>
            </w:r>
          </w:p>
        </w:tc>
        <w:tc>
          <w:tcPr>
            <w:tcW w:w="19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Website: www.tredegar.com</w:t>
            </w:r>
          </w:p>
        </w:tc>
        <w:tc>
          <w:tcPr>
            <w:tcW w:w="19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 xml:space="preserve">FOR IMMEDIATE RELEASE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TREDEGAR ANNOUNCES THE RETIREMENT OF FRASIER W. BRICKHOUSE II, CHIEF FINANCIAL OFFICER, TREASURER AND VICE PRESIDENT, EFFECTIVE SEPTEMBER 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RICHMOND, VA, July 30, 2026 – Tredegar Corporation (NYSE:TG) today announced that Frasier W. Brickhouse II, Tredegar’s Chief Financial Officer, Treasurer and Vice President, will retire, effective September 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Tredegar’s Board of Directors and executive leadership team are actively evaluating options to facilitate a smooth transition and continued financial stewardship. Further details regarding the transition plan will be shared as they become available.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Frasier’s retirement marks the culmination of more than 30 years of dedicated service and leadership at Tredegar,” said Arijit (Bapi) DasGupta, President and Chief Executive Officer of Tredegar. “Since joining the company in 1993, he has made lasting contributions across accounting, treasury, financial planning and corporate governance, helping strengthen the company’s financial foundation and internal controls. Frasier’s deep expertise, integrity, strong work ethic and commitment to excellence have earned the respect of colleagues throughout the organization. On behalf of the Board and all Tredegar employees, I thank Frasier for his many contributions and wish him and his family all the best in retirement.”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About Tredegar</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Tredegar Corporation is an industrial manufacturer with two primary businesses: custom aluminum extrusions for the North American building &amp; construction, automotive and specialty end-use markets, and films for highly engineered surface protection applications in the global electronics industry and advanced packaging. With approximately 1,800 employees, the Company operates manufacturing facilities in North America and Asia.</w:t>
      </w:r>
      <w:r>
        <w:rPr>
          <w:color w:val="000000"/>
        </w:rPr>
        <w:t xml:space="preserve"> </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4"/>
        </w:rPr>
        <w:t># # #</w:t>
      </w:r>
      <w:r>
        <w:rPr>
          <w:color w:val="000000"/>
        </w:rPr>
        <w:t xml:space="preserve"> </w:t>
      </w:r>
    </w:p>
    <w:p>
      <w:pPr>
        <w:pStyle w:val="TextBody"/>
        <w:bidi w:val="0"/>
        <w:spacing w:before="10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842</Words>
  <Characters>4858</Characters>
  <CharactersWithSpaces>5647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