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WILLIAM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918"/>
        <w:gridCol w:w="441"/>
        <w:gridCol w:w="792"/>
        <w:gridCol w:w="1141"/>
        <w:gridCol w:w="98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6,197</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847,470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211,260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33,334</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8.026</w:t>
            </w:r>
            <w:r>
              <w:rPr>
                <w:rFonts w:ascii="Times;serif" w:hAnsi="Times;serif"/>
                <w:color w:val="008000"/>
                <w:position w:val="7"/>
                <w:sz w:val="16"/>
                <w:sz w:val="20"/>
                <w:shd w:fill="FFFFFF" w:val="clear"/>
              </w:rPr>
              <w:t>(5)</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292,286</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Owned by wife.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the reporting Person as trustee of the William Michael Gottwald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$8.00 to $8.09.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 Gottwald, Attorney-in-Fact for William M.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58"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3742</Characters>
  <CharactersWithSpaces>4344</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