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120015</wp:posOffset>
            </wp:positionV>
            <wp:extent cx="2005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41" w:lineRule="exact"/>
        <w:rPr>
          <w:sz w:val="24"/>
          <w:szCs w:val="24"/>
          <w:color w:val="auto"/>
        </w:rPr>
      </w:pPr>
    </w:p>
    <w:p>
      <w:pPr>
        <w:ind w:left="620" w:right="2660" w:hanging="594"/>
        <w:spacing w:after="0" w:line="318" w:lineRule="auto"/>
        <w:tabs>
          <w:tab w:leader="none" w:pos="6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Pr>
          <w:p>
            <w:pPr>
              <w:spacing w:after="0"/>
              <w:rPr>
                <w:sz w:val="16"/>
                <w:szCs w:val="16"/>
                <w:color w:val="auto"/>
              </w:rPr>
            </w:pPr>
          </w:p>
        </w:tc>
        <w:tc>
          <w:tcPr>
            <w:tcW w:w="3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18"/>
        </w:trPr>
        <w:tc>
          <w:tcPr>
            <w:tcW w:w="21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r>
    </w:tbl>
    <w:p>
      <w:pPr>
        <w:spacing w:after="0" w:line="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TREDEGAR CORPORATION</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2040" w:type="dxa"/>
        <w:tblCellMar>
          <w:top w:w="0" w:type="dxa"/>
          <w:left w:w="0" w:type="dxa"/>
          <w:bottom w:w="0" w:type="dxa"/>
          <w:right w:w="0" w:type="dxa"/>
        </w:tblCellMar>
      </w:tblPr>
      <w:tr>
        <w:trPr>
          <w:trHeight w:val="232"/>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6"/>
                <w:szCs w:val="16"/>
                <w:b w:val="1"/>
                <w:bCs w:val="1"/>
                <w:color w:val="auto"/>
                <w:w w:val="98"/>
              </w:rPr>
              <w:t>Virginia</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54-1497771</w:t>
            </w:r>
          </w:p>
        </w:tc>
      </w:tr>
      <w:tr>
        <w:trPr>
          <w:trHeight w:val="128"/>
        </w:trPr>
        <w:tc>
          <w:tcPr>
            <w:tcW w:w="3880" w:type="dxa"/>
            <w:vAlign w:val="bottom"/>
          </w:tcPr>
          <w:p>
            <w:pPr>
              <w:jc w:val="center"/>
              <w:ind w:right="1727"/>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780" w:type="dxa"/>
            <w:vAlign w:val="bottom"/>
          </w:tcPr>
          <w:p>
            <w:pPr>
              <w:jc w:val="center"/>
              <w:ind w:left="1728"/>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880" w:type="dxa"/>
            <w:vAlign w:val="bottom"/>
          </w:tcPr>
          <w:p>
            <w:pPr>
              <w:jc w:val="center"/>
              <w:ind w:right="174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78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47"/>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8"/>
                <w:szCs w:val="18"/>
                <w:b w:val="1"/>
                <w:bCs w:val="1"/>
                <w:color w:val="auto"/>
                <w:w w:val="98"/>
              </w:rPr>
              <w:t>1100 Boulders Parkway,</w:t>
            </w:r>
          </w:p>
        </w:tc>
        <w:tc>
          <w:tcPr>
            <w:tcW w:w="2780" w:type="dxa"/>
            <w:vAlign w:val="bottom"/>
          </w:tcPr>
          <w:p>
            <w:pPr>
              <w:spacing w:after="0"/>
              <w:rPr>
                <w:sz w:val="24"/>
                <w:szCs w:val="24"/>
                <w:color w:val="auto"/>
              </w:rPr>
            </w:pPr>
          </w:p>
        </w:tc>
      </w:tr>
      <w:tr>
        <w:trPr>
          <w:trHeight w:val="371"/>
        </w:trPr>
        <w:tc>
          <w:tcPr>
            <w:tcW w:w="38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Richmond, Virginia</w:t>
            </w:r>
          </w:p>
        </w:tc>
        <w:tc>
          <w:tcPr>
            <w:tcW w:w="27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23225</w:t>
            </w:r>
          </w:p>
        </w:tc>
      </w:tr>
      <w:tr>
        <w:trPr>
          <w:trHeight w:val="166"/>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804-330-1000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298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9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TG</w:t>
            </w:r>
          </w:p>
        </w:tc>
        <w:tc>
          <w:tcPr>
            <w:tcW w:w="110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22860</wp:posOffset>
            </wp:positionV>
            <wp:extent cx="2005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(Title of class)</w:t>
      </w:r>
    </w:p>
    <w:p>
      <w:pPr>
        <w:sectPr>
          <w:pgSz w:w="11900" w:h="16838" w:orient="portrait"/>
          <w:cols w:equalWidth="0" w:num="1">
            <w:col w:w="11200"/>
          </w:cols>
          <w:pgMar w:left="320" w:top="473" w:right="379" w:bottom="1440" w:gutter="0" w:footer="0" w:header="0"/>
        </w:sect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40" w:lineRule="exact"/>
        <w:rPr>
          <w:sz w:val="24"/>
          <w:szCs w:val="24"/>
          <w:color w:val="auto"/>
        </w:rPr>
      </w:pPr>
    </w:p>
    <w:p>
      <w:pPr>
        <w:sectPr>
          <w:pgSz w:w="11900" w:h="16838" w:orient="portrait"/>
          <w:cols w:equalWidth="0" w:num="5">
            <w:col w:w="6760" w:space="140"/>
            <w:col w:w="200" w:space="80"/>
            <w:col w:w="140" w:space="140"/>
            <w:col w:w="180" w:space="60"/>
            <w:col w:w="3500"/>
          </w:cols>
          <w:pgMar w:left="320" w:top="473" w:right="37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59" w:lineRule="exact"/>
        <w:rPr>
          <w:sz w:val="24"/>
          <w:szCs w:val="24"/>
          <w:color w:val="auto"/>
        </w:rPr>
      </w:pPr>
    </w:p>
    <w:p>
      <w:pPr>
        <w:sectPr>
          <w:pgSz w:w="11900" w:h="16838" w:orient="portrait"/>
          <w:cols w:equalWidth="0" w:num="5">
            <w:col w:w="6900" w:space="120"/>
            <w:col w:w="220" w:space="80"/>
            <w:col w:w="120" w:space="140"/>
            <w:col w:w="180" w:space="80"/>
            <w:col w:w="3360"/>
          </w:cols>
          <w:pgMar w:left="320" w:top="473" w:right="379" w:bottom="1440" w:gutter="0" w:footer="0" w:header="0"/>
          <w:type w:val="continuous"/>
        </w:sectPr>
      </w:pPr>
    </w:p>
    <w:p>
      <w:pPr>
        <w:ind w:right="1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473" w:right="379" w:bottom="1440" w:gutter="0" w:footer="0" w:header="0"/>
          <w:type w:val="continuous"/>
        </w:sectPr>
      </w:pPr>
    </w:p>
    <w:p>
      <w:pPr>
        <w:spacing w:after="0" w:line="81"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920"/>
        <w:spacing w:after="0"/>
        <w:rPr>
          <w:sz w:val="20"/>
          <w:szCs w:val="20"/>
          <w:color w:val="auto"/>
        </w:rPr>
      </w:pPr>
      <w:r>
        <w:rPr>
          <w:rFonts w:ascii="Wingdings" w:cs="Wingdings" w:eastAsia="Wingdings" w:hAnsi="Wingdings"/>
          <w:sz w:val="13"/>
          <w:szCs w:val="13"/>
          <w:b w:val="1"/>
          <w:bCs w:val="1"/>
          <w:color w:val="auto"/>
        </w:rPr>
        <w:t>o</w:t>
      </w:r>
    </w:p>
    <w:p>
      <w:pPr>
        <w:spacing w:after="0" w:line="97" w:lineRule="exact"/>
        <w:rPr>
          <w:sz w:val="24"/>
          <w:szCs w:val="24"/>
          <w:color w:val="auto"/>
        </w:rPr>
      </w:pPr>
    </w:p>
    <w:p>
      <w:pPr>
        <w:sectPr>
          <w:pgSz w:w="11900" w:h="16838" w:orient="portrait"/>
          <w:cols w:equalWidth="0" w:num="6">
            <w:col w:w="2140" w:space="720"/>
            <w:col w:w="1900" w:space="720"/>
            <w:col w:w="1200" w:space="720"/>
            <w:col w:w="140" w:space="120"/>
            <w:col w:w="1780" w:space="720"/>
            <w:col w:w="1040"/>
          </w:cols>
          <w:pgMar w:left="320" w:top="473" w:right="37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920"/>
        <w:spacing w:after="0"/>
        <w:rPr>
          <w:sz w:val="20"/>
          <w:szCs w:val="20"/>
          <w:color w:val="auto"/>
        </w:rPr>
      </w:pPr>
      <w:r>
        <w:rPr>
          <w:rFonts w:ascii="Wingdings" w:cs="Wingdings" w:eastAsia="Wingdings" w:hAnsi="Wingdings"/>
          <w:sz w:val="13"/>
          <w:szCs w:val="13"/>
          <w:b w:val="1"/>
          <w:bCs w:val="1"/>
          <w:color w:val="auto"/>
        </w:rPr>
        <w:t>o</w:t>
      </w:r>
    </w:p>
    <w:p>
      <w:pPr>
        <w:spacing w:after="0" w:line="151" w:lineRule="exact"/>
        <w:rPr>
          <w:sz w:val="24"/>
          <w:szCs w:val="24"/>
          <w:color w:val="auto"/>
        </w:rPr>
      </w:pPr>
    </w:p>
    <w:p>
      <w:pPr>
        <w:sectPr>
          <w:pgSz w:w="11900" w:h="16838" w:orient="portrait"/>
          <w:cols w:equalWidth="0" w:num="4">
            <w:col w:w="2140" w:space="720"/>
            <w:col w:w="4080" w:space="720"/>
            <w:col w:w="1780" w:space="720"/>
            <w:col w:w="1040"/>
          </w:cols>
          <w:pgMar w:left="320" w:top="473" w:right="379" w:bottom="1440" w:gutter="0" w:footer="0" w:header="0"/>
          <w:type w:val="continuous"/>
        </w:sectPr>
      </w:pPr>
    </w:p>
    <w:p>
      <w:pPr>
        <w:ind w:right="5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30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8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4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86" w:lineRule="exact"/>
        <w:rPr>
          <w:sz w:val="24"/>
          <w:szCs w:val="24"/>
          <w:color w:val="auto"/>
        </w:rPr>
      </w:pPr>
    </w:p>
    <w:p>
      <w:pPr>
        <w:ind w:right="280"/>
        <w:spacing w:after="0" w:line="301" w:lineRule="auto"/>
        <w:rPr>
          <w:sz w:val="20"/>
          <w:szCs w:val="20"/>
          <w:color w:val="auto"/>
        </w:rPr>
      </w:pPr>
      <w:r>
        <w:rPr>
          <w:rFonts w:ascii="Times New Roman" w:cs="Times New Roman" w:eastAsia="Times New Roman" w:hAnsi="Times New Roman"/>
          <w:sz w:val="14"/>
          <w:szCs w:val="14"/>
          <w:color w:val="auto"/>
        </w:rPr>
        <w:t>Aggregate market value of voting and non-voting common equity held by non-affiliates of the registrant as of June 30, 2023 (the last business day of the registrant’s most recently completed second fiscal quarter): $278,307,771*</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outstanding as of March 8, 2024: 34,430,769</w:t>
      </w:r>
    </w:p>
    <w:p>
      <w:pPr>
        <w:spacing w:after="0" w:line="109" w:lineRule="exact"/>
        <w:rPr>
          <w:sz w:val="24"/>
          <w:szCs w:val="24"/>
          <w:color w:val="auto"/>
        </w:rPr>
      </w:pPr>
    </w:p>
    <w:p>
      <w:pPr>
        <w:ind w:left="360" w:right="500" w:hanging="334"/>
        <w:spacing w:after="0" w:line="234" w:lineRule="auto"/>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this figure, an aggregate of 7,361,458 shares of Common Stock beneficially owned by John D. Gottwald, William M. Gottwald, and James T. Gottwald and the members of their immediate families has been excluded because the shares are deemed to be held by affiliates. The aggregate market value has been computed based on the closing price in the New York Stock Exchange on June 30, 2023.</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Portions of the Tredegar Corporation Proxy Statement for the 2024 Annual Meeting of Shareholders (the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3" w:right="379" w:bottom="1440" w:gutter="0" w:footer="0" w:header="0"/>
          <w:type w:val="continuous"/>
        </w:sectPr>
      </w:pPr>
    </w:p>
    <w:bookmarkStart w:id="1" w:name="page2"/>
    <w:bookmarkEnd w:id="1"/>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1B</w:t>
            </w:r>
            <w:r>
              <w:rPr>
                <w:rFonts w:ascii="Times New Roman" w:cs="Times New Roman" w:eastAsia="Times New Roman" w:hAnsi="Times New Roman"/>
                <w:sz w:val="18"/>
                <w:szCs w:val="18"/>
                <w:color w:val="000000"/>
              </w:rPr>
              <w:t>.</w:t>
            </w: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Cybersecurity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3</w:t>
            </w:r>
            <w:r>
              <w:rPr>
                <w:rFonts w:ascii="Times New Roman" w:cs="Times New Roman" w:eastAsia="Times New Roman" w:hAnsi="Times New Roman"/>
                <w:sz w:val="18"/>
                <w:szCs w:val="18"/>
                <w:color w:val="000000"/>
                <w:w w:val="97"/>
              </w:rPr>
              <w:t>.</w:t>
            </w:r>
          </w:p>
        </w:tc>
        <w:tc>
          <w:tcPr>
            <w:tcW w:w="2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2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9A.</w:t>
            </w: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88"/>
              </w:rPr>
              <w:t>Item 9C</w:t>
            </w:r>
            <w:r>
              <w:rPr>
                <w:rFonts w:ascii="Times New Roman" w:cs="Times New Roman" w:eastAsia="Times New Roman" w:hAnsi="Times New Roman"/>
                <w:sz w:val="18"/>
                <w:szCs w:val="18"/>
                <w:color w:val="000000"/>
                <w:w w:val="88"/>
              </w:rPr>
              <w:t>.</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4"/>
              </w:rPr>
              <w:t>Part III</w:t>
            </w: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180" w:type="dxa"/>
            <w:vAlign w:val="bottom"/>
            <w:gridSpan w:val="2"/>
          </w:tcPr>
          <w:p>
            <w:pPr>
              <w:spacing w:after="0"/>
              <w:rPr>
                <w:sz w:val="19"/>
                <w:szCs w:val="19"/>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0"/>
        </w:trPr>
        <w:tc>
          <w:tcPr>
            <w:tcW w:w="20" w:type="dxa"/>
            <w:vAlign w:val="bottom"/>
          </w:tcPr>
          <w:p>
            <w:pPr>
              <w:spacing w:after="0"/>
              <w:rPr>
                <w:sz w:val="24"/>
                <w:szCs w:val="24"/>
                <w:color w:val="auto"/>
              </w:rPr>
            </w:pPr>
          </w:p>
        </w:tc>
        <w:tc>
          <w:tcPr>
            <w:tcW w:w="6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Form 10-K Summary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Business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Tredegar Corporation (“Tredegar”) is engaged, through its subsidiaries, in the manufacture of aluminum extrusions, polyethylene (“PE”) plastic films and polyester (“PET”) films. Unless the context requires otherwise, all references herein to “Tredegar,” “the Company,” “we,” “us” or “our” are to Tredegar Corporation and its consolidated subsidiaries.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reportable business segments are Aluminum Extrusions, PE Films and Flexible Packaging Films (also referred to as “Terphane”).</w:t>
      </w:r>
    </w:p>
    <w:p>
      <w:pPr>
        <w:spacing w:after="0" w:line="10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Terphane to Oben Group (the “Contingent Terphane Sale”). Completion of the sale is contingent upon the satisfaction of customary closing conditions, including the receipt of certain competition filing approvals by authorities in Brazil and Columbia. For more information see “</w:t>
      </w:r>
      <w:r>
        <w:rPr>
          <w:rFonts w:ascii="Times New Roman" w:cs="Times New Roman" w:eastAsia="Times New Roman" w:hAnsi="Times New Roman"/>
          <w:sz w:val="18"/>
          <w:szCs w:val="18"/>
          <w:b w:val="1"/>
          <w:bCs w:val="1"/>
          <w:i w:val="1"/>
          <w:iCs w:val="1"/>
          <w:color w:val="auto"/>
        </w:rPr>
        <w:t>Status of Current Corporate Strategic Initiatives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Agreement to Sell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Terphane</w:t>
      </w:r>
      <w:r>
        <w:rPr>
          <w:rFonts w:ascii="Times New Roman" w:cs="Times New Roman" w:eastAsia="Times New Roman" w:hAnsi="Times New Roman"/>
          <w:sz w:val="18"/>
          <w:szCs w:val="18"/>
          <w:color w:val="auto"/>
        </w:rPr>
        <w:t>” in Item 7. “Management’s Discussion and Analysis of Financial Condition and Results of Operations” of this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(“Form 10-K”).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Bonnell Aluminum has manufacturing facilities located in the United States (“U.S.”).</w:t>
      </w:r>
    </w:p>
    <w:p>
      <w:pPr>
        <w:spacing w:after="0" w:line="54" w:lineRule="exact"/>
        <w:rPr>
          <w:sz w:val="20"/>
          <w:szCs w:val="20"/>
          <w:color w:val="auto"/>
        </w:rPr>
      </w:pPr>
    </w:p>
    <w:p>
      <w:pPr>
        <w:ind w:right="200" w:firstLine="405"/>
        <w:spacing w:after="0" w:line="224" w:lineRule="auto"/>
        <w:rPr>
          <w:sz w:val="20"/>
          <w:szCs w:val="20"/>
          <w:color w:val="auto"/>
        </w:rPr>
      </w:pPr>
      <w:r>
        <w:rPr>
          <w:rFonts w:ascii="Times New Roman" w:cs="Times New Roman" w:eastAsia="Times New Roman" w:hAnsi="Times New Roman"/>
          <w:sz w:val="18"/>
          <w:szCs w:val="18"/>
          <w:color w:val="auto"/>
        </w:rPr>
        <w:t>Aluminum Extrusions manufactures mill (unfinished), machined, anodized and painted, and thermally improved aluminum extrusions for sale directly to fabricators and distributors. It also manufactures and sells branded product lines: Futura Transitions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 (flooring trims) and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 (structural aluminum framing systems). Aluminum Extrusions competes primarily on the basis of product quality, service and price. Sales are made predominantly in the U.S. The end-use markets for Aluminum Extrusions are cyclical and seasonal in nature.</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end-uses in each of Aluminum Extrusions’ primary market segments include: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40" w:type="dxa"/>
            <w:vAlign w:val="bottom"/>
            <w:tcBorders>
              <w:top w:val="single" w:sz="8" w:color="auto"/>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Major Markets</w:t>
            </w:r>
          </w:p>
        </w:tc>
        <w:tc>
          <w:tcPr>
            <w:tcW w:w="6500" w:type="dxa"/>
            <w:vAlign w:val="bottom"/>
            <w:tcBorders>
              <w:top w:val="single" w:sz="8" w:color="auto"/>
              <w:bottom w:val="single" w:sz="8" w:color="auto"/>
            </w:tcBorders>
          </w:tcPr>
          <w:p>
            <w:pPr>
              <w:ind w:left="3440"/>
              <w:spacing w:after="0"/>
              <w:rPr>
                <w:sz w:val="20"/>
                <w:szCs w:val="20"/>
                <w:color w:val="auto"/>
              </w:rPr>
            </w:pPr>
            <w:r>
              <w:rPr>
                <w:rFonts w:ascii="Times New Roman" w:cs="Times New Roman" w:eastAsia="Times New Roman" w:hAnsi="Times New Roman"/>
                <w:sz w:val="18"/>
                <w:szCs w:val="18"/>
                <w:b w:val="1"/>
                <w:bCs w:val="1"/>
                <w:color w:val="auto"/>
              </w:rPr>
              <w:t>End-Uses</w:t>
            </w:r>
          </w:p>
        </w:tc>
      </w:tr>
      <w:tr>
        <w:trPr>
          <w:trHeight w:val="34"/>
        </w:trPr>
        <w:tc>
          <w:tcPr>
            <w:tcW w:w="474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176"/>
        </w:trPr>
        <w:tc>
          <w:tcPr>
            <w:tcW w:w="4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Building &amp; construction (“B&amp;C”)- nonresidential</w:t>
            </w:r>
          </w:p>
        </w:tc>
        <w:tc>
          <w:tcPr>
            <w:tcW w:w="6500" w:type="dxa"/>
            <w:vAlign w:val="bottom"/>
            <w:shd w:val="clear" w:color="auto" w:fill="CCEEFF"/>
          </w:tcPr>
          <w:p>
            <w:pPr>
              <w:ind w:left="1120"/>
              <w:spacing w:after="0" w:line="176" w:lineRule="exact"/>
              <w:rPr>
                <w:sz w:val="20"/>
                <w:szCs w:val="20"/>
                <w:color w:val="auto"/>
              </w:rPr>
            </w:pPr>
            <w:r>
              <w:rPr>
                <w:rFonts w:ascii="Times New Roman" w:cs="Times New Roman" w:eastAsia="Times New Roman" w:hAnsi="Times New Roman"/>
                <w:sz w:val="18"/>
                <w:szCs w:val="18"/>
                <w:color w:val="auto"/>
              </w:rPr>
              <w:t>Commercial windows and doors, curtain walls, storefronts and entrances,</w:t>
            </w:r>
          </w:p>
        </w:tc>
      </w:tr>
      <w:tr>
        <w:trPr>
          <w:trHeight w:val="175"/>
        </w:trPr>
        <w:tc>
          <w:tcPr>
            <w:tcW w:w="4740" w:type="dxa"/>
            <w:vAlign w:val="bottom"/>
            <w:shd w:val="clear" w:color="auto" w:fill="CCEEFF"/>
          </w:tcPr>
          <w:p>
            <w:pPr>
              <w:spacing w:after="0"/>
              <w:rPr>
                <w:sz w:val="15"/>
                <w:szCs w:val="15"/>
                <w:color w:val="auto"/>
              </w:rPr>
            </w:pPr>
          </w:p>
        </w:tc>
        <w:tc>
          <w:tcPr>
            <w:tcW w:w="6500" w:type="dxa"/>
            <w:vAlign w:val="bottom"/>
            <w:shd w:val="clear" w:color="auto" w:fill="CCEEFF"/>
          </w:tcPr>
          <w:p>
            <w:pPr>
              <w:ind w:left="1120"/>
              <w:spacing w:after="0" w:line="176" w:lineRule="exact"/>
              <w:rPr>
                <w:sz w:val="20"/>
                <w:szCs w:val="20"/>
                <w:color w:val="auto"/>
              </w:rPr>
            </w:pPr>
            <w:r>
              <w:rPr>
                <w:rFonts w:ascii="Times New Roman" w:cs="Times New Roman" w:eastAsia="Times New Roman" w:hAnsi="Times New Roman"/>
                <w:sz w:val="18"/>
                <w:szCs w:val="18"/>
                <w:color w:val="auto"/>
              </w:rPr>
              <w:t>automatic entry doors, walkway covers, ducts, louvers and vents, office</w:t>
            </w:r>
          </w:p>
        </w:tc>
      </w:tr>
      <w:tr>
        <w:trPr>
          <w:trHeight w:val="184"/>
        </w:trPr>
        <w:tc>
          <w:tcPr>
            <w:tcW w:w="4740" w:type="dxa"/>
            <w:vAlign w:val="bottom"/>
            <w:shd w:val="clear" w:color="auto" w:fill="CCEEFF"/>
          </w:tcPr>
          <w:p>
            <w:pPr>
              <w:spacing w:after="0"/>
              <w:rPr>
                <w:sz w:val="16"/>
                <w:szCs w:val="16"/>
                <w:color w:val="auto"/>
              </w:rPr>
            </w:pPr>
          </w:p>
        </w:tc>
        <w:tc>
          <w:tcPr>
            <w:tcW w:w="6500" w:type="dxa"/>
            <w:vAlign w:val="bottom"/>
            <w:shd w:val="clear" w:color="auto" w:fill="CCEEFF"/>
          </w:tcPr>
          <w:p>
            <w:pPr>
              <w:ind w:left="1120"/>
              <w:spacing w:after="0" w:line="184" w:lineRule="exact"/>
              <w:rPr>
                <w:sz w:val="20"/>
                <w:szCs w:val="20"/>
                <w:color w:val="auto"/>
              </w:rPr>
            </w:pPr>
            <w:r>
              <w:rPr>
                <w:rFonts w:ascii="Times New Roman" w:cs="Times New Roman" w:eastAsia="Times New Roman" w:hAnsi="Times New Roman"/>
                <w:sz w:val="18"/>
                <w:szCs w:val="18"/>
                <w:color w:val="auto"/>
              </w:rPr>
              <w:t>wall panels, partitions and interior enclosures, acoustical walls and</w:t>
            </w:r>
          </w:p>
        </w:tc>
      </w:tr>
      <w:tr>
        <w:trPr>
          <w:trHeight w:val="180"/>
        </w:trPr>
        <w:tc>
          <w:tcPr>
            <w:tcW w:w="4740" w:type="dxa"/>
            <w:vAlign w:val="bottom"/>
            <w:shd w:val="clear" w:color="auto" w:fill="CCEEFF"/>
          </w:tcPr>
          <w:p>
            <w:pPr>
              <w:spacing w:after="0"/>
              <w:rPr>
                <w:sz w:val="15"/>
                <w:szCs w:val="15"/>
                <w:color w:val="auto"/>
              </w:rPr>
            </w:pPr>
          </w:p>
        </w:tc>
        <w:tc>
          <w:tcPr>
            <w:tcW w:w="6500" w:type="dxa"/>
            <w:vAlign w:val="bottom"/>
            <w:shd w:val="clear" w:color="auto" w:fill="CCEEFF"/>
          </w:tcPr>
          <w:p>
            <w:pPr>
              <w:ind w:left="1120"/>
              <w:spacing w:after="0" w:line="181" w:lineRule="exact"/>
              <w:rPr>
                <w:sz w:val="20"/>
                <w:szCs w:val="20"/>
                <w:color w:val="auto"/>
              </w:rPr>
            </w:pPr>
            <w:r>
              <w:rPr>
                <w:rFonts w:ascii="Times New Roman" w:cs="Times New Roman" w:eastAsia="Times New Roman" w:hAnsi="Times New Roman"/>
                <w:sz w:val="18"/>
                <w:szCs w:val="18"/>
                <w:color w:val="auto"/>
              </w:rPr>
              <w:t>ceilings, point of purchase displays, pre-engineered structures, and</w:t>
            </w:r>
          </w:p>
        </w:tc>
      </w:tr>
      <w:tr>
        <w:trPr>
          <w:trHeight w:val="243"/>
        </w:trPr>
        <w:tc>
          <w:tcPr>
            <w:tcW w:w="4740" w:type="dxa"/>
            <w:vAlign w:val="bottom"/>
            <w:shd w:val="clear" w:color="auto" w:fill="CCEEFF"/>
          </w:tcPr>
          <w:p>
            <w:pPr>
              <w:spacing w:after="0"/>
              <w:rPr>
                <w:sz w:val="21"/>
                <w:szCs w:val="21"/>
                <w:color w:val="auto"/>
              </w:rPr>
            </w:pPr>
          </w:p>
        </w:tc>
        <w:tc>
          <w:tcPr>
            <w:tcW w:w="6500" w:type="dxa"/>
            <w:vAlign w:val="bottom"/>
            <w:shd w:val="clear" w:color="auto" w:fill="CCEEFF"/>
          </w:tcPr>
          <w:p>
            <w:pPr>
              <w:ind w:left="1120"/>
              <w:spacing w:after="0" w:line="243" w:lineRule="exact"/>
              <w:rPr>
                <w:sz w:val="20"/>
                <w:szCs w:val="20"/>
                <w:color w:val="auto"/>
              </w:rPr>
            </w:pPr>
            <w:r>
              <w:rPr>
                <w:rFonts w:ascii="Times New Roman" w:cs="Times New Roman" w:eastAsia="Times New Roman" w:hAnsi="Times New Roman"/>
                <w:sz w:val="18"/>
                <w:szCs w:val="18"/>
                <w:color w:val="auto"/>
              </w:rPr>
              <w:t>flooring trims (Futura Transitions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w:t>
            </w:r>
          </w:p>
        </w:tc>
      </w:tr>
      <w:tr>
        <w:trPr>
          <w:trHeight w:val="175"/>
        </w:trPr>
        <w:tc>
          <w:tcPr>
            <w:tcW w:w="4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B&amp;C - residential</w:t>
            </w:r>
          </w:p>
        </w:tc>
        <w:tc>
          <w:tcPr>
            <w:tcW w:w="6500" w:type="dxa"/>
            <w:vAlign w:val="bottom"/>
          </w:tcPr>
          <w:p>
            <w:pPr>
              <w:ind w:left="1120"/>
              <w:spacing w:after="0" w:line="176" w:lineRule="exact"/>
              <w:rPr>
                <w:sz w:val="20"/>
                <w:szCs w:val="20"/>
                <w:color w:val="auto"/>
              </w:rPr>
            </w:pPr>
            <w:r>
              <w:rPr>
                <w:rFonts w:ascii="Times New Roman" w:cs="Times New Roman" w:eastAsia="Times New Roman" w:hAnsi="Times New Roman"/>
                <w:sz w:val="18"/>
                <w:szCs w:val="18"/>
                <w:color w:val="auto"/>
              </w:rPr>
              <w:t>Residential windows and doors, shower and tub enclosures, railing and</w:t>
            </w:r>
          </w:p>
        </w:tc>
      </w:tr>
      <w:tr>
        <w:trPr>
          <w:trHeight w:val="239"/>
        </w:trPr>
        <w:tc>
          <w:tcPr>
            <w:tcW w:w="4740" w:type="dxa"/>
            <w:vAlign w:val="bottom"/>
          </w:tcPr>
          <w:p>
            <w:pPr>
              <w:spacing w:after="0"/>
              <w:rPr>
                <w:sz w:val="20"/>
                <w:szCs w:val="20"/>
                <w:color w:val="auto"/>
              </w:rPr>
            </w:pPr>
          </w:p>
        </w:tc>
        <w:tc>
          <w:tcPr>
            <w:tcW w:w="6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support systems, venetian blinds, and swimming pools</w:t>
            </w:r>
          </w:p>
        </w:tc>
      </w:tr>
      <w:tr>
        <w:trPr>
          <w:trHeight w:val="180"/>
        </w:trPr>
        <w:tc>
          <w:tcPr>
            <w:tcW w:w="47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Automotive &amp; transportation</w:t>
            </w:r>
          </w:p>
        </w:tc>
        <w:tc>
          <w:tcPr>
            <w:tcW w:w="6500" w:type="dxa"/>
            <w:vAlign w:val="bottom"/>
            <w:shd w:val="clear" w:color="auto" w:fill="CCEEFF"/>
          </w:tcPr>
          <w:p>
            <w:pPr>
              <w:ind w:left="1120"/>
              <w:spacing w:after="0" w:line="180" w:lineRule="exact"/>
              <w:rPr>
                <w:sz w:val="20"/>
                <w:szCs w:val="20"/>
                <w:color w:val="auto"/>
              </w:rPr>
            </w:pPr>
            <w:r>
              <w:rPr>
                <w:rFonts w:ascii="Times New Roman" w:cs="Times New Roman" w:eastAsia="Times New Roman" w:hAnsi="Times New Roman"/>
                <w:sz w:val="18"/>
                <w:szCs w:val="18"/>
                <w:color w:val="auto"/>
              </w:rPr>
              <w:t>Automotive and light truck structural components, battery enclosures for</w:t>
            </w:r>
          </w:p>
        </w:tc>
      </w:tr>
      <w:tr>
        <w:trPr>
          <w:trHeight w:val="175"/>
        </w:trPr>
        <w:tc>
          <w:tcPr>
            <w:tcW w:w="4740" w:type="dxa"/>
            <w:vAlign w:val="bottom"/>
            <w:shd w:val="clear" w:color="auto" w:fill="CCEEFF"/>
          </w:tcPr>
          <w:p>
            <w:pPr>
              <w:spacing w:after="0"/>
              <w:rPr>
                <w:sz w:val="15"/>
                <w:szCs w:val="15"/>
                <w:color w:val="auto"/>
              </w:rPr>
            </w:pPr>
          </w:p>
        </w:tc>
        <w:tc>
          <w:tcPr>
            <w:tcW w:w="6500" w:type="dxa"/>
            <w:vAlign w:val="bottom"/>
            <w:shd w:val="clear" w:color="auto" w:fill="CCEEFF"/>
          </w:tcPr>
          <w:p>
            <w:pPr>
              <w:ind w:left="1120"/>
              <w:spacing w:after="0" w:line="176" w:lineRule="exact"/>
              <w:rPr>
                <w:sz w:val="20"/>
                <w:szCs w:val="20"/>
                <w:color w:val="auto"/>
              </w:rPr>
            </w:pPr>
            <w:r>
              <w:rPr>
                <w:rFonts w:ascii="Times New Roman" w:cs="Times New Roman" w:eastAsia="Times New Roman" w:hAnsi="Times New Roman"/>
                <w:sz w:val="18"/>
                <w:szCs w:val="18"/>
                <w:color w:val="auto"/>
              </w:rPr>
              <w:t>electric vehicles, after-market automotive accessories, grills for heavy</w:t>
            </w:r>
          </w:p>
        </w:tc>
      </w:tr>
      <w:tr>
        <w:trPr>
          <w:trHeight w:val="243"/>
        </w:trPr>
        <w:tc>
          <w:tcPr>
            <w:tcW w:w="4740" w:type="dxa"/>
            <w:vAlign w:val="bottom"/>
            <w:shd w:val="clear" w:color="auto" w:fill="CCEEFF"/>
          </w:tcPr>
          <w:p>
            <w:pPr>
              <w:spacing w:after="0"/>
              <w:rPr>
                <w:sz w:val="21"/>
                <w:szCs w:val="21"/>
                <w:color w:val="auto"/>
              </w:rPr>
            </w:pPr>
          </w:p>
        </w:tc>
        <w:tc>
          <w:tcPr>
            <w:tcW w:w="6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trucks, travel trailers and recreation vehicles</w:t>
            </w:r>
          </w:p>
        </w:tc>
      </w:tr>
      <w:tr>
        <w:trPr>
          <w:trHeight w:val="176"/>
        </w:trPr>
        <w:tc>
          <w:tcPr>
            <w:tcW w:w="4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Consumer durables</w:t>
            </w:r>
          </w:p>
        </w:tc>
        <w:tc>
          <w:tcPr>
            <w:tcW w:w="6500" w:type="dxa"/>
            <w:vAlign w:val="bottom"/>
          </w:tcPr>
          <w:p>
            <w:pPr>
              <w:ind w:left="1120"/>
              <w:spacing w:after="0" w:line="176" w:lineRule="exact"/>
              <w:rPr>
                <w:sz w:val="20"/>
                <w:szCs w:val="20"/>
                <w:color w:val="auto"/>
              </w:rPr>
            </w:pPr>
            <w:r>
              <w:rPr>
                <w:rFonts w:ascii="Times New Roman" w:cs="Times New Roman" w:eastAsia="Times New Roman" w:hAnsi="Times New Roman"/>
                <w:sz w:val="18"/>
                <w:szCs w:val="18"/>
                <w:color w:val="auto"/>
              </w:rPr>
              <w:t>Office furniture, pleasure boats, refrigerators and freezers, appliances and</w:t>
            </w:r>
          </w:p>
        </w:tc>
      </w:tr>
      <w:tr>
        <w:trPr>
          <w:trHeight w:val="239"/>
        </w:trPr>
        <w:tc>
          <w:tcPr>
            <w:tcW w:w="4740" w:type="dxa"/>
            <w:vAlign w:val="bottom"/>
          </w:tcPr>
          <w:p>
            <w:pPr>
              <w:spacing w:after="0"/>
              <w:rPr>
                <w:sz w:val="20"/>
                <w:szCs w:val="20"/>
                <w:color w:val="auto"/>
              </w:rPr>
            </w:pPr>
          </w:p>
        </w:tc>
        <w:tc>
          <w:tcPr>
            <w:tcW w:w="6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sporting goods</w:t>
            </w:r>
          </w:p>
        </w:tc>
      </w:tr>
      <w:tr>
        <w:trPr>
          <w:trHeight w:val="180"/>
        </w:trPr>
        <w:tc>
          <w:tcPr>
            <w:tcW w:w="47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Machinery &amp; equipment</w:t>
            </w:r>
          </w:p>
        </w:tc>
        <w:tc>
          <w:tcPr>
            <w:tcW w:w="6500" w:type="dxa"/>
            <w:vAlign w:val="bottom"/>
            <w:shd w:val="clear" w:color="auto" w:fill="CCEEFF"/>
          </w:tcPr>
          <w:p>
            <w:pPr>
              <w:ind w:left="1120"/>
              <w:spacing w:after="0" w:line="180" w:lineRule="exact"/>
              <w:rPr>
                <w:sz w:val="20"/>
                <w:szCs w:val="20"/>
                <w:color w:val="auto"/>
              </w:rPr>
            </w:pPr>
            <w:r>
              <w:rPr>
                <w:rFonts w:ascii="Times New Roman" w:cs="Times New Roman" w:eastAsia="Times New Roman" w:hAnsi="Times New Roman"/>
                <w:sz w:val="18"/>
                <w:szCs w:val="18"/>
                <w:color w:val="auto"/>
              </w:rPr>
              <w:t>Material handling equipment, conveyor systems, medical equipment,</w:t>
            </w:r>
          </w:p>
        </w:tc>
      </w:tr>
      <w:tr>
        <w:trPr>
          <w:trHeight w:val="175"/>
        </w:trPr>
        <w:tc>
          <w:tcPr>
            <w:tcW w:w="4740" w:type="dxa"/>
            <w:vAlign w:val="bottom"/>
            <w:shd w:val="clear" w:color="auto" w:fill="CCEEFF"/>
          </w:tcPr>
          <w:p>
            <w:pPr>
              <w:spacing w:after="0"/>
              <w:rPr>
                <w:sz w:val="15"/>
                <w:szCs w:val="15"/>
                <w:color w:val="auto"/>
              </w:rPr>
            </w:pPr>
          </w:p>
        </w:tc>
        <w:tc>
          <w:tcPr>
            <w:tcW w:w="6500" w:type="dxa"/>
            <w:vAlign w:val="bottom"/>
            <w:shd w:val="clear" w:color="auto" w:fill="CCEEFF"/>
          </w:tcPr>
          <w:p>
            <w:pPr>
              <w:ind w:left="1120"/>
              <w:spacing w:after="0" w:line="176" w:lineRule="exact"/>
              <w:rPr>
                <w:sz w:val="20"/>
                <w:szCs w:val="20"/>
                <w:color w:val="auto"/>
              </w:rPr>
            </w:pPr>
            <w:r>
              <w:rPr>
                <w:rFonts w:ascii="Times New Roman" w:cs="Times New Roman" w:eastAsia="Times New Roman" w:hAnsi="Times New Roman"/>
                <w:sz w:val="16"/>
                <w:szCs w:val="16"/>
                <w:color w:val="auto"/>
              </w:rPr>
              <w:t>industrial fans and aluminum framing systems (TSLOTS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by Bonnell</w:t>
            </w:r>
          </w:p>
        </w:tc>
      </w:tr>
      <w:tr>
        <w:trPr>
          <w:trHeight w:val="243"/>
        </w:trPr>
        <w:tc>
          <w:tcPr>
            <w:tcW w:w="4740" w:type="dxa"/>
            <w:vAlign w:val="bottom"/>
            <w:shd w:val="clear" w:color="auto" w:fill="CCEEFF"/>
          </w:tcPr>
          <w:p>
            <w:pPr>
              <w:spacing w:after="0"/>
              <w:rPr>
                <w:sz w:val="21"/>
                <w:szCs w:val="21"/>
                <w:color w:val="auto"/>
              </w:rPr>
            </w:pPr>
          </w:p>
        </w:tc>
        <w:tc>
          <w:tcPr>
            <w:tcW w:w="6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Aluminum)</w:t>
            </w:r>
          </w:p>
        </w:tc>
      </w:tr>
    </w:tbl>
    <w:p>
      <w:pPr>
        <w:spacing w:after="0" w:line="1" w:lineRule="exact"/>
        <w:rPr>
          <w:sz w:val="20"/>
          <w:szCs w:val="20"/>
          <w:color w:val="auto"/>
        </w:rPr>
      </w:pPr>
    </w:p>
    <w:p>
      <w:pPr>
        <w:sectPr>
          <w:pgSz w:w="11900" w:h="16838" w:orient="portrait"/>
          <w:cols w:equalWidth="0" w:num="1">
            <w:col w:w="11240"/>
          </w:cols>
          <w:pgMar w:left="320" w:top="1130"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Distribution (metal service centers specializing in stock and release programs and custom fabrications to small manufacturers)</w:t>
      </w:r>
    </w:p>
    <w:p>
      <w:pPr>
        <w:spacing w:after="0" w:line="20" w:lineRule="exact"/>
        <w:rPr>
          <w:sz w:val="20"/>
          <w:szCs w:val="20"/>
          <w:color w:val="auto"/>
        </w:rPr>
      </w:pPr>
      <w:r>
        <w:rPr>
          <w:sz w:val="20"/>
          <w:szCs w:val="20"/>
          <w:color w:val="auto"/>
        </w:rPr>
        <w:br w:type="column"/>
      </w:r>
    </w:p>
    <w:p>
      <w:pPr>
        <w:ind w:right="100"/>
        <w:spacing w:after="0" w:line="224" w:lineRule="auto"/>
        <w:rPr>
          <w:sz w:val="20"/>
          <w:szCs w:val="20"/>
          <w:color w:val="auto"/>
        </w:rPr>
      </w:pPr>
      <w:r>
        <w:rPr>
          <w:rFonts w:ascii="Times New Roman" w:cs="Times New Roman" w:eastAsia="Times New Roman" w:hAnsi="Times New Roman"/>
          <w:sz w:val="18"/>
          <w:szCs w:val="18"/>
          <w:color w:val="auto"/>
        </w:rPr>
        <w:t>Various custom profiles including storm shutters, pleasure boat accessories, theater set structures and various standard profiles (including rod, bar, tube and pipe)</w:t>
      </w:r>
    </w:p>
    <w:p>
      <w:pPr>
        <w:spacing w:after="0" w:line="1" w:lineRule="exact"/>
        <w:rPr>
          <w:sz w:val="20"/>
          <w:szCs w:val="20"/>
          <w:color w:val="auto"/>
        </w:rPr>
      </w:pPr>
    </w:p>
    <w:p>
      <w:pPr>
        <w:sectPr>
          <w:pgSz w:w="11900" w:h="16838" w:orient="portrait"/>
          <w:cols w:equalWidth="0" w:num="2">
            <w:col w:w="5600" w:space="260"/>
            <w:col w:w="5380"/>
          </w:cols>
          <w:pgMar w:left="320" w:top="1130"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Electrical &amp; renewable energy</w:t>
            </w:r>
          </w:p>
        </w:tc>
        <w:tc>
          <w:tcPr>
            <w:tcW w:w="7340" w:type="dxa"/>
            <w:vAlign w:val="bottom"/>
            <w:shd w:val="clear" w:color="auto" w:fill="CCEEFF"/>
          </w:tcPr>
          <w:p>
            <w:pPr>
              <w:ind w:left="1960"/>
              <w:spacing w:after="0" w:line="190" w:lineRule="exact"/>
              <w:rPr>
                <w:sz w:val="20"/>
                <w:szCs w:val="20"/>
                <w:color w:val="auto"/>
              </w:rPr>
            </w:pPr>
            <w:r>
              <w:rPr>
                <w:rFonts w:ascii="Times New Roman" w:cs="Times New Roman" w:eastAsia="Times New Roman" w:hAnsi="Times New Roman"/>
                <w:sz w:val="18"/>
                <w:szCs w:val="18"/>
                <w:color w:val="auto"/>
              </w:rPr>
              <w:t>Lighting fixtures, electronic apparatus, solar panel brackets and rigid and</w:t>
            </w:r>
          </w:p>
        </w:tc>
      </w:tr>
      <w:tr>
        <w:trPr>
          <w:trHeight w:val="250"/>
        </w:trPr>
        <w:tc>
          <w:tcPr>
            <w:tcW w:w="3900" w:type="dxa"/>
            <w:vAlign w:val="bottom"/>
            <w:tcBorders>
              <w:bottom w:val="single" w:sz="8" w:color="auto"/>
            </w:tcBorders>
            <w:shd w:val="clear" w:color="auto" w:fill="CCEEFF"/>
          </w:tcPr>
          <w:p>
            <w:pPr>
              <w:spacing w:after="0"/>
              <w:rPr>
                <w:sz w:val="21"/>
                <w:szCs w:val="21"/>
                <w:color w:val="auto"/>
              </w:rPr>
            </w:pPr>
          </w:p>
        </w:tc>
        <w:tc>
          <w:tcPr>
            <w:tcW w:w="7340" w:type="dxa"/>
            <w:vAlign w:val="bottom"/>
            <w:tcBorders>
              <w:bottom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flexible conduits</w:t>
            </w:r>
          </w:p>
        </w:tc>
      </w:tr>
      <w:tr>
        <w:trPr>
          <w:trHeight w:val="850"/>
        </w:trPr>
        <w:tc>
          <w:tcPr>
            <w:tcW w:w="3900" w:type="dxa"/>
            <w:vAlign w:val="bottom"/>
          </w:tcPr>
          <w:p>
            <w:pPr>
              <w:spacing w:after="0"/>
              <w:rPr>
                <w:sz w:val="24"/>
                <w:szCs w:val="24"/>
                <w:color w:val="auto"/>
              </w:rPr>
            </w:pPr>
          </w:p>
        </w:tc>
        <w:tc>
          <w:tcPr>
            <w:tcW w:w="73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390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 w:name="page4"/>
    <w:bookmarkEnd w:id="3"/>
    <w:p>
      <w:pPr>
        <w:ind w:left="420"/>
        <w:spacing w:after="0"/>
        <w:rPr>
          <w:sz w:val="20"/>
          <w:szCs w:val="20"/>
          <w:color w:val="auto"/>
        </w:rPr>
      </w:pPr>
      <w:r>
        <w:rPr>
          <w:rFonts w:ascii="Times New Roman" w:cs="Times New Roman" w:eastAsia="Times New Roman" w:hAnsi="Times New Roman"/>
          <w:sz w:val="18"/>
          <w:szCs w:val="18"/>
          <w:color w:val="auto"/>
        </w:rPr>
        <w:t>Aluminum Extrusions’ net sales (sales less freight) by market segment for the years ended December 31, 2023, 2022 and 2021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tcPr>
          <w:p>
            <w:pPr>
              <w:spacing w:after="0"/>
              <w:rPr>
                <w:sz w:val="22"/>
                <w:szCs w:val="22"/>
                <w:color w:val="auto"/>
              </w:rPr>
            </w:pPr>
          </w:p>
        </w:tc>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of Aluminum Extrusions Net Sales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by Market Segment</w:t>
            </w:r>
          </w:p>
        </w:tc>
        <w:tc>
          <w:tcPr>
            <w:tcW w:w="1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8"/>
        </w:trPr>
        <w:tc>
          <w:tcPr>
            <w:tcW w:w="278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B&amp;C:</w:t>
            </w:r>
          </w:p>
        </w:tc>
        <w:tc>
          <w:tcPr>
            <w:tcW w:w="5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0"/>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5480" w:type="dxa"/>
            <w:vAlign w:val="bottom"/>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5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5480" w:type="dxa"/>
            <w:vAlign w:val="bottom"/>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9%</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30"/>
        </w:trPr>
        <w:tc>
          <w:tcPr>
            <w:tcW w:w="2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5480" w:type="dxa"/>
            <w:vAlign w:val="bottom"/>
            <w:tcBorders>
              <w:bottom w:val="single" w:sz="8" w:color="auto"/>
            </w:tcBorders>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81" w:lineRule="exact"/>
        <w:rPr>
          <w:sz w:val="20"/>
          <w:szCs w:val="20"/>
          <w:color w:val="auto"/>
        </w:rPr>
      </w:pPr>
    </w:p>
    <w:p>
      <w:pPr>
        <w:ind w:left="180" w:right="320" w:hanging="154"/>
        <w:spacing w:after="0" w:line="245" w:lineRule="auto"/>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net sales as its measure of revenues from external customers at the segment level. For more business segment information, see Note 13 “Business Segments” to the Consolidated Financial Statements included in Item 15. “Exhibits and Financial Statement Schedules” of this Form 10-K (“Item 15”).</w:t>
      </w:r>
    </w:p>
    <w:p>
      <w:pPr>
        <w:spacing w:after="0" w:line="173"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In 2023, 2022 and 2021, Aluminum Extrusions net sales accounted for approximately 70%, 71% and 67% of Tredegar’s consolidated net sales, respectively.</w:t>
      </w:r>
    </w:p>
    <w:p>
      <w:pPr>
        <w:spacing w:after="0" w:line="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Open Orders</w:t>
      </w:r>
      <w:r>
        <w:rPr>
          <w:rFonts w:ascii="Times New Roman" w:cs="Times New Roman" w:eastAsia="Times New Roman" w:hAnsi="Times New Roman"/>
          <w:sz w:val="18"/>
          <w:szCs w:val="18"/>
          <w:color w:val="auto"/>
        </w:rPr>
        <w:t>. Overall open orders in Aluminum Extrusions were approximately $48.0 million, or 14 million pounds, at December 31, 2023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$136.0 million, or 41 million pounds, at December 31, 2022, a decrease of $88.0 million, or approximately 65%. This level is below the quarterly range of 21 to 27 million pounds in 2019 before pandemic-related disruptions that resulted in long lead times, driving a peak in open orders of approximately 100 million pounds during the first quarter of 2022. We believe that current open orders are below pre-pandemic levels due to higher interest rates, tighter lender requirements and the increase in remote working, which particularly impacts the non-residential B&amp;C end-use market. In addition, data indicates that aluminum extrusion imports increased significantly in recent years, especially during the pandemic, and some of Aluminum Extrusions’ customers may have sourced, and continue to source, aluminum extrusions from producers outside the U.S. Sales volume for Aluminum Extrusions, which the Company believes is cyclical and seasonal in nature due to its end-use markets, was 138.5 million pounds in 2023, 174.7 million pounds in 2022 and 183.4 million pounds in 2021.</w:t>
      </w:r>
    </w:p>
    <w:p>
      <w:pPr>
        <w:spacing w:after="0" w:line="5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Aluminum Extrusions consist of aluminum ingot, aluminum scrap and various alloys,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from domestic and foreign producers in open-market purchases and under annual contracts. Refer to Item 7A. "Quantitative and Qualitative Disclosures About Market Risk” of this Form 10-K (“Item 7A”) for additional information on aluminum price trends. Aluminum Extrusions believes that it has adequate supply agreements for aluminum raw materials in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108" w:lineRule="exact"/>
        <w:rPr>
          <w:sz w:val="20"/>
          <w:szCs w:val="20"/>
          <w:color w:val="auto"/>
        </w:rPr>
      </w:pPr>
    </w:p>
    <w:p>
      <w:pPr>
        <w:ind w:right="100" w:firstLine="405"/>
        <w:spacing w:after="0" w:line="244" w:lineRule="auto"/>
        <w:rPr>
          <w:sz w:val="20"/>
          <w:szCs w:val="20"/>
          <w:color w:val="auto"/>
        </w:rPr>
      </w:pPr>
      <w:r>
        <w:rPr>
          <w:rFonts w:ascii="Times New Roman" w:cs="Times New Roman" w:eastAsia="Times New Roman" w:hAnsi="Times New Roman"/>
          <w:sz w:val="18"/>
          <w:szCs w:val="18"/>
          <w:color w:val="auto"/>
        </w:rPr>
        <w:t>PE Films produces surface protection films, polyethylene overwrap films and films for other markets. Tredegar’s Surface Protection unit produces single- and multi-layer surface protection films sold under the UltraMask®, ForceField™, ForceField PEARL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Pearl A™ and Obsidian™ brand names. These films, which are manufactured at facilities in the U.S. and China, support manufacturers of optical and other specialty substrates used in high-technology applications, most notably protecting high-value components of flat panel and flexible displays used in televisions, monitors, notebooks, smartphones, tablets, e-readers, digital signage, semiconductors and automobiles during the manufacturing and transportation process. The Obsidian™ series of products is designed for usage in automotive applications. In 2023, 2022 and 2021, PE Films accounted for approximately 11%, 11% and 15% of Tredegar’s consolidated net sales, respectively.</w:t>
      </w:r>
    </w:p>
    <w:p>
      <w:pPr>
        <w:spacing w:after="0" w:line="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PE Films are polyethylene and polypropylene resins. These raw materials are obtained from domestic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foreign suppliers at competitive prices. Refer to Item 7A for additional information on resin price trends. PE Films believes that there will be an adequate supply of polyethylene and polypropylene resins in the foreseeable future.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Tredegar’s spending for research and development (“R&amp;D”) activities in 2023, 2022 and 2021 was primarily related to 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Films. During the third quarter of 2023, the Company adopted a plan to close the PE Films technical center in Richmond, VA. Future R&amp;D activities will be performed at the facility in Pottsville, PA. R&amp;D spending by the PE Films was approximately $2.9 million, $5.3 million and $5.7 million in 2023, 2022 and 2021, respectively.</w:t>
      </w:r>
    </w:p>
    <w:p>
      <w:pPr>
        <w:spacing w:after="0" w:line="4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w:t>
      </w:r>
      <w:r>
        <w:rPr>
          <w:rFonts w:ascii="Times New Roman" w:cs="Times New Roman" w:eastAsia="Times New Roman" w:hAnsi="Times New Roman"/>
          <w:sz w:val="18"/>
          <w:szCs w:val="18"/>
          <w:color w:val="auto"/>
        </w:rPr>
        <w:t>PE Films’ products are sold primarily in the U.S. and Asia, with the top four customers, collectively, comprising 87% of its net sales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88% in 2022 and 2021. No single PE Films customer exceeds 10% of Tredegar’s consolidated net sales. For additional information, see Item 1A. “Risk Factors” of this Form 10-K (“Item 1A”).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Flexible Packaging Films</w:t>
      </w:r>
    </w:p>
    <w:p>
      <w:pPr>
        <w:spacing w:after="0" w:line="108" w:lineRule="exact"/>
        <w:rPr>
          <w:sz w:val="20"/>
          <w:szCs w:val="20"/>
          <w:color w:val="auto"/>
        </w:rPr>
      </w:pPr>
    </w:p>
    <w:p>
      <w:pPr>
        <w:ind w:right="80" w:firstLine="405"/>
        <w:spacing w:after="0" w:line="241" w:lineRule="auto"/>
        <w:rPr>
          <w:sz w:val="20"/>
          <w:szCs w:val="20"/>
          <w:color w:val="auto"/>
        </w:rPr>
      </w:pPr>
      <w:r>
        <w:rPr>
          <w:rFonts w:ascii="Times New Roman" w:cs="Times New Roman" w:eastAsia="Times New Roman" w:hAnsi="Times New Roman"/>
          <w:sz w:val="18"/>
          <w:szCs w:val="18"/>
          <w:color w:val="auto"/>
        </w:rPr>
        <w:t>Flexible Packaging Films produces PET-based films for use in packaging applications that have specialized properties, such as heat resistance, strength, barrier protection and the ability to accept high-quality print graphics. These differentiated, high-value films are primarily manufactured in Brazil and sold in Latin America and the U.S. under the Terphane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Sealphane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Ecophane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 Major end uses include food packaging and industrial applications. Flexible Packaging Films competes in all of its markets on the basis of product quality, service and price. In 2023, 2022 and 2021, Terphane accounted for approximately 19%, 19% and 18% of Tredegar’s consolidated net sales, respectively.</w:t>
      </w:r>
    </w:p>
    <w:p>
      <w:pPr>
        <w:spacing w:after="0" w:line="6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Flexible Packaging Films to produce polyester resins are purified terephthalic acid (“PTA”)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monoethylene glycol (“MEG”). Flexible Packaging Films also purchases other polyester resins directly from suppliers. These raw materials are obtained from Brazilian and foreign suppliers at competitive prices. Terphane continues to monitor cost escalations to adjust selling prices as market dynamics permit and believes that there will be an adequate supply of polyester resins, PTA and MEG in the foreseeable future. Refer to Item 7A for additional information on resin price trends.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Tredegar considers patents, licenses and trademarks to be material to PE Films. On December 31, 2023, PE Films held 37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6 U.S. patents), and 66 registered trademarks (including 4 U.S. registered trademarks). Flexible Packaging Films held 1 U.S. patent and 17 registered trademarks (including 4 U.S. registered trademarks). Aluminum Extrusions held no U.S. patents and 3 U.S. registered trademarks. As of December 31, 2023, these patents had remaining terms of 0.5 to 17 years.</w:t>
      </w:r>
    </w:p>
    <w:p>
      <w:pPr>
        <w:spacing w:after="0" w:line="41"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operations are subject to various local, state, federal and foreign government regulations,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privacy and anti-corruption and anti-bribery laws and regulations.</w:t>
      </w:r>
    </w:p>
    <w:p>
      <w:pPr>
        <w:spacing w:after="0" w:line="3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U.S. laws concerning the environment to which the Company’s domestic operations are or may be subject to include the Clean Water Act, the Clean Air Act, the Resource Conservation and Recovery Act, the Occupational Safety and Health Act, the National Environmental Policy Act, the Toxic Substances Control Act, the Comprehensive Environmental Response, Compensation and Liability Act (“CERCLA”), regulations promulgated under these acts, and other federal, state or local laws or regulations governing environmental matters. Compliance with these laws is an important consideration because Tredegar uses hazardous materials in some of its operations, is a generator of hazardous waste, and wastewater from the Company’s operations is discharged to various types of wastewater management systems. Under CERCLA and other laws, Tredegar may be subject to financial exposure for costs associated with waste management and disposal, even if the Company fully complies with applicable environmental laws.</w:t>
      </w:r>
    </w:p>
    <w:p>
      <w:pPr>
        <w:spacing w:after="0" w:line="6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U.S. Environmental Protection Agency has adopted regulations under the Clean Air Act relating to emissions of carbon dioxide and other greenhouse gases (“GHG”), including mandatory reporting and permitting requirements. Several of the Company’s manufacturing operations result in emissions of carbon dioxide or GHG and are subject to the current GHG regulations. The Company’s compliance with environmental regulations has yet to require significant capital expenditures; however, environmental standards tend to become more stringent over time. Therefore, in order to comply with current or future environmental legislation or regulations, the Company may be subject to additional capital expenditures, operating expenses or other compliance costs, the amounts and timing of which are not presently determinable, but which could be significant, including constructing new facilities or modifying existing facilities.</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Like environmental regulations, current or future privacy and anti-corruption and anti-bribery legislation or regulations may subject the Company to additional capital expenditures, operating expenses or other compliance costs, the amounts and timing of which are not presently determinable but could be significant. Any failure to comply with current or future laws and regulations, including environmental, privacy and anti-corruption and anti-bribery laws and regulations, could subject Tredegar to substantial penalties, fines, costs and expenses. For further discussion regarding certain environmental, privacy and anti-corruption and anti-bribery laws and regulations to which the Company is subject, see Item 1A below.</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80" w:firstLine="405"/>
        <w:spacing w:after="0" w:line="246" w:lineRule="auto"/>
        <w:rPr>
          <w:sz w:val="20"/>
          <w:szCs w:val="20"/>
          <w:color w:val="auto"/>
        </w:rPr>
      </w:pPr>
      <w:r>
        <w:rPr>
          <w:rFonts w:ascii="Times New Roman" w:cs="Times New Roman" w:eastAsia="Times New Roman" w:hAnsi="Times New Roman"/>
          <w:sz w:val="18"/>
          <w:szCs w:val="18"/>
          <w:color w:val="auto"/>
        </w:rPr>
        <w:t>Tredegar employed approximately 1,900 people at December 31, 2023 located in the U.S., Brazil, and Asia, of which 75% are located in the U.S. Approximately 15% of the Company’s employees are represented by labor unions located in the U.S. under various collective bargaining agreements with varying durations and expiration dates, none of which expire before 2025. All of Tredegar’s Brazilian employees are represented by a national labor union. Generally, the total number of employees of Tredegar does not significantly fluctuate throughout the year. However, acquisition or divestiture activity, or changes in the level of business activity may impact employee levels.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9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Tredegar has continuously exceeded the industry standards for safety in each of its respective manufacturing sectors. The Company uses various forms of employee safety metrics to assess the health and safety performance of its Aluminum Extrusions, PE Films and Flexible Packaging operations, including employee safety data which is available on the Company’s website at </w:t>
      </w:r>
      <w:r>
        <w:rPr>
          <w:rFonts w:ascii="Times New Roman" w:cs="Times New Roman" w:eastAsia="Times New Roman" w:hAnsi="Times New Roman"/>
          <w:sz w:val="18"/>
          <w:szCs w:val="18"/>
          <w:u w:val="single" w:color="auto"/>
          <w:color w:val="auto"/>
        </w:rPr>
        <w:t>www.tredegar.com/about-tredegar/our-broader-commitments/committed-to-our-employees/</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Additionally, Aluminum Extrusions has on-site health clinics at its Carthage and Clearfield facilities. These clinics allow Aluminum Extrusions to invest in its people, provide more personal and more thorough healthcare to employees, and enhance the employer-employee relationship. Collectively, the Carthage and Clearfield clinics serve over 600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Development</w:t>
      </w:r>
    </w:p>
    <w:p>
      <w:pPr>
        <w:spacing w:after="0" w:line="9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Company believes its employees are its most valuable asset and are critical to the success of the Company. The Company seeks to retain employees by offering competitive wages, benefits and training opportunities. To assess and monitor employee retention and engagement, the Company surveys employees and takes actions to address areas of employee concern. The annual employee engagement survey results are presented to Tredegar’s Board of Directors (“Board”). Additionally, the objectives of our executive compensation programs are to attract, motivate and retain highly qualified executive officers. To accomplish these objectives, the Company relies on a pay strategy that emphasizes performance-based compensation through annual and long-term incentives. The Company believes that this pay strategy creates a strong link between pay and performance and aligns with our business strategy of generating strong operating results and shareholder value creation while controlling fixed costs.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is committed to holistically supporting our employees both at work and in their communities by:</w:t>
      </w:r>
    </w:p>
    <w:p>
      <w:pPr>
        <w:spacing w:after="0" w:line="10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following all applicable health, safety and non-discrimination laws in each country;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highest standards for employee health and safety through innovative programs; and</w:t>
      </w:r>
    </w:p>
    <w:p>
      <w:pPr>
        <w:spacing w:after="0" w:line="103" w:lineRule="exact"/>
        <w:rPr>
          <w:rFonts w:ascii="Times New Roman" w:cs="Times New Roman" w:eastAsia="Times New Roman" w:hAnsi="Times New Roman"/>
          <w:sz w:val="18"/>
          <w:szCs w:val="18"/>
          <w:color w:val="auto"/>
        </w:rPr>
      </w:pPr>
    </w:p>
    <w:p>
      <w:pPr>
        <w:ind w:right="1860" w:firstLine="332"/>
        <w:spacing w:after="0" w:line="352" w:lineRule="auto"/>
        <w:tabs>
          <w:tab w:leader="none" w:pos="6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Providing opportunities for community outreach and supporting programs that enhance the lives of children and families. </w:t>
      </w:r>
      <w:r>
        <w:rPr>
          <w:rFonts w:ascii="Times New Roman" w:cs="Times New Roman" w:eastAsia="Times New Roman" w:hAnsi="Times New Roman"/>
          <w:sz w:val="18"/>
          <w:szCs w:val="18"/>
          <w:i w:val="1"/>
          <w:iCs w:val="1"/>
          <w:color w:val="auto"/>
        </w:rPr>
        <w:t>Inclusion and Diversity</w:t>
      </w: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Tredegar strictly complies with all applicable state, local and international laws governing nondiscrimination in employment in every location where Tredegar and its businesses have facilities to ensure healthy and positive working conditions. This applies to all terms and conditions of employment, including recruiting, hiring, job assignments, promotion, termination, layoff, recall, transfer, leaves of absence, compensation and training. All applicants and employees are treated with the same high level of respect regardless of their race, creed, color, religion, sex, sexual orientation, gender identity, age, pregnancy, national origin, ethnicity, political affiliation, union membership, marital status, citizenship status, veteran status, disability or other protected category. Employees who experience or witness discriminatory behavior are encouraged to report such behavior to their supervisor, Human Resources or Tredegar’s toll-free anonymous reporting hotline. Additionally, the Company spends significant resources in developing its employees. Among the five core principles of the “The Tredegar Way” that the Company uses to guide its organization, the “Leadership” principle is focused on building a team of motivated and engaged leaders at every level of the Company. Each business unit has identified specific action plans to promote the Leadership principle among its employees. Action plans include talent development, skills training, reinforcement of strong cultural values, and robust systems to ensure a safe working environment.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About Our Executive Officers. </w:t>
      </w:r>
      <w:r>
        <w:rPr>
          <w:rFonts w:ascii="Times New Roman" w:cs="Times New Roman" w:eastAsia="Times New Roman" w:hAnsi="Times New Roman"/>
          <w:sz w:val="18"/>
          <w:szCs w:val="18"/>
          <w:color w:val="auto"/>
        </w:rPr>
        <w:t>See Item 10. “Directors, Executive Officers and Corporate Governance” of this Form 10-K.</w:t>
      </w:r>
    </w:p>
    <w:p>
      <w:pPr>
        <w:spacing w:after="0" w:line="10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Available Information and Corporate Governance Documents. </w:t>
      </w:r>
      <w:r>
        <w:rPr>
          <w:rFonts w:ascii="Times New Roman" w:cs="Times New Roman" w:eastAsia="Times New Roman" w:hAnsi="Times New Roman"/>
          <w:sz w:val="17"/>
          <w:szCs w:val="17"/>
          <w:color w:val="auto"/>
        </w:rPr>
        <w:t>Tredegar’s website address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www.tredegar.com</w:t>
      </w:r>
      <w:r>
        <w:rPr>
          <w:rFonts w:ascii="Times New Roman" w:cs="Times New Roman" w:eastAsia="Times New Roman" w:hAnsi="Times New Roman"/>
          <w:sz w:val="17"/>
          <w:szCs w:val="17"/>
          <w:color w:val="auto"/>
        </w:rPr>
        <w:t>. The Company makes available,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its 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such documents are electronically filed with, or furnished to, the Securities and Exchange Commission (“SEC”). Information filed electronically with the SEC can be accessed on its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 addition, the Company’s Corporate Governance Guidelines, Code of Conduct, the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charters of the Audit, Executive Compensation, Nominating and Governance Committees and Climate Change Risk Assessment and many other corporate policies are available on Tredegar’s website and are available in print to any shareholder upon request by contacting Tredegar’s Corporate Secretary at 1100 Boulders Parkway, Richmond, Virginia 23225. The information on or that can be accessed through the Company’s website is not, and shall not be deemed to be, a part of this Form 10-K or incorporated into other filings it makes with the SEC.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and Cautionary Statements</w:t>
      </w:r>
    </w:p>
    <w:p>
      <w:pPr>
        <w:spacing w:after="0" w:line="108"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Some of the information contained in this Form 10-K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For risks and important factors that could cause actual results to differ from expectations, refer to the reports that Tredegar files with or furnishes the SEC from time-to-time, including the risks and important factors set forth in Item 1A. Readers are urged to review and consider carefully the disclosures Tredegar makes in the reports Tredegar files with or furnishes to the SEC. 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94"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have a material adverse effect on the Company’s businesses and its consolidated financial condition, results of operations or cash flows. The following risk factors should be considered, in addition to the other information included in this Form 10-K, when evaluating Tredegar and its businesses.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Tredegar’s Corporate Strategic Initiatives and Indebtedness</w:t>
      </w:r>
    </w:p>
    <w:p>
      <w:pPr>
        <w:spacing w:after="0" w:line="104" w:lineRule="exact"/>
        <w:rPr>
          <w:sz w:val="20"/>
          <w:szCs w:val="20"/>
          <w:color w:val="auto"/>
        </w:rPr>
      </w:pPr>
    </w:p>
    <w:p>
      <w:pPr>
        <w:ind w:left="420" w:right="20" w:hanging="412"/>
        <w:spacing w:after="0" w:line="256"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planned divestiture of Terphane to Oben Group is subject to a number of conditions beyond our control. </w:t>
      </w:r>
      <w:r>
        <w:rPr>
          <w:rFonts w:ascii="Times New Roman" w:cs="Times New Roman" w:eastAsia="Times New Roman" w:hAnsi="Times New Roman"/>
          <w:sz w:val="18"/>
          <w:szCs w:val="18"/>
          <w:color w:val="auto"/>
        </w:rPr>
        <w:t>On September 1, 2023,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announced that it had entered into a definitive agreement to sell Terphane to Oben Group.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 Brazil, which the Company views as the primary competition authority regarding this matter. This filing followed a pre-filing phase for CADE’s initial review. CADE’s maximum deadline for completing its review is no later than November 18, 2024. The merger review regarding the transaction was cleared by the Colombian authority in early February 2024.</w:t>
      </w:r>
    </w:p>
    <w:p>
      <w:pPr>
        <w:spacing w:after="0" w:line="51" w:lineRule="exact"/>
        <w:rPr>
          <w:rFonts w:ascii="Times New Roman" w:cs="Times New Roman" w:eastAsia="Times New Roman" w:hAnsi="Times New Roman"/>
          <w:sz w:val="18"/>
          <w:szCs w:val="18"/>
          <w:color w:val="auto"/>
        </w:rPr>
      </w:pPr>
    </w:p>
    <w:p>
      <w:pPr>
        <w:ind w:left="42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usual, it cannot be predicted with certainty whether all of the required closing conditions will be satisfied, waived or if other uncertainties may arise. While the regulatory review process is ongoing and in line with the Company’s expectations, regulators could impose additional requirements or obligations as conditions for their approval, which may be burdensome. If such closing conditions are not met or additional obligations are imposed, the proposed sale may not be consummated, encounter delays, or experience other issues that are not currently anticipated.</w:t>
      </w:r>
    </w:p>
    <w:p>
      <w:pPr>
        <w:spacing w:after="0" w:line="54" w:lineRule="exact"/>
        <w:rPr>
          <w:rFonts w:ascii="Times New Roman" w:cs="Times New Roman" w:eastAsia="Times New Roman" w:hAnsi="Times New Roman"/>
          <w:sz w:val="18"/>
          <w:szCs w:val="18"/>
          <w:color w:val="auto"/>
        </w:rPr>
      </w:pPr>
    </w:p>
    <w:p>
      <w:pPr>
        <w:ind w:left="420" w:hanging="412"/>
        <w:spacing w:after="0" w:line="256"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Company’s failure to successfully transition to the reporting requirements for its asset-based revolving credit facility (“ABL Facility”), which matures on June 30, 2026, or an unexpected downturn in the markets could adversely impact the Company’s financial position and results of operations. </w:t>
      </w:r>
      <w:r>
        <w:rPr>
          <w:rFonts w:ascii="Times New Roman" w:cs="Times New Roman" w:eastAsia="Times New Roman" w:hAnsi="Times New Roman"/>
          <w:sz w:val="18"/>
          <w:szCs w:val="18"/>
          <w:color w:val="auto"/>
        </w:rPr>
        <w:t>On December 27, 2023, the Company entered into the ABL Facility, which provides the Company with $180 million senior secured asset-based revolving credit facility that will expire on June 30, 2026. The ABL Facility amended the Company’s existing $200 million revolving, secured credit facility that was cash flow-based. Availability under the ABL Facility is governed by a borrowing base, determined by the application of specified advance rates against eligible assets, including a portion of trade accounts receivable, inventory, cash and cash equivalents, owned real properties, and owned machinery and equipment.</w:t>
      </w:r>
    </w:p>
    <w:p>
      <w:pPr>
        <w:spacing w:after="0" w:line="65" w:lineRule="exact"/>
        <w:rPr>
          <w:rFonts w:ascii="Times New Roman" w:cs="Times New Roman" w:eastAsia="Times New Roman" w:hAnsi="Times New Roman"/>
          <w:sz w:val="18"/>
          <w:szCs w:val="18"/>
          <w:color w:val="auto"/>
        </w:rPr>
      </w:pPr>
    </w:p>
    <w:p>
      <w:pPr>
        <w:ind w:left="42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factors could affect the Company’s ability to successfully complete its transition from its prior cash flow-based revolving credit facility to the current asset-based facility. These factors include:</w:t>
      </w:r>
    </w:p>
    <w:p>
      <w:pPr>
        <w:spacing w:after="0" w:line="26" w:lineRule="exact"/>
        <w:rPr>
          <w:rFonts w:ascii="Times New Roman" w:cs="Times New Roman" w:eastAsia="Times New Roman" w:hAnsi="Times New Roman"/>
          <w:sz w:val="18"/>
          <w:szCs w:val="18"/>
          <w:color w:val="auto"/>
        </w:rPr>
      </w:pPr>
    </w:p>
    <w:p>
      <w:pPr>
        <w:ind w:left="1060" w:right="20" w:hanging="323"/>
        <w:spacing w:after="0" w:line="261" w:lineRule="auto"/>
        <w:tabs>
          <w:tab w:leader="none" w:pos="10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processes associated with the ABL Facility’s reporting requirements, which are currently on a monthly basis but could change to a weekly cadence if at any time the borrowing availability falls below 10% of the maximum aggregate principal amount. Failure to timely report could result in an Event of Default (as defined in the ABL Facility), which if not waived, would permit the lenders, at their option, to accelerate all outstanding debt under the ABL Facility. Should the lenders elect to accelerate the debt under the ABL Facility,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1060" w:right="140"/>
        <w:spacing w:after="0" w:line="282" w:lineRule="auto"/>
        <w:rPr>
          <w:sz w:val="20"/>
          <w:szCs w:val="20"/>
          <w:color w:val="auto"/>
        </w:rPr>
      </w:pPr>
      <w:r>
        <w:rPr>
          <w:rFonts w:ascii="Times New Roman" w:cs="Times New Roman" w:eastAsia="Times New Roman" w:hAnsi="Times New Roman"/>
          <w:sz w:val="18"/>
          <w:szCs w:val="18"/>
          <w:color w:val="auto"/>
        </w:rPr>
        <w:t>a cross-default would be triggered under the Terphane Brazil Loan (as defined below in Item 7. “Management’s Discussion and Analysis of Financial Condition and Results of Operations” of this Form 10-K (“Item 7”)).</w:t>
      </w:r>
    </w:p>
    <w:p>
      <w:pPr>
        <w:spacing w:after="0" w:line="27" w:lineRule="exact"/>
        <w:rPr>
          <w:sz w:val="20"/>
          <w:szCs w:val="20"/>
          <w:color w:val="auto"/>
        </w:rPr>
      </w:pPr>
    </w:p>
    <w:p>
      <w:pPr>
        <w:ind w:left="1060" w:right="240" w:hanging="323"/>
        <w:spacing w:after="0" w:line="282" w:lineRule="auto"/>
        <w:tabs>
          <w:tab w:leader="none" w:pos="10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Company is currently subject to a Cash Dominion Period (as defined in Item 7), it is required to borrow cash to fund working capital, capital expenditures, business development activity, and other general corporate purposes, which limits its financial flexibility;</w:t>
      </w:r>
    </w:p>
    <w:p>
      <w:pPr>
        <w:spacing w:after="0" w:line="40" w:lineRule="exact"/>
        <w:rPr>
          <w:rFonts w:ascii="Times New Roman" w:cs="Times New Roman" w:eastAsia="Times New Roman" w:hAnsi="Times New Roman"/>
          <w:sz w:val="18"/>
          <w:szCs w:val="18"/>
          <w:color w:val="auto"/>
        </w:rPr>
      </w:pPr>
    </w:p>
    <w:p>
      <w:pPr>
        <w:jc w:val="both"/>
        <w:ind w:left="1060" w:right="280" w:hanging="323"/>
        <w:spacing w:after="0" w:line="266" w:lineRule="auto"/>
        <w:tabs>
          <w:tab w:leader="none" w:pos="10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on accounts receivable and inventory are subject to change based on periodic commercial finance examinations and appraisals, and the real property, machinery and equipment values included in the borrowing base are subject to change based on periodic appraisals, which could reduce borrowing availability under the ABL Facility; and</w:t>
      </w:r>
    </w:p>
    <w:p>
      <w:pPr>
        <w:spacing w:after="0" w:line="54" w:lineRule="exact"/>
        <w:rPr>
          <w:rFonts w:ascii="Times New Roman" w:cs="Times New Roman" w:eastAsia="Times New Roman" w:hAnsi="Times New Roman"/>
          <w:sz w:val="18"/>
          <w:szCs w:val="18"/>
          <w:color w:val="auto"/>
        </w:rPr>
      </w:pPr>
    </w:p>
    <w:p>
      <w:pPr>
        <w:ind w:left="1060" w:right="320" w:hanging="323"/>
        <w:spacing w:after="0" w:line="282" w:lineRule="auto"/>
        <w:tabs>
          <w:tab w:leader="none" w:pos="10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Material Adverse Effect (as defined in the ABL Facility) has occurred, the Company will not be able to continue to borrow under the ABL Facility.</w:t>
      </w:r>
    </w:p>
    <w:p>
      <w:pPr>
        <w:spacing w:after="0" w:line="27" w:lineRule="exact"/>
        <w:rPr>
          <w:sz w:val="20"/>
          <w:szCs w:val="20"/>
          <w:color w:val="auto"/>
        </w:rPr>
      </w:pPr>
    </w:p>
    <w:p>
      <w:pPr>
        <w:ind w:left="420" w:right="460"/>
        <w:spacing w:after="0" w:line="312" w:lineRule="auto"/>
        <w:rPr>
          <w:sz w:val="20"/>
          <w:szCs w:val="20"/>
          <w:color w:val="auto"/>
        </w:rPr>
      </w:pPr>
      <w:r>
        <w:rPr>
          <w:rFonts w:ascii="Times New Roman" w:cs="Times New Roman" w:eastAsia="Times New Roman" w:hAnsi="Times New Roman"/>
          <w:sz w:val="17"/>
          <w:szCs w:val="17"/>
          <w:color w:val="auto"/>
        </w:rPr>
        <w:t>In addition, a significant deterioration in the Company’s accounts receivable or inventory levels due to depressed economic conditions, weak consumer spending, turmoil in the credit markets or other factors, could restrict its ability to service its indebtedness or borrow additional funds.</w:t>
      </w:r>
    </w:p>
    <w:p>
      <w:pPr>
        <w:spacing w:after="0" w:line="18" w:lineRule="exact"/>
        <w:rPr>
          <w:sz w:val="20"/>
          <w:szCs w:val="20"/>
          <w:color w:val="auto"/>
        </w:rPr>
      </w:pPr>
    </w:p>
    <w:p>
      <w:pPr>
        <w:ind w:left="420" w:right="40"/>
        <w:spacing w:after="0" w:line="261" w:lineRule="auto"/>
        <w:rPr>
          <w:sz w:val="20"/>
          <w:szCs w:val="20"/>
          <w:color w:val="auto"/>
        </w:rPr>
      </w:pPr>
      <w:r>
        <w:rPr>
          <w:rFonts w:ascii="Times New Roman" w:cs="Times New Roman" w:eastAsia="Times New Roman" w:hAnsi="Times New Roman"/>
          <w:sz w:val="18"/>
          <w:szCs w:val="18"/>
          <w:color w:val="auto"/>
        </w:rPr>
        <w:t>Upon the earlier of March 31, 2025 or the date the Company receives the proceeds from the Contingent Terphane Sale (the “ABL Adjustment Date”), borrowing availability under the ABL Facility will be reduced from $180 million to $125 million. If the Contingent Terphane Sale is not completed by the ABL Adjustment Date, the Company may have to undertake alternative financing plans, subject to the limitations imposed by the ABL Facility, including limitations on its ability to:</w:t>
      </w:r>
    </w:p>
    <w:p>
      <w:pPr>
        <w:spacing w:after="0" w:line="58" w:lineRule="exact"/>
        <w:rPr>
          <w:sz w:val="20"/>
          <w:szCs w:val="20"/>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or restructure its indebtedness;</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10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capital.</w:t>
      </w:r>
    </w:p>
    <w:p>
      <w:pPr>
        <w:spacing w:after="0" w:line="104" w:lineRule="exact"/>
        <w:rPr>
          <w:sz w:val="20"/>
          <w:szCs w:val="20"/>
          <w:color w:val="auto"/>
        </w:rPr>
      </w:pPr>
    </w:p>
    <w:p>
      <w:pPr>
        <w:ind w:left="420" w:right="20"/>
        <w:spacing w:after="0" w:line="256" w:lineRule="auto"/>
        <w:rPr>
          <w:sz w:val="20"/>
          <w:szCs w:val="20"/>
          <w:color w:val="auto"/>
        </w:rPr>
      </w:pPr>
      <w:r>
        <w:rPr>
          <w:rFonts w:ascii="Times New Roman" w:cs="Times New Roman" w:eastAsia="Times New Roman" w:hAnsi="Times New Roman"/>
          <w:sz w:val="18"/>
          <w:szCs w:val="18"/>
          <w:color w:val="auto"/>
        </w:rPr>
        <w:t>The Company may be unable to implement alternative financing plans on commercially reasonable terms or at all, and any such alternative financing plans might be insufficient to allow it to make principal and interest payments on its indebtedness required as a result of the ABL Adjustment Date and the reduction of borrowing availability under the ABL Facility to $125 million. The Company’s ability to restructure or refinance its indebtedness will depend on, among other things, its existing financial condition, projections of business conditions, sales, Credit EBITDA, net cash flow, net leverage and the condition of the capital markets at such time. Any refinancing of the Company’s indebtedness could be at higher interest rates and could require it to comply with additional covenants, which could further restrict the Company’s business operations.</w:t>
      </w:r>
    </w:p>
    <w:p>
      <w:pPr>
        <w:spacing w:after="0" w:line="52" w:lineRule="exact"/>
        <w:rPr>
          <w:sz w:val="20"/>
          <w:szCs w:val="20"/>
          <w:color w:val="auto"/>
        </w:rPr>
      </w:pPr>
    </w:p>
    <w:p>
      <w:pPr>
        <w:ind w:left="420" w:right="260"/>
        <w:spacing w:after="0" w:line="282" w:lineRule="auto"/>
        <w:rPr>
          <w:sz w:val="20"/>
          <w:szCs w:val="20"/>
          <w:color w:val="auto"/>
        </w:rPr>
      </w:pPr>
      <w:r>
        <w:rPr>
          <w:rFonts w:ascii="Times New Roman" w:cs="Times New Roman" w:eastAsia="Times New Roman" w:hAnsi="Times New Roman"/>
          <w:sz w:val="18"/>
          <w:szCs w:val="18"/>
          <w:color w:val="auto"/>
        </w:rPr>
        <w:t>Noncompliance with any of the covenants of the ABL Facility could result int an Event of Default, which if not cured or waived, would permit the lenders, at their option, to accelerate all outstanding debt under the ABL Facility.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All Tredegar’s Businesses</w:t>
      </w:r>
    </w:p>
    <w:p>
      <w:pPr>
        <w:spacing w:after="0" w:line="104" w:lineRule="exact"/>
        <w:rPr>
          <w:sz w:val="20"/>
          <w:szCs w:val="20"/>
          <w:color w:val="auto"/>
        </w:rPr>
      </w:pPr>
    </w:p>
    <w:p>
      <w:pPr>
        <w:ind w:left="420" w:hanging="412"/>
        <w:spacing w:after="0" w:line="255" w:lineRule="auto"/>
        <w:tabs>
          <w:tab w:leader="none" w:pos="41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Recent macroeconomic factors, including inflation, high interest rates, recession risks and other lagging effects of the COVID-19 pandemic, have caused downturns in key markets and created other commercial disruptions, which have and could further adversely impact our businesses. </w:t>
      </w:r>
      <w:r>
        <w:rPr>
          <w:rFonts w:ascii="Times New Roman" w:cs="Times New Roman" w:eastAsia="Times New Roman" w:hAnsi="Times New Roman"/>
          <w:sz w:val="18"/>
          <w:szCs w:val="18"/>
          <w:color w:val="auto"/>
        </w:rPr>
        <w:t>Products sold to key end-use markets, including the B&amp;C and consumer electronics markets, represent a significant portion of our revenue. Because these markets are tied closely to overall economic performance, macroeconomic factors have and could further cause changes to demand for our products. These factors include: (i) inflation; (ii) high interest rates; (iii) recession risks; (iv) disruptions to supply chains; (v) other interruptions of international and regional commerce; and (vi) other lagging effects of the COVID-19 pandemic. Price erosion may occur as competitors become more aggressive in pricing practices. To the extent that these factors reduce demand for our products, our business, financial position, results of operations and cash flows could be adversely impacted.</w:t>
      </w:r>
    </w:p>
    <w:p>
      <w:pPr>
        <w:spacing w:after="0" w:line="49" w:lineRule="exact"/>
        <w:rPr>
          <w:rFonts w:ascii="Times New Roman" w:cs="Times New Roman" w:eastAsia="Times New Roman" w:hAnsi="Times New Roman"/>
          <w:sz w:val="18"/>
          <w:szCs w:val="18"/>
          <w:b w:val="1"/>
          <w:bCs w:val="1"/>
          <w:color w:val="auto"/>
        </w:rPr>
      </w:pPr>
    </w:p>
    <w:p>
      <w:pPr>
        <w:ind w:left="420" w:right="40" w:hanging="412"/>
        <w:spacing w:after="0" w:line="255" w:lineRule="auto"/>
        <w:tabs>
          <w:tab w:leader="none" w:pos="41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Tredegar’s performance is influenced by costs incurred by its operating companies, including the cost of raw materials and energy. </w:t>
      </w:r>
      <w:r>
        <w:rPr>
          <w:rFonts w:ascii="Times New Roman" w:cs="Times New Roman" w:eastAsia="Times New Roman" w:hAnsi="Times New Roman"/>
          <w:sz w:val="18"/>
          <w:szCs w:val="18"/>
          <w:color w:val="auto"/>
        </w:rPr>
        <w:t>These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the cost of aluminum (the raw material on which Aluminum Extrusions primarily depends), resin (the raw material on which PE Films primarily depends), PTA and MEG (the raw materials on which Flexible Packaging Films primarily depends), natural gas (the principal fuel necessary for Aluminum Extrusions’ plants to operate), electricity, diesel fuel and paint. Aluminum, resin and natural gas prices are volatile as shown in the charts in Item 7A. The Company attempts to mitigate the effects of increased costs through price increases and contractual pass-through provisions, but there are no assurances that higher prices can effectively be passed through to customers or that Tredegar will be able to offset fully or on a timely basis the effects of higher costs. Further, the Company’s cost control efforts may not be sufficient to offset any increases in raw materials, energy or other costs.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0" w:right="80" w:hanging="412"/>
        <w:spacing w:after="0" w:line="259"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failure to continue to attract, develop and retain certain key officers or employees could adversely affect our businesses. </w:t>
      </w:r>
      <w:r>
        <w:rPr>
          <w:rFonts w:ascii="Times New Roman" w:cs="Times New Roman" w:eastAsia="Times New Roman" w:hAnsi="Times New Roman"/>
          <w:sz w:val="18"/>
          <w:szCs w:val="18"/>
          <w:color w:val="auto"/>
        </w:rPr>
        <w:t>Our success depends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efforts and abilities of key personnel, many of whom are longstanding employees. The loss of any of these key personnel could deplete our institutional knowledge base and negatively affect our ability to efficiently operate our businesses. Certain roles have experienced high turnover in recent years, and we are experiencing an increasingly competitive labor market. Increased employee turnover could hinder our ability to execute our business strategy and adversely affect our business, financial condition, results of operations and cash flows.</w:t>
      </w:r>
    </w:p>
    <w:p>
      <w:pPr>
        <w:spacing w:after="0" w:line="44" w:lineRule="exact"/>
        <w:rPr>
          <w:rFonts w:ascii="Times New Roman" w:cs="Times New Roman" w:eastAsia="Times New Roman" w:hAnsi="Times New Roman"/>
          <w:sz w:val="18"/>
          <w:szCs w:val="18"/>
          <w:color w:val="auto"/>
        </w:rPr>
      </w:pPr>
    </w:p>
    <w:p>
      <w:pPr>
        <w:ind w:left="420" w:hanging="412"/>
        <w:spacing w:after="0" w:line="257" w:lineRule="auto"/>
        <w:tabs>
          <w:tab w:leader="none" w:pos="4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Disruptions at one of the Company’s major manufacturing facilities could negatively impact financial results. </w:t>
      </w:r>
      <w:r>
        <w:rPr>
          <w:rFonts w:ascii="Times New Roman" w:cs="Times New Roman" w:eastAsia="Times New Roman" w:hAnsi="Times New Roman"/>
          <w:sz w:val="18"/>
          <w:szCs w:val="18"/>
          <w:color w:val="auto"/>
        </w:rPr>
        <w:t>Tredegar believes it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measures to minimize the risks of disruption at its facilities. However, a disruption could occur as a result of any number of events: an equipment failure with repairs requiring long lead times, labor stoppages or shortages, cybersecurity attacks, utility disruptions, constraints on the supply or delivery of critical raw materials, and severe weather conditions, including potential flooding at the Aluminum Extrusions facility located in Carthage, TN, which is located in a 50-year flood plain. A material disruption in one of the Company’s operating locations could negatively impact production and the Company’s consolidated financial condition, results of operations and cash flows.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Aluminum Extrusions</w:t>
      </w:r>
    </w:p>
    <w:p>
      <w:pPr>
        <w:spacing w:after="0" w:line="104" w:lineRule="exact"/>
        <w:rPr>
          <w:sz w:val="20"/>
          <w:szCs w:val="20"/>
          <w:color w:val="auto"/>
        </w:rPr>
      </w:pPr>
    </w:p>
    <w:p>
      <w:pPr>
        <w:ind w:left="420" w:hanging="412"/>
        <w:spacing w:after="0" w:line="254"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volume and profitability of Aluminum Extrusions is cyclical and seasonal and highly dependent on economic conditions of end-use markets in the U.S., particularly in the construction sector. </w:t>
      </w:r>
      <w:r>
        <w:rPr>
          <w:rFonts w:ascii="Times New Roman" w:cs="Times New Roman" w:eastAsia="Times New Roman" w:hAnsi="Times New Roman"/>
          <w:sz w:val="18"/>
          <w:szCs w:val="18"/>
          <w:color w:val="auto"/>
        </w:rPr>
        <w:t>Aluminum Extrusions’ end-use markets can be cyclical and subject to seasonal swings in volume.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changes in architectural design, demographic, and/or remote work trends could negatively impact the overall commercial construction industry. Because of the capital-intensive nature and level of fixed costs inherent in the aluminum extrusions business, the percentage drop in earnings before interest, taxes, depreciation and amortization (“EBITDA”) from ongoing operations in a cyclical downturn will likely exceed the percentage drop in volume. In addition, during an economic slowdown, excess industry capacity often drives increased pricing pressure in many end-use markets as competitors seek to protect their position with key customers. Any benefits associated with cost reductions and productivity improvements may not be sufficient to offset the adverse effects on profitability from pricing and margin pressure and higher bad debts (including a greater chance of loss associated with customers defaulting on fixed-price forward sales contracts) that usually accompany a downturn.</w:t>
      </w:r>
    </w:p>
    <w:p>
      <w:pPr>
        <w:spacing w:after="0" w:line="53" w:lineRule="exact"/>
        <w:rPr>
          <w:rFonts w:ascii="Times New Roman" w:cs="Times New Roman" w:eastAsia="Times New Roman" w:hAnsi="Times New Roman"/>
          <w:sz w:val="18"/>
          <w:szCs w:val="18"/>
          <w:color w:val="auto"/>
        </w:rPr>
      </w:pPr>
    </w:p>
    <w:p>
      <w:pPr>
        <w:ind w:left="420" w:right="260" w:hanging="412"/>
        <w:spacing w:after="0" w:line="286" w:lineRule="auto"/>
        <w:tabs>
          <w:tab w:leader="none" w:pos="41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Unfairly traded imports of aluminum extrusions could injure or threaten with injury America’s domestic aluminum extrusions industry, which could have an adverse effect on the financial condition, results of operations and cash flows of Aluminum Extrusions.</w:t>
      </w:r>
    </w:p>
    <w:p>
      <w:pPr>
        <w:spacing w:after="0" w:line="33" w:lineRule="exact"/>
        <w:rPr>
          <w:rFonts w:ascii="Times New Roman" w:cs="Times New Roman" w:eastAsia="Times New Roman" w:hAnsi="Times New Roman"/>
          <w:sz w:val="18"/>
          <w:szCs w:val="18"/>
          <w:b w:val="1"/>
          <w:bCs w:val="1"/>
          <w:i w:val="1"/>
          <w:iCs w:val="1"/>
          <w:color w:val="auto"/>
        </w:rPr>
      </w:pPr>
    </w:p>
    <w:p>
      <w:pPr>
        <w:ind w:left="1060" w:hanging="323"/>
        <w:spacing w:after="0" w:line="269" w:lineRule="auto"/>
        <w:tabs>
          <w:tab w:leader="none" w:pos="10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Failure to prevent foreign competitors from evading anti-dumping and countervailing duties, or failure to reinstate the Aluminum Tariff on aluminum extrusions, could adversely impact Aluminum Extrusions. </w:t>
      </w:r>
      <w:r>
        <w:rPr>
          <w:rFonts w:ascii="Times New Roman" w:cs="Times New Roman" w:eastAsia="Times New Roman" w:hAnsi="Times New Roman"/>
          <w:sz w:val="17"/>
          <w:szCs w:val="17"/>
          <w:color w:val="auto"/>
        </w:rPr>
        <w:t>In 2018, the U.S. imposed tariffs of 10% on aluminum ingot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semi-finished aluminum imported into the U.S. from certain countries; however, in December 2020, the Department of Commerce (“DOC”) introduced a tariff exclusion process, granting applicants with tariff exclusions. In response to large and increasing volumes of unfairly traded imports of extrusions associated with these tariff exclusions, a coalition of U.S. domestic producers filed petitions with the DOC and U.S. International Trade Commission (“ITC”). In November 2023, the ITC found that there is a reasonable indication that the American aluminum extrusions industry is materially injured or threatened with injury due to imports from 14 countries, including China. The ITC’s preliminary determination found that subject import volumes were significant and increasing, and that with regard to pricing, subject imports predominantly undersold the domestic product by volume in each year of the period of investigation. On March 5, 2024, the DOC announced its preliminary finding that the governments of China, Indonesia, Mexico and Turkey unfairly subsidize their aluminum extrusion industries. The DOC calculated a range of affirmative preliminary countervailing duties from each country. A preliminary anti-dumping determination for these four countries and the 10 other countries included in the initial petition is expected in May 2024. The Company expects the final ITC vote to occur in late 2024. A failure by, or the inability of, U.S. trade officials to restore the import tariff in its full format could have an adverse effect on the businesses, financial condition, results of operations and cash flows of Aluminum Extrusions.</w:t>
      </w:r>
    </w:p>
    <w:p>
      <w:pPr>
        <w:spacing w:after="0" w:line="51" w:lineRule="exact"/>
        <w:rPr>
          <w:rFonts w:ascii="Times New Roman" w:cs="Times New Roman" w:eastAsia="Times New Roman" w:hAnsi="Times New Roman"/>
          <w:sz w:val="17"/>
          <w:szCs w:val="17"/>
          <w:color w:val="auto"/>
        </w:rPr>
      </w:pPr>
    </w:p>
    <w:p>
      <w:pPr>
        <w:ind w:left="1060" w:right="60" w:hanging="323"/>
        <w:spacing w:after="0" w:line="25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duty-free importation of goods allowed under the United States-Mexico-Canada Agreement (“USMCA”), or other free trade agreements or duty-preference regimes, could result in lower demand for aluminum extrusions made in the U.S. </w:t>
      </w:r>
      <w:r>
        <w:rPr>
          <w:rFonts w:ascii="Times New Roman" w:cs="Times New Roman" w:eastAsia="Times New Roman" w:hAnsi="Times New Roman"/>
          <w:sz w:val="18"/>
          <w:szCs w:val="18"/>
          <w:color w:val="auto"/>
        </w:rPr>
        <w:t>As noted above,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2018, the U.S. imposed tariffs of 10% on aluminum ingot and semi-finished aluminum imported into the U.S. from certain countries, including countries from which Aluminum Extrusions has historically sourced aluminum products. In September 2019, the U.S., Canada and Mexico entered into the USMCA. As a result of the 10% tariffs on aluminum ingot imported to the U.S. and the duty-free importation of goods allowed under USMCA, aluminum extrusions made in Canada and Mexico that are able to take advantage of duty-preference programs upon importation into the United States are free of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jc w:val="both"/>
        <w:ind w:left="1060" w:right="260"/>
        <w:spacing w:after="0" w:line="266" w:lineRule="auto"/>
        <w:rPr>
          <w:sz w:val="20"/>
          <w:szCs w:val="20"/>
          <w:color w:val="auto"/>
        </w:rPr>
      </w:pPr>
      <w:r>
        <w:rPr>
          <w:rFonts w:ascii="Times New Roman" w:cs="Times New Roman" w:eastAsia="Times New Roman" w:hAnsi="Times New Roman"/>
          <w:sz w:val="18"/>
          <w:szCs w:val="18"/>
          <w:color w:val="auto"/>
        </w:rPr>
        <w:t>10% tariff and can now be imported into and sold in the U.S. at very competitive prices. This could result in lower demand for aluminum extrusions made in the U.S., which could negatively affect Aluminum Extrusions’ business, results of operations, financial condition and cash flows.</w:t>
      </w:r>
    </w:p>
    <w:p>
      <w:pPr>
        <w:spacing w:after="0" w:line="37" w:lineRule="exact"/>
        <w:rPr>
          <w:sz w:val="20"/>
          <w:szCs w:val="20"/>
          <w:color w:val="auto"/>
        </w:rPr>
      </w:pPr>
    </w:p>
    <w:p>
      <w:pPr>
        <w:ind w:left="420" w:right="160" w:hanging="412"/>
        <w:spacing w:after="0" w:line="256" w:lineRule="auto"/>
        <w:tabs>
          <w:tab w:leader="none" w:pos="41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markets for Aluminum Extrusions’ products are highly competitive with product quality, service, delivery performance and price being the principal competitive factors. </w:t>
      </w:r>
      <w:r>
        <w:rPr>
          <w:rFonts w:ascii="Times New Roman" w:cs="Times New Roman" w:eastAsia="Times New Roman" w:hAnsi="Times New Roman"/>
          <w:sz w:val="18"/>
          <w:szCs w:val="18"/>
          <w:color w:val="auto"/>
        </w:rPr>
        <w:t>Aluminum Extrusions has approximately 1,100 customers that are in a variety of end-use markets within the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of building and construction, distribution, automotive and other transportation, machinery and equipment, electrical and consumer durables. No single Aluminum Extrusions’ customer exceeds 4% of consolidated net sales. Future success and prospects depend on Aluminum Extrusions’ ability to provide superior service, high quality products, timely delivery and competitive pricing to retain existing customers and participate in overall industry cross-cycle growth. Failure in any of these areas could lead to a loss of customers, which could have an adverse effect on the business, financial condition, results of operations and cash flows of Aluminum Extrusions.</w:t>
      </w:r>
    </w:p>
    <w:p>
      <w:pPr>
        <w:spacing w:after="0" w:line="61" w:lineRule="exact"/>
        <w:rPr>
          <w:rFonts w:ascii="Times New Roman" w:cs="Times New Roman" w:eastAsia="Times New Roman" w:hAnsi="Times New Roman"/>
          <w:sz w:val="18"/>
          <w:szCs w:val="18"/>
          <w:b w:val="1"/>
          <w:bCs w:val="1"/>
          <w:i w:val="1"/>
          <w:iCs w:val="1"/>
          <w:color w:val="auto"/>
        </w:rPr>
      </w:pPr>
    </w:p>
    <w:p>
      <w:pPr>
        <w:ind w:left="420" w:right="40" w:hanging="412"/>
        <w:spacing w:after="0" w:line="254"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failure to successfully implement the new enterprise resource planning and manufacturing execution systems could adversely impact the Aluminum Extrusions business and results of operations. </w:t>
      </w:r>
      <w:r>
        <w:rPr>
          <w:rFonts w:ascii="Times New Roman" w:cs="Times New Roman" w:eastAsia="Times New Roman" w:hAnsi="Times New Roman"/>
          <w:sz w:val="18"/>
          <w:szCs w:val="18"/>
          <w:color w:val="auto"/>
        </w:rPr>
        <w:t>In January 2022, Aluminum Extrusions commenced the implementation of new enterprise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 planning and manufacturing execution systems (“ERP/MES”) across all locations of the Aluminum Extrusions business. The implementation of these systems is a major undertaking from a financial, management, and personnel perspective. The implementations have been more difficult, time consuming and costly (approximately $21 million of spending to date) than expected. This project, which was expected to be completed in 2024, has been reorganized with an extended implementation period, due to the implementation of stringent spending measures to control financial leverage. As a result, the earliest “go-live” date for the new ERP/MES is 2025. There can be no assurance that these systems will be beneficial to the extent anticipated. Any additional disruptions, delays or deficiencies in the design and implementation of the new systems could adversely affect our financial position, results of operations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PE Films</w:t>
      </w:r>
    </w:p>
    <w:p>
      <w:pPr>
        <w:spacing w:after="0" w:line="90" w:lineRule="exact"/>
        <w:rPr>
          <w:sz w:val="20"/>
          <w:szCs w:val="20"/>
          <w:color w:val="auto"/>
        </w:rPr>
      </w:pPr>
    </w:p>
    <w:p>
      <w:pPr>
        <w:ind w:left="420" w:right="40" w:hanging="412"/>
        <w:spacing w:after="0" w:line="257"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 Films is highly dependent on sales associated with relatively few large customers. </w:t>
      </w:r>
      <w:r>
        <w:rPr>
          <w:rFonts w:ascii="Times New Roman" w:cs="Times New Roman" w:eastAsia="Times New Roman" w:hAnsi="Times New Roman"/>
          <w:sz w:val="18"/>
          <w:szCs w:val="18"/>
          <w:color w:val="auto"/>
        </w:rPr>
        <w:t>PE Films’ top four customers comprised approximately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 and 13% of Tredegar’s consolidated net sales in 2023, 2022 and 2021, respectively. The loss or significant reduction of sales associated with one or more of these customers without replacement by new business could have an adverse effect on the Company. Surface Protection sales have been adversely impacted by weak market demand and competitive pricing. Customer demand for electronics has continued to deteriorate since the third quarter of 2022, causing manufacturers in the supply chain to experience reduced capacity utilization and inventory corrections. Consequently, results of operations for PE Films have been adversely impacted by weak demand for Surface Protection products.</w:t>
      </w:r>
    </w:p>
    <w:p>
      <w:pPr>
        <w:spacing w:after="0" w:line="64" w:lineRule="exact"/>
        <w:rPr>
          <w:rFonts w:ascii="Times New Roman" w:cs="Times New Roman" w:eastAsia="Times New Roman" w:hAnsi="Times New Roman"/>
          <w:sz w:val="18"/>
          <w:szCs w:val="18"/>
          <w:color w:val="auto"/>
        </w:rPr>
      </w:pPr>
    </w:p>
    <w:p>
      <w:pPr>
        <w:ind w:left="42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PE Films is undertaking efforts to expand its customer base, there can be no assurance that such efforts will be successful, or that they will offset any loss of sales and profits associated with large customer declines.</w:t>
      </w:r>
    </w:p>
    <w:p>
      <w:pPr>
        <w:spacing w:after="0" w:line="36" w:lineRule="exact"/>
        <w:rPr>
          <w:rFonts w:ascii="Times New Roman" w:cs="Times New Roman" w:eastAsia="Times New Roman" w:hAnsi="Times New Roman"/>
          <w:sz w:val="18"/>
          <w:szCs w:val="18"/>
          <w:color w:val="auto"/>
        </w:rPr>
      </w:pPr>
    </w:p>
    <w:p>
      <w:pPr>
        <w:ind w:left="420" w:right="100" w:hanging="412"/>
        <w:spacing w:after="0" w:line="254" w:lineRule="auto"/>
        <w:tabs>
          <w:tab w:leader="none" w:pos="41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failure of PE Films’ customers to achieve success or maintain market share could adversely impact PE Films’ sales and operating margins. </w:t>
      </w:r>
      <w:r>
        <w:rPr>
          <w:rFonts w:ascii="Times New Roman" w:cs="Times New Roman" w:eastAsia="Times New Roman" w:hAnsi="Times New Roman"/>
          <w:sz w:val="18"/>
          <w:szCs w:val="18"/>
          <w:color w:val="auto"/>
        </w:rPr>
        <w:t>PE Films’ plastic films are used in the production of various consumer products sold worldwide. Our customers’ ability to successfully develop, manufacture and market those products is integral to PE Films’ success. Cyclical downturns and changing consumer preferences, particularly those driven by changes in technology, may negatively affect businesses that use PE Films’ plastic film products, which could adversely affect sales and operating margins. Other factors that could adversely affect the business include (i) failure by a key customer to achieve success or maintain share in markets in which they sell products containing PE Films’ materials, including as a result of customer preferences for products other than plastics, (ii) key customers using products developed by others that replace PE Films’ business with such customers, (iii) delays in a key customer rolling out products utilizing new technologies developed by PE Films, and (iv) operational decisions by a key customer that result in component substitution, inventory reductions and similar changes.</w:t>
      </w:r>
    </w:p>
    <w:p>
      <w:pPr>
        <w:spacing w:after="0" w:line="53" w:lineRule="exact"/>
        <w:rPr>
          <w:rFonts w:ascii="Times New Roman" w:cs="Times New Roman" w:eastAsia="Times New Roman" w:hAnsi="Times New Roman"/>
          <w:sz w:val="18"/>
          <w:szCs w:val="18"/>
          <w:b w:val="1"/>
          <w:bCs w:val="1"/>
          <w:i w:val="1"/>
          <w:iCs w:val="1"/>
          <w:color w:val="auto"/>
        </w:rPr>
      </w:pPr>
    </w:p>
    <w:p>
      <w:pPr>
        <w:ind w:left="420" w:hanging="412"/>
        <w:spacing w:after="0" w:line="257"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Company’s inability to protect its intellectual property rights or its infringement of the intellectual property rights of others could have an adverse impact on PE Films. </w:t>
      </w:r>
      <w:r>
        <w:rPr>
          <w:rFonts w:ascii="Times New Roman" w:cs="Times New Roman" w:eastAsia="Times New Roman" w:hAnsi="Times New Roman"/>
          <w:sz w:val="18"/>
          <w:szCs w:val="18"/>
          <w:color w:val="auto"/>
        </w:rPr>
        <w:t>The continued success of PE Films’ business depends on its ability not only to protect its own technologies and trade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secrets, but also to develop and sell new products that do not infringe upon existing patents. Intellectual property litigation is very costly and could result in substantial expense and diversions of Company resources, both of which could adversely affect its consolidated financial condition, results of operations and cash flows. In addition, there may be no effective legal recourse against infringement of the Company’s intellectual property by third parties, whether due to limitations on enforcement of rights in foreign jurisdictions or as a result of other factors.</w:t>
      </w:r>
    </w:p>
    <w:p>
      <w:pPr>
        <w:spacing w:after="0" w:line="60" w:lineRule="exact"/>
        <w:rPr>
          <w:rFonts w:ascii="Times New Roman" w:cs="Times New Roman" w:eastAsia="Times New Roman" w:hAnsi="Times New Roman"/>
          <w:sz w:val="18"/>
          <w:szCs w:val="18"/>
          <w:color w:val="auto"/>
        </w:rPr>
      </w:pPr>
    </w:p>
    <w:p>
      <w:pPr>
        <w:ind w:left="420" w:right="400" w:hanging="412"/>
        <w:spacing w:after="0" w:line="286" w:lineRule="auto"/>
        <w:tabs>
          <w:tab w:leader="none" w:pos="4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Rising trade tensions could cause an increase in the cost of PE Films’ products or otherwise negatively impact the Company. </w:t>
      </w:r>
      <w:r>
        <w:rPr>
          <w:rFonts w:ascii="Times New Roman" w:cs="Times New Roman" w:eastAsia="Times New Roman" w:hAnsi="Times New Roman"/>
          <w:sz w:val="18"/>
          <w:szCs w:val="18"/>
          <w:color w:val="auto"/>
        </w:rPr>
        <w:t>A portion of 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Film’s business involves imports to and from the U.S. and other countries where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420" w:right="140"/>
        <w:spacing w:after="0" w:line="266" w:lineRule="auto"/>
        <w:rPr>
          <w:sz w:val="20"/>
          <w:szCs w:val="20"/>
          <w:color w:val="auto"/>
        </w:rPr>
      </w:pPr>
      <w:r>
        <w:rPr>
          <w:rFonts w:ascii="Times New Roman" w:cs="Times New Roman" w:eastAsia="Times New Roman" w:hAnsi="Times New Roman"/>
          <w:sz w:val="18"/>
          <w:szCs w:val="18"/>
          <w:color w:val="auto"/>
        </w:rPr>
        <w:t>Company produces and sells its products. Trade tensions have been rising between the U.S. and other countries, particularly China. An increase in tariffs and other trade barriers between the U.S. and China, or between the U.S. and other countries, could cause an increase in the cost of PE Films’ products or otherwise negatively impact the production and sale of the Company’s products in world markets.</w:t>
      </w:r>
    </w:p>
    <w:p>
      <w:pPr>
        <w:spacing w:after="0" w:line="37" w:lineRule="exact"/>
        <w:rPr>
          <w:sz w:val="20"/>
          <w:szCs w:val="20"/>
          <w:color w:val="auto"/>
        </w:rPr>
      </w:pPr>
    </w:p>
    <w:p>
      <w:pPr>
        <w:ind w:left="420" w:right="100" w:hanging="412"/>
        <w:spacing w:after="0" w:line="257"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impairment of the Surface Protection reporting unit’s goodwill could have a non-cash adverse impact on our results of operations.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assesses goodwill for impairment when events or circumstances indicate that the carrying value may not be recoverable, or, at a minimum, on an annual basis (December 1st of each year). The valuation of goodwill depends on a variety of factors, including macroeconomic conditions, industry and market considerations, cost factors and overall financial performance, as well as Company and reporting unit factors, and goodwill impairment valuations can be sensitive to assumptions associated with such factors. Failure to successfully achieve projections could result in future impairments.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Flexible Packaging Films</w:t>
      </w:r>
    </w:p>
    <w:p>
      <w:pPr>
        <w:spacing w:after="0" w:line="104" w:lineRule="exact"/>
        <w:rPr>
          <w:sz w:val="20"/>
          <w:szCs w:val="20"/>
          <w:color w:val="auto"/>
        </w:rPr>
      </w:pPr>
    </w:p>
    <w:p>
      <w:pPr>
        <w:ind w:left="420" w:hanging="412"/>
        <w:spacing w:after="0" w:line="255" w:lineRule="auto"/>
        <w:tabs>
          <w:tab w:leader="none" w:pos="41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Overcapacity in Latin American polyester film production and governmental failure to extend anti-dumping duties in Brazil on imported products or prevent competitors from circumventing such duties could adversely impact Flexible Packaging Films. </w:t>
      </w:r>
      <w:r>
        <w:rPr>
          <w:rFonts w:ascii="Times New Roman" w:cs="Times New Roman" w:eastAsia="Times New Roman" w:hAnsi="Times New Roman"/>
          <w:sz w:val="18"/>
          <w:szCs w:val="18"/>
          <w:color w:val="auto"/>
        </w:rPr>
        <w:t>In recent years, excess global capacity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industry has led to increased competitive pressures from imports into Brazil. The Company believes that these conditions have shifted the competitive environment from a regional to a global landscape and have driven price convergence and lower product margins for Flexible Packaging Films. Favorable anti-dumping rulings or countervailing duties are in effect for products imported from China, Egypt, India, Mexico, United Arab Emirates, Peru and Bahrain. Competitors not currently subject to anti-dumping duties may choose to utilize their excess capacity by selling product in Brazil, which may result in pricing pressures that Flexible Packaging Films may not be able to offset with cost savings measures and/or manufacturing efficiency initiatives.</w:t>
      </w:r>
    </w:p>
    <w:p>
      <w:pPr>
        <w:spacing w:after="0" w:line="53" w:lineRule="exact"/>
        <w:rPr>
          <w:rFonts w:ascii="Times New Roman" w:cs="Times New Roman" w:eastAsia="Times New Roman" w:hAnsi="Times New Roman"/>
          <w:sz w:val="18"/>
          <w:szCs w:val="18"/>
          <w:b w:val="1"/>
          <w:bCs w:val="1"/>
          <w:i w:val="1"/>
          <w:iCs w:val="1"/>
          <w:color w:val="auto"/>
        </w:rPr>
      </w:pPr>
    </w:p>
    <w:p>
      <w:pPr>
        <w:ind w:left="42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May 2021, the Brazilian authorities concluded the sunset review relating to the anti-dumping process for polyester film imported from China, India and Egypt, and decided to extend duties for another five years. However, due to its doubts that films would continue to be imported from China and Egypt, the government immediately suspended the implementation of the tariffs for those countries but agreed that if in the future there were volumes imported from China or Egypt which were harming the Brazilian market, authorities may promptly reinstate tariffs. Importing from Egypt increased in Brazil during 2023; therefore, Terphane requested the application of anti-dumping tariffs for Egypt, which was accepted by the Brazilian Government. These tariffs went into effect starting in November 2023. For films imported from India, the Brazilian authorities also reviewed measures against countervailing duties and extended those for five years as well.</w:t>
      </w:r>
    </w:p>
    <w:p>
      <w:pPr>
        <w:spacing w:after="0" w:line="67" w:lineRule="exact"/>
        <w:rPr>
          <w:rFonts w:ascii="Times New Roman" w:cs="Times New Roman" w:eastAsia="Times New Roman" w:hAnsi="Times New Roman"/>
          <w:sz w:val="18"/>
          <w:szCs w:val="18"/>
          <w:b w:val="1"/>
          <w:bCs w:val="1"/>
          <w:i w:val="1"/>
          <w:iCs w:val="1"/>
          <w:color w:val="auto"/>
        </w:rPr>
      </w:pPr>
    </w:p>
    <w:p>
      <w:pPr>
        <w:ind w:left="420" w:right="6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February 2024, the Brazilian Government determined that the anti-dumping measures against Mexico and United Arab Emirates should be extended for a five-year period and anti-dumping measures against Turkey should be removed.</w:t>
      </w:r>
    </w:p>
    <w:p>
      <w:pPr>
        <w:spacing w:after="0" w:line="36" w:lineRule="exact"/>
        <w:rPr>
          <w:rFonts w:ascii="Times New Roman" w:cs="Times New Roman" w:eastAsia="Times New Roman" w:hAnsi="Times New Roman"/>
          <w:sz w:val="18"/>
          <w:szCs w:val="18"/>
          <w:b w:val="1"/>
          <w:bCs w:val="1"/>
          <w:i w:val="1"/>
          <w:iCs w:val="1"/>
          <w:color w:val="auto"/>
        </w:rPr>
      </w:pPr>
    </w:p>
    <w:p>
      <w:pPr>
        <w:ind w:left="420" w:right="40" w:hanging="412"/>
        <w:spacing w:after="0" w:line="254" w:lineRule="auto"/>
        <w:tabs>
          <w:tab w:leader="none" w:pos="4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history of uncertain economic conditions in Brazil could adversely impact the financial condition, results of operations and cash flows of Flexible Packaging Films. </w:t>
      </w:r>
      <w:r>
        <w:rPr>
          <w:rFonts w:ascii="Times New Roman" w:cs="Times New Roman" w:eastAsia="Times New Roman" w:hAnsi="Times New Roman"/>
          <w:sz w:val="18"/>
          <w:szCs w:val="18"/>
          <w:color w:val="auto"/>
        </w:rPr>
        <w:t>For flexible packaging films produced in Brazil, selling prices and key raw material costs are principally determined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 While Flexible Packaging Films hedges this exposure on a short-term basis with foreign exchange forward rate contracts, the exposure continues to exist beyond the hedging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Business Risks</w:t>
      </w:r>
    </w:p>
    <w:p>
      <w:pPr>
        <w:spacing w:after="0" w:line="104" w:lineRule="exact"/>
        <w:rPr>
          <w:sz w:val="20"/>
          <w:szCs w:val="20"/>
          <w:color w:val="auto"/>
        </w:rPr>
      </w:pPr>
    </w:p>
    <w:p>
      <w:pPr>
        <w:ind w:left="420" w:right="60" w:hanging="412"/>
        <w:spacing w:after="0" w:line="271" w:lineRule="auto"/>
        <w:tabs>
          <w:tab w:leader="none" w:pos="415"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 failure in the Company’s information technology systems as a result of cybersecurity attacks or other causes could negatively affect Tredegar’s business. </w:t>
      </w:r>
      <w:r>
        <w:rPr>
          <w:rFonts w:ascii="Times New Roman" w:cs="Times New Roman" w:eastAsia="Times New Roman" w:hAnsi="Times New Roman"/>
          <w:sz w:val="17"/>
          <w:szCs w:val="17"/>
          <w:color w:val="auto"/>
        </w:rPr>
        <w:t>The Company depends on information technology (“IT”) to record and process customer orders, manufacture and ship products in a timely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manner, secure its production processes and know-how, maintain the financial accuracy of its business records and maintain personally identifiable information of its employees. An IT system failure due to computer viruses, internal or external security breaches, cybersecurity attacks or other malicious causes could disrupt our operations and prevent us from being able to process transactions with our customers, operate our manufacturing facilities and properly report transactions in a timely manner. Increased global IT security threats and cyber-crime pose a potential risk to the security and availability of the Company’s IT systems, networks and services, including those that are managed, hosted, provided or used by third parties, as well as to the confidentiality, availability and integrity of the Company’s data. Additionally, increased cybersecurity risk arises due to certain employees working remotely. To date, interruptions of the Company’s IT systems have been infrequent, and Tredegar</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ind w:left="420"/>
        <w:spacing w:after="0" w:line="261" w:lineRule="auto"/>
        <w:rPr>
          <w:sz w:val="20"/>
          <w:szCs w:val="20"/>
          <w:color w:val="auto"/>
        </w:rPr>
      </w:pPr>
      <w:r>
        <w:rPr>
          <w:rFonts w:ascii="Times New Roman" w:cs="Times New Roman" w:eastAsia="Times New Roman" w:hAnsi="Times New Roman"/>
          <w:sz w:val="18"/>
          <w:szCs w:val="18"/>
          <w:color w:val="auto"/>
        </w:rPr>
        <w:t>has not experienced a material cybersecurity incident. A significant prolonged failure of or security breach of the IT systems, networks or service providers the Company relies upon, or a loss or disclosure of business or other sensitive information, or personally identifiable information, as a result of a cybersecurity incident or other cause, could result in substantial costs to the Company, damage to the Company’s reputation, regulatory enforcement actions and lawsuits and could adversely affect the Company’s business, results of operations, financial condition or cash flows.</w:t>
      </w:r>
    </w:p>
    <w:p>
      <w:pPr>
        <w:spacing w:after="0" w:line="41" w:lineRule="exact"/>
        <w:rPr>
          <w:sz w:val="20"/>
          <w:szCs w:val="20"/>
          <w:color w:val="auto"/>
        </w:rPr>
      </w:pPr>
    </w:p>
    <w:p>
      <w:pPr>
        <w:ind w:left="420" w:right="240" w:hanging="412"/>
        <w:spacing w:after="0" w:line="262" w:lineRule="auto"/>
        <w:tabs>
          <w:tab w:leader="none" w:pos="41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Company’s results of operations, financial condition and cash flows have been and could be impacted by the macroeconomic effects of a pandemic. </w:t>
      </w:r>
      <w:r>
        <w:rPr>
          <w:rFonts w:ascii="Times New Roman" w:cs="Times New Roman" w:eastAsia="Times New Roman" w:hAnsi="Times New Roman"/>
          <w:sz w:val="18"/>
          <w:szCs w:val="18"/>
          <w:color w:val="auto"/>
        </w:rPr>
        <w:t>The COVID-19 pandemic had multiple adverse effects on the global economy, including short-term impacts affecting labor supply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causing supply chain disruptions which led to inflationary pressures. In addition, the pandemic resulted in certain after-shocks and structural shifts, which have adversely impacted Tredegar’s markets.</w:t>
      </w:r>
    </w:p>
    <w:p>
      <w:pPr>
        <w:spacing w:after="0" w:line="58" w:lineRule="exact"/>
        <w:rPr>
          <w:rFonts w:ascii="Times New Roman" w:cs="Times New Roman" w:eastAsia="Times New Roman" w:hAnsi="Times New Roman"/>
          <w:sz w:val="18"/>
          <w:szCs w:val="18"/>
          <w:b w:val="1"/>
          <w:bCs w:val="1"/>
          <w:i w:val="1"/>
          <w:iCs w:val="1"/>
          <w:color w:val="auto"/>
        </w:rPr>
      </w:pPr>
    </w:p>
    <w:p>
      <w:pPr>
        <w:ind w:left="42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event of a future pandemic, Tredegar’s businesses, our suppliers, contractors and third-party logistic providers could experience conditions similar to those associated with the COVID-19 pandemic, including facility closures, labor constraints, supply chain disruptions and other challenges. These challenges could impact our ability to maintain sufficient inventory and to accurately predict demand or lead times, which could inhibit our ability to service customer demand. Additionally, a future pandemic could heighten other risks described above.</w:t>
      </w:r>
    </w:p>
    <w:p>
      <w:pPr>
        <w:spacing w:after="0" w:line="54" w:lineRule="exact"/>
        <w:rPr>
          <w:rFonts w:ascii="Times New Roman" w:cs="Times New Roman" w:eastAsia="Times New Roman" w:hAnsi="Times New Roman"/>
          <w:sz w:val="18"/>
          <w:szCs w:val="18"/>
          <w:b w:val="1"/>
          <w:bCs w:val="1"/>
          <w:i w:val="1"/>
          <w:iCs w:val="1"/>
          <w:color w:val="auto"/>
        </w:rPr>
      </w:pPr>
    </w:p>
    <w:p>
      <w:pPr>
        <w:ind w:left="420" w:right="40" w:hanging="412"/>
        <w:spacing w:after="0" w:line="254" w:lineRule="auto"/>
        <w:tabs>
          <w:tab w:leader="none" w:pos="41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Tredegar is subject to current and future governmental regulations, including environmental laws and regulations, and could become exposed to liabilities and costs associated with such regulation. </w:t>
      </w:r>
      <w:r>
        <w:rPr>
          <w:rFonts w:ascii="Times New Roman" w:cs="Times New Roman" w:eastAsia="Times New Roman" w:hAnsi="Times New Roman"/>
          <w:sz w:val="18"/>
          <w:szCs w:val="18"/>
          <w:color w:val="auto"/>
        </w:rPr>
        <w:t>The Company is subject to regulation by local, state, federal and foreign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New laws and regulations, or changes to existing laws, including those relating to environmental matters (including global climate change and plastic products), and privacy matters, could subject Tredegar to significant additional capital expenditures, operating expenses or other compliance costs. Moreover, future developments in federal, state, local and international laws and regulations, including environmental laws, are difficult to predict. Environmental laws and privacy restrictions have become and are expected to continue to become increasingly strict. As a result, Tredegar expects to be subject to new environmental and privacy laws and regulations. However, any such changes are uncertain and, therefore, it is not possible for the Company to predict with certainty the amount of additional capital expenditures or operating expenses that could be necessary for compliance with respect to any such changes.</w:t>
      </w:r>
    </w:p>
    <w:p>
      <w:pPr>
        <w:spacing w:after="0" w:line="57" w:lineRule="exact"/>
        <w:rPr>
          <w:rFonts w:ascii="Times New Roman" w:cs="Times New Roman" w:eastAsia="Times New Roman" w:hAnsi="Times New Roman"/>
          <w:sz w:val="18"/>
          <w:szCs w:val="18"/>
          <w:b w:val="1"/>
          <w:bCs w:val="1"/>
          <w:i w:val="1"/>
          <w:iCs w:val="1"/>
          <w:color w:val="auto"/>
        </w:rPr>
      </w:pPr>
    </w:p>
    <w:p>
      <w:pPr>
        <w:ind w:left="420" w:right="1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is subject to the U.S. Foreign Corrupt Practices Act, Brazilian anti-corruption laws and similar anti-bribery laws in other jurisdictions, which generally prohibit companies and their intermediaries from making improper payments to foreign officials for the purpose of obtaining or retaining business. Although we have policies and procedures designed to facilitate compliance with these laws and regulations, our employees, contractors and agents may take actions in violation of our policies. Any such violation, even if prohibited by our policies, could adversely affect our business and/or our reputation.</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17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Tredegar’s business model depends on the efficiency and reliability of its information systems, networks, and essential assets, with a portion of these systems and networks being administered by third-party service providers. Tredegar’s Cybersecurity Program (the “Program”), which was designed utilizing a risk-based approach, was developed to not only prevent, identify, investigate, resolve, and mitigate potential cybersecurity vulnerabilities within Tredegar but also to enhance the information security posture of Tredegar’s operations involving third-party service providers.</w:t>
      </w:r>
    </w:p>
    <w:p>
      <w:pPr>
        <w:spacing w:after="0" w:line="58"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Tredegar entrusts the third-party service providers with the responsibility to institute security measure protocols that are appropriately and proportionally tailored to the corresponding risks. Additionally, Tredegar also periodically conducts assessments of the third-party service providers’ security frameworks to verify the implementation of adequate security measures, to safeguard Tredegar against potential vulnerabilities.</w:t>
      </w:r>
    </w:p>
    <w:p>
      <w:pPr>
        <w:spacing w:after="0" w:line="5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Program leverages a blend of automated systems, manual operations, and external evaluations to proactively identify and mitigate potential cybersecurity threats. Key components of the program include Tredegar’s Cybersecurity Incident Response Plan and Cyber Crisis Management Plan. These plans encompass a strategic approach that includes detection of threats, thorough analysis of cybersecurity incidents to determine whether timely notification to the Board of Directors is necessary, containment of incidents, eradication or mitigation of threats, recovery processes, and a comprehensive post-incident review.</w:t>
      </w:r>
    </w:p>
    <w:p>
      <w:pPr>
        <w:spacing w:after="0" w:line="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To further strengthen its cybersecurity posture, Tredegar employs third-party consultants who work with the internal audit and information technology (“IT”) departments to assess Tredegar’s information security program and practices, including incident management, service continuity, and information security compliance programs, and identify areas for improvement.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40"/>
        <w:spacing w:after="0" w:line="256" w:lineRule="auto"/>
        <w:rPr>
          <w:sz w:val="20"/>
          <w:szCs w:val="20"/>
          <w:color w:val="auto"/>
        </w:rPr>
      </w:pPr>
      <w:r>
        <w:rPr>
          <w:rFonts w:ascii="Times New Roman" w:cs="Times New Roman" w:eastAsia="Times New Roman" w:hAnsi="Times New Roman"/>
          <w:sz w:val="18"/>
          <w:szCs w:val="18"/>
          <w:color w:val="auto"/>
        </w:rPr>
        <w:t>The results of such an assessment are regularly presented to the Audit Committee. Notably, these assessments include periodic penetration tests, which allow Tredegar to identify vulnerabilities, refine procedures, and enhance its crisis management and recovery capabilities. The Program is also supported by an organizational structure, involving collaboration across various business sectors and an interdisciplinary Global Data Protection and Cybersecurity Oversight Team that meets regularly to identify information security risks and appropriate risk mitigation strategies. Additionally, because Tredegar recognizes the significant role that its employees play in information security, it provides annual formal information security training to all of its employees that covers critical topics such as phishing and email security best practices.</w:t>
      </w:r>
    </w:p>
    <w:p>
      <w:pPr>
        <w:spacing w:after="0" w:line="5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Tredegar’s IT Director has over 10 years of cybersecurity expertise, including a robust history of similar roles, cybersecurity certifications from EC-Council and ODU Global and holds a degree in Computer Science from Universidade Catolica de Pernambuco and an MBA in IT Management from Universidade Federal de Pernambuco. Our IT Director is responsible for overseeing the Program, including the prevention, mitigation, detection, and remediation of cybersecurity incidents. Tredegar’s IT Director also regularly collaborates closely with key management, including the Chief Financial Officer, General Counsel, Compliance Manager, and Human Resources Executive Director, to foster effective communication within Tredegar.</w:t>
      </w:r>
    </w:p>
    <w:p>
      <w:pPr>
        <w:spacing w:after="0" w:line="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Board is responsible for risk management, with specific oversight of cybersecurity risks being delegated to the Audit Committee. The Audit Committee receives updates from the IT Director at each of its quarterly meetings. These updates encompass an assessment of Tredegar’s cybersecurity risk profile, including the efficacy of Tredegar’s cybersecurity policies, procedures, strategies, and areas of emerging risk. Additionally, the Board receives annual, but often more frequent, updates on Tredegar’s cybersecurity systems.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8" w:lineRule="exact"/>
        <w:rPr>
          <w:sz w:val="20"/>
          <w:szCs w:val="20"/>
          <w:color w:val="auto"/>
        </w:rPr>
      </w:pPr>
    </w:p>
    <w:p>
      <w:pPr>
        <w:ind w:right="40" w:firstLine="405"/>
        <w:spacing w:after="0" w:line="312" w:lineRule="auto"/>
        <w:rPr>
          <w:sz w:val="20"/>
          <w:szCs w:val="20"/>
          <w:color w:val="auto"/>
        </w:rPr>
      </w:pPr>
      <w:r>
        <w:rPr>
          <w:rFonts w:ascii="Times New Roman" w:cs="Times New Roman" w:eastAsia="Times New Roman" w:hAnsi="Times New Roman"/>
          <w:sz w:val="17"/>
          <w:szCs w:val="17"/>
          <w:color w:val="auto"/>
        </w:rPr>
        <w:t>Most of the improved real property and the other assets used in the Company’s operations are owned. Certain of the owned property is subject to an encumbrance under the ABL Facility. See Note 7 “Debt and Credit Agreements” to the Consolidated Financial Statements in Item 15 for more information.</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Tredegar considers the manufacturing facilities, warehouses and other properties and assets that it owns or leases to be in generally good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utilization at its various manufacturing facilities can vary with product mix and normal fluctuations in sales levels. The Company believes that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Bonnell Aluminum, PE Films and Flexible Packaging Films manufacturing facilities have sufficient capacity to meet current production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Tredegar’s corporate headquarters, which is leased, is located at 1100 Boulders Parkway, Richmond, Virginia 23225.</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principal manufacturing plants and facilities as of December 31, 2023 are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Aluminum Extrusions</w:t>
            </w:r>
          </w:p>
        </w:tc>
        <w:tc>
          <w:tcPr>
            <w:tcW w:w="2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1"/>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Carthage, Tennessee</w:t>
            </w:r>
          </w:p>
        </w:tc>
        <w:tc>
          <w:tcPr>
            <w:tcW w:w="32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None</w:t>
            </w:r>
          </w:p>
        </w:tc>
        <w:tc>
          <w:tcPr>
            <w:tcW w:w="3780" w:type="dxa"/>
            <w:vAlign w:val="bottom"/>
            <w:gridSpan w:val="3"/>
            <w:shd w:val="clear" w:color="auto" w:fill="CCEEFF"/>
          </w:tcPr>
          <w:p>
            <w:pPr>
              <w:ind w:left="840"/>
              <w:spacing w:after="0" w:line="176" w:lineRule="exact"/>
              <w:rPr>
                <w:sz w:val="20"/>
                <w:szCs w:val="20"/>
                <w:color w:val="auto"/>
              </w:rPr>
            </w:pPr>
            <w:r>
              <w:rPr>
                <w:rFonts w:ascii="Times New Roman" w:cs="Times New Roman" w:eastAsia="Times New Roman" w:hAnsi="Times New Roman"/>
                <w:sz w:val="18"/>
                <w:szCs w:val="18"/>
                <w:color w:val="auto"/>
              </w:rPr>
              <w:t>Production of aluminum extrusions,</w:t>
            </w:r>
          </w:p>
        </w:tc>
      </w:tr>
      <w:tr>
        <w:trPr>
          <w:trHeight w:val="175"/>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Clearfield, Utah (leased)</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gridSpan w:val="3"/>
            <w:shd w:val="clear" w:color="auto" w:fill="CCEEFF"/>
          </w:tcPr>
          <w:p>
            <w:pPr>
              <w:ind w:left="840"/>
              <w:spacing w:after="0" w:line="176" w:lineRule="exact"/>
              <w:rPr>
                <w:sz w:val="20"/>
                <w:szCs w:val="20"/>
                <w:color w:val="auto"/>
              </w:rPr>
            </w:pPr>
            <w:r>
              <w:rPr>
                <w:rFonts w:ascii="Times New Roman" w:cs="Times New Roman" w:eastAsia="Times New Roman" w:hAnsi="Times New Roman"/>
                <w:sz w:val="18"/>
                <w:szCs w:val="18"/>
                <w:color w:val="auto"/>
              </w:rPr>
              <w:t>fabrication and finishing</w:t>
            </w:r>
          </w:p>
        </w:tc>
      </w:tr>
      <w:tr>
        <w:trPr>
          <w:trHeight w:val="184"/>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Elkhart, Indiana</w:t>
            </w:r>
          </w:p>
        </w:tc>
        <w:tc>
          <w:tcPr>
            <w:tcW w:w="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0"/>
        </w:trPr>
        <w:tc>
          <w:tcPr>
            <w:tcW w:w="20" w:type="dxa"/>
            <w:vAlign w:val="bottom"/>
            <w:shd w:val="clear" w:color="auto" w:fill="CCEEFF"/>
          </w:tcPr>
          <w:p>
            <w:pPr>
              <w:spacing w:after="0"/>
              <w:rPr>
                <w:sz w:val="15"/>
                <w:szCs w:val="15"/>
                <w:color w:val="auto"/>
              </w:rPr>
            </w:pPr>
          </w:p>
        </w:tc>
        <w:tc>
          <w:tcPr>
            <w:tcW w:w="422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Newnan, Georgia</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Niles, Michigan</w:t>
            </w:r>
          </w:p>
        </w:tc>
        <w:tc>
          <w:tcPr>
            <w:tcW w:w="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419"/>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 Films</w:t>
            </w:r>
          </w:p>
        </w:tc>
        <w:tc>
          <w:tcPr>
            <w:tcW w:w="35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Pottsville, Pennsylvania</w:t>
            </w:r>
          </w:p>
        </w:tc>
        <w:tc>
          <w:tcPr>
            <w:tcW w:w="3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Guangzhou, China</w:t>
            </w:r>
          </w:p>
        </w:tc>
        <w:tc>
          <w:tcPr>
            <w:tcW w:w="37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Production of plastic films</w:t>
            </w:r>
          </w:p>
        </w:tc>
      </w:tr>
      <w:tr>
        <w:trPr>
          <w:trHeight w:val="432"/>
        </w:trPr>
        <w:tc>
          <w:tcPr>
            <w:tcW w:w="1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Flexible Packaging Films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Bloomfield, New York (technical center and</w:t>
            </w:r>
          </w:p>
        </w:tc>
        <w:tc>
          <w:tcPr>
            <w:tcW w:w="322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Cabo de Santo Agostinho, Brazil</w:t>
            </w:r>
          </w:p>
        </w:tc>
        <w:tc>
          <w:tcPr>
            <w:tcW w:w="3780" w:type="dxa"/>
            <w:vAlign w:val="bottom"/>
            <w:gridSpan w:val="3"/>
            <w:shd w:val="clear" w:color="auto" w:fill="CCEEFF"/>
          </w:tcPr>
          <w:p>
            <w:pPr>
              <w:ind w:left="840"/>
              <w:spacing w:after="0" w:line="184" w:lineRule="exact"/>
              <w:rPr>
                <w:sz w:val="20"/>
                <w:szCs w:val="20"/>
                <w:color w:val="auto"/>
              </w:rPr>
            </w:pPr>
            <w:r>
              <w:rPr>
                <w:rFonts w:ascii="Times New Roman" w:cs="Times New Roman" w:eastAsia="Times New Roman" w:hAnsi="Times New Roman"/>
                <w:sz w:val="18"/>
                <w:szCs w:val="18"/>
                <w:color w:val="auto"/>
              </w:rPr>
              <w:t>Production of PET-based films</w:t>
            </w:r>
          </w:p>
        </w:tc>
      </w:tr>
      <w:tr>
        <w:trPr>
          <w:trHeight w:val="234"/>
        </w:trPr>
        <w:tc>
          <w:tcPr>
            <w:tcW w:w="20" w:type="dxa"/>
            <w:vAlign w:val="bottom"/>
            <w:shd w:val="clear" w:color="auto" w:fill="CCEEFF"/>
          </w:tcPr>
          <w:p>
            <w:pPr>
              <w:spacing w:after="0"/>
              <w:rPr>
                <w:sz w:val="20"/>
                <w:szCs w:val="20"/>
                <w:color w:val="auto"/>
              </w:rPr>
            </w:pPr>
          </w:p>
        </w:tc>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bl>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jc w:val="both"/>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3 is set forth in Note 16 "Contingencies" to the Consolidated Financial Statements in Item 15 and is hereby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720" w:right="320" w:hanging="971"/>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0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Tredegar’s common stock is traded on the New York Stock Exchange (“NYSE”) under the ticker symbol “TG”. There were 34,430,769 shares of common stock held by 1,559 shareholders of record on March 8,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Information</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Prior to the third quarter of 2023, Tredegar paid a regular cash dividend every quarter since becoming a public company in July 1989. Under the ABL Facility, the Company is prohibited from making dividend payments during the fiscal quarters ending September 30, 2023 through December 31, 2024. See Note 7 “Debt and Credit Agreements” to the Consolidated Financial Statements in Item 15 for more information on the Company’s ABL Facility.</w:t>
      </w:r>
    </w:p>
    <w:p>
      <w:pPr>
        <w:spacing w:after="0" w:line="5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All decisions with respect to the declaration and payment of future dividends will be made by the Board in its sole discretion based upon earnings, financial condition, anticipated cash needs and other such considerations as the Board deems relevant.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January 7, 2008, Tredegar announced that the Board approved a share repurchase program whereby management is authorized at its discretion to purchase, in the open market or in privately negotiated transactions, up to 5 million shares of the Company’s outstanding common stock. The authorization has no time limit. Tredegar did not repurchase any shares in the open market or otherwise in 2023, 2022 or 2021 under this standing authorization. The maximum number of shares remaining under this standing authorization was 1,732,003 at December 31, 2023. Under the ABL Facility, the Company is prohibited from making share repurchases during the fiscal quarters ending September 30, 2023 through December 31, 2024.</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Graph</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returns for Tredegar, the S&amp;P SmallCap 600 Stock Index (an index comprised of companies with market capitalizations similar to Tredegar) and the Russell 2000 Index for the five years ended December 31, 2023. Tredegar is part of both the S&amp;P SmallCap 600 Index and Russell 2000 Index.</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COMPARISON OF 5 YEAR CUMULATIVE TOTAL RETURN*</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Among Tredegar Corporation,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4445</wp:posOffset>
            </wp:positionV>
            <wp:extent cx="5709285" cy="2400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928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*$100 invested on 12/31/18 in stock or index, including reinvestment of dividends.</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2023 Standard &amp; Poor's, a division of S&amp;P Global. All rights reserved.</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2023 Russell Investment Group. All rights reserved.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[RESERVED]</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focuses on and is intended to clarify the results of our operations, certain changes in our financial position, liquidity, capital structure and business developments for the periods covered by the consolidated financial statements included in this Form 10-K. This discussion should be read in conjunction with, and is qualified by reference to, the other related information including, but not limited to, the audited consolidated financial statements (including the notes thereto) and the description of our business, all as set forth in this Form 10-K, as well as the risk factors discussed above in Item 1A.</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section provides discussion and a year-to-year comparison for the years ended December 31, 2023 and 2022.</w:t>
      </w:r>
    </w:p>
    <w:p>
      <w:pPr>
        <w:spacing w:after="0" w:line="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1,900 employees, the Company operates manufacturing facilities in North America, South America, and Asia.</w:t>
      </w:r>
    </w:p>
    <w:p>
      <w:pPr>
        <w:spacing w:after="0" w:line="4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Earnings before interest and taxes (“EBIT”) from ongoing operations is a non-GAAP financial measure included in the reconciliation of segment financial information to consolidated results for the Company in Note 13 “Business Segments” to the Consolidated Financial Statements in Item 15. EBIT is not intended to represent the stand-alone results for Tredegar's ongoing operations under GAAP and should not be considered as an alternative to net income (loss)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Sales were $704.8 million in 2023 compared to $938.6 million in 2022. Net income (loss) was $(105.9) million ($(3.10) per diluted share) in 2023, compared with net income (loss) of $28.5 million ($0.84 per diluted share) in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Financial Results Highlights</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$38.0 million was $28.8 million lower than the year of 2022.</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$11.2 million was $0.7 million lower than the year of 2022.</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Flexible Packaging Films of $4.4 million was $23.1 million lower than the year of 2022.</w:t>
      </w:r>
    </w:p>
    <w:p>
      <w:pPr>
        <w:spacing w:after="0" w:line="10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 xml:space="preserve">Gains and losses associated with exit and disposal activities,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9"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versus 2022</w:t>
      </w:r>
    </w:p>
    <w:p>
      <w:pPr>
        <w:spacing w:after="0" w:line="108"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the year of 2022 to the year of 2023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year ended December 31, 2022</w:t>
            </w:r>
          </w:p>
        </w:tc>
        <w:tc>
          <w:tcPr>
            <w:tcW w:w="26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r>
      <w:tr>
        <w:trPr>
          <w:trHeight w:val="229"/>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year ended December 31, 2022</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32,844</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(233,739)</w:t>
            </w:r>
          </w:p>
        </w:tc>
      </w:tr>
      <w:tr>
        <w:trPr>
          <w:trHeight w:val="230"/>
        </w:trPr>
        <w:tc>
          <w:tcPr>
            <w:tcW w:w="7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(236,895)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164,932</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2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settlement loss</w:t>
            </w:r>
          </w:p>
        </w:tc>
        <w:tc>
          <w:tcPr>
            <w:tcW w:w="2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(92,291)</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w:t>
            </w:r>
          </w:p>
        </w:tc>
      </w:tr>
      <w:tr>
        <w:trPr>
          <w:trHeight w:val="230"/>
        </w:trPr>
        <w:tc>
          <w:tcPr>
            <w:tcW w:w="7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year ended December 31, 2023</w:t>
            </w:r>
          </w:p>
        </w:tc>
        <w:tc>
          <w:tcPr>
            <w:tcW w:w="2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(160,030)</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(54,125)</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for the year ended December 31, 2023</w:t>
            </w:r>
          </w:p>
        </w:tc>
        <w:tc>
          <w:tcPr>
            <w:tcW w:w="2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r>
    </w:tbl>
    <w:p>
      <w:pPr>
        <w:spacing w:after="0" w:line="15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Sales in 2023 decreased by 24.9% compared with 2022. Net sales decreased 25.6% in Aluminum Extrusions primarily due to lower sales volume and the pass-through of lower metal costs. Net sales decreased 21.3% in PE Films primarily due to lower volume in Surface Protection, resulting from weak demand in the consumer electronics market and customer inventory corrections during 2023. Net sales decreased in Flexible Packaging Films by 24.9% primarily due to lower sales volume and lower margin that the Company believes are driven by excess global capacity and competition in Brazil from imports, partially offset by favorable product mix. For more information on changes in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6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Other income (expense), net was $(2.1) million in 2023 compared to $1.0 million in 2022. The change in other income (expense), net was primarily due a $2.0 million charge to adjust the initial purchase price of the nonparticipating single premium group annuity contract as a result of the routine administrative process to transition the pension plan. Also, there was cash consideration of $0.3 million received in January 2023 compared to $1.4 million received in May 2022 related to customary post-closing adjustments on the sale of the investment in kaleo, Inc., which was sold in December 2021. See Note 9 “Other Income (Expense), net” to the Consolidated Financial Statements in Item 15 for additional information.</w:t>
      </w:r>
    </w:p>
    <w:p>
      <w:pPr>
        <w:spacing w:after="0" w:line="4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11.2% in 2023 versus 14.9% in 2022.</w:t>
      </w:r>
    </w:p>
    <w:p>
      <w:pPr>
        <w:spacing w:after="0" w:line="40" w:lineRule="exact"/>
        <w:rPr>
          <w:sz w:val="20"/>
          <w:szCs w:val="20"/>
          <w:color w:val="auto"/>
        </w:rPr>
      </w:pPr>
    </w:p>
    <w:p>
      <w:pPr>
        <w:ind w:left="660" w:right="12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Aluminum Extrusions decreased primarily due to: lower volume; higher labor and employee-related costs; lower labor productivity in the first half of 2023; higher supply expense (including higher paint expense associated with a shift to more painted product throughout 2023 and inflationary costs for other supplies); and higher freight rates; partially offset by higher pricing (primarily in the first quarter of 2023); lower utility costs; and favorable LIFO inventory adjustments in 2023 versus 2022. Additionally, the timing of the flow through under the first-in first-out method of aluminum raw material costs passed through to customers, previously acquired at higher prices in a quickly changing commodity pricing environment, resulted in a charge of $1.1 million in 2023 versus a benefit of $0.1 million in 2022.</w:t>
      </w:r>
    </w:p>
    <w:p>
      <w:pPr>
        <w:spacing w:after="0" w:line="6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PE Films increased primarily due to higher overwrap films contribution margin associated with higher volume and favorable mix, cost improvements and favorable LIFO inventory adjustments for both Surface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left="660" w:right="140"/>
        <w:spacing w:after="0" w:line="282" w:lineRule="auto"/>
        <w:rPr>
          <w:sz w:val="20"/>
          <w:szCs w:val="20"/>
          <w:color w:val="auto"/>
        </w:rPr>
      </w:pPr>
      <w:r>
        <w:rPr>
          <w:rFonts w:ascii="Times New Roman" w:cs="Times New Roman" w:eastAsia="Times New Roman" w:hAnsi="Times New Roman"/>
          <w:sz w:val="18"/>
          <w:szCs w:val="18"/>
          <w:color w:val="auto"/>
        </w:rPr>
        <w:t>Protection and overwrap films in 2023 versus 2022, partially offset by lower contribution margin for Surface Protection associated with a market slowdown, customer inventory corrections for non-transitioning products and for previously disclosed customer product transitions.</w:t>
      </w:r>
    </w:p>
    <w:p>
      <w:pPr>
        <w:spacing w:after="0" w:line="27" w:lineRule="exact"/>
        <w:rPr>
          <w:sz w:val="20"/>
          <w:szCs w:val="20"/>
          <w:color w:val="auto"/>
        </w:rPr>
      </w:pPr>
    </w:p>
    <w:p>
      <w:pPr>
        <w:ind w:left="660" w:right="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Flexible Packaging Films decreased primarily due to lower sales volume, lower selling prices from the pass-through of lower resin costs and margin pressures and higher fixed and variable costs, partially offset by lower raw material costs.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For more information on changes in operating costs and expenses,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R&amp;D expenses were 11.3% in 2023 compared with 9.1% in 2022. While SG&amp;A and R&amp;D expenses decreased 3.3% and 39.5% year-over-year, sales decreased $233.7 million or 24.9% compared with the prior year period. Lower SG&amp;A spending was primarily due to lower employee-related compensation and lower stock-based compensation, partially offset by higher professional fees associated with business development activities.</w:t>
      </w:r>
    </w:p>
    <w:p>
      <w:pPr>
        <w:spacing w:after="0" w:line="41"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color w:val="auto"/>
        </w:rPr>
        <w:t xml:space="preserve">For more information on changes in interest expense, see the “Corporate Expenses, Interest and Other” section of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37"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During 2023, the Company settled the pension plan, which resulted in a pre-tax pension settlement loss in the consolidated results of operation of $92.3 million. On November 3, 2023, the pension plan termination and settlement process was completed, and the Company’s relevant pension plan obligation was transferred to Massachusetts Mutual Life Insurance Company. See Note 8 “Retirement Plans and Other Postretirement Benefits” to the Consolidated Financial Statements in Item 15 for more information.</w:t>
      </w:r>
    </w:p>
    <w:p>
      <w:pPr>
        <w:spacing w:after="0" w:line="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2023, a non-cash partial goodwill impairment of $34.9 million was recognized, see Note 1 “Nature of Operations and Summary of Significant Accounting Policies” to the Consolidated Financial Statements in Item 15 for more information.</w:t>
      </w:r>
    </w:p>
    <w:p>
      <w:pPr>
        <w:spacing w:after="0" w:line="2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effective tax rate used to compute income taxes for the year of 2023 was 33.8%, compared to 13.4% in 2022. The increase in the effective tax rate is primarily due to tax benefits previously recorded in other comprehensive income (loss) that were released as a result of the pension plan termination, partially offset by a reduction in Brazilian tax incentives as a percentage of income. The stranded taxes released with the termination of the pension plan represent the effect of the change in federal and state tax rates on pension-related deferred tax items initially recorded in other comprehensive income. The related stranded taxes were released in full in 2023. See Note 12 “Income Taxes” to the Consolidated Financial Statements in Item 15 for additional information.</w:t>
      </w:r>
    </w:p>
    <w:p>
      <w:pPr>
        <w:spacing w:after="0" w:line="66" w:lineRule="exact"/>
        <w:rPr>
          <w:sz w:val="20"/>
          <w:szCs w:val="20"/>
          <w:color w:val="auto"/>
        </w:rPr>
      </w:pPr>
    </w:p>
    <w:p>
      <w:pPr>
        <w:jc w:val="both"/>
        <w:ind w:right="8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in 2023 detailed below are shown in the statements of net sales and EBITDA from ongoing operations by segment table in Note 13 “Business Segments” to the Consolidated Financial Statements in Item 15 and are included in “Asset impairments and costs associated with exit and disposal activities, net of adjustments” in the consolidated statements of income, unless otherwise noted.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7"/>
        </w:trPr>
        <w:tc>
          <w:tcPr>
            <w:tcW w:w="7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Q1</w:t>
            </w:r>
          </w:p>
        </w:tc>
        <w:tc>
          <w:tcPr>
            <w:tcW w:w="2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w:t>
            </w:r>
          </w:p>
        </w:tc>
        <w:tc>
          <w:tcPr>
            <w:tcW w:w="2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Q3</w:t>
            </w:r>
          </w:p>
        </w:tc>
        <w:tc>
          <w:tcPr>
            <w:tcW w:w="2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Q4</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20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 Films: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Impairment of Richmond, Virginia Technical Center assets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accelerated depreciation</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lease modification</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Flexible Packaging Films:</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75"/>
        </w:trPr>
        <w:tc>
          <w:tcPr>
            <w:tcW w:w="72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720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expense</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72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Pension settlement loss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48"/>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0"/>
        </w:trPr>
        <w:tc>
          <w:tcPr>
            <w:tcW w:w="7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ind w:left="180" w:hanging="154"/>
        <w:spacing w:after="0" w:line="234" w:lineRule="auto"/>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R&amp;D and general expenses” in the consolidated statements of income.</w:t>
      </w:r>
    </w:p>
    <w:p>
      <w:pPr>
        <w:ind w:left="180" w:hanging="154"/>
        <w:spacing w:after="0" w:line="211" w:lineRule="auto"/>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consolidated statements of income.</w:t>
      </w:r>
    </w:p>
    <w:p>
      <w:pPr>
        <w:ind w:left="180" w:hanging="154"/>
        <w:spacing w:after="0" w:line="211" w:lineRule="auto"/>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the "PE Films" section below.</w:t>
      </w:r>
    </w:p>
    <w:p>
      <w:pPr>
        <w:ind w:left="180" w:right="280" w:hanging="154"/>
        <w:spacing w:after="0" w:line="231" w:lineRule="auto"/>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the "Status of Current Corporate Strategic Initiatives" section below and Note 4 “Retirement Plans and Other Postretirement Benefits to the Consolidated Financial Statements in Item 15.</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5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152.3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68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5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858"/>
        </w:trPr>
        <w:tc>
          <w:tcPr>
            <w:tcW w:w="68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68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9" w:name="page20"/>
    <w:bookmarkEnd w:id="19"/>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138,451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7"/>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474,803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637,872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37,976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7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(17,927)</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20,049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49,386</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20,339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162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in 2023 decreased 25.6% versus 2022 primarily due to lower sales volume and the pass-through of lower metal costs.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decreased $28.8 million in 2023 versus 2022, primarily due to:</w:t>
      </w:r>
    </w:p>
    <w:p>
      <w:pPr>
        <w:spacing w:after="0" w:line="90" w:lineRule="exact"/>
        <w:rPr>
          <w:sz w:val="20"/>
          <w:szCs w:val="20"/>
          <w:color w:val="auto"/>
        </w:rPr>
      </w:pPr>
    </w:p>
    <w:p>
      <w:pPr>
        <w:ind w:left="660" w:right="1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volume ($29.6 million), higher labor and employee-related costs ($4.5 million), lower labor productivity in the first half of 2023 ($0.9 million), higher supply expense, including higher paint expense associated with a shift to more painted product throughout 2023 and inflationary costs for other supplies ($1.2 million), higher freight rates ($0.8 million) and higher SG&amp;A expenses ($1.5 million); partially offset by higher pricing, primarily in the first quarter of 2023 ($4.0 million), and lower utility costs ($2.3 million);</w:t>
      </w:r>
    </w:p>
    <w:p>
      <w:pPr>
        <w:spacing w:after="0" w:line="5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passed through to customers, previously acquired at higher prices in a quickly changing commodity pricing environment, resulted in a charge of $1.1 million in 2023 versus a benefit of $0.1 million in 2022; and</w:t>
      </w:r>
    </w:p>
    <w:p>
      <w:pPr>
        <w:spacing w:after="0" w:line="54"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last in, first out (“LIFO”) method resulted in a benefit of $1.2 million in 2023 versus a charge of $2.9 million in 2022. In addition, the Company recorded an unfavorable out-of-period adjustment of $0.6 million related to inventory and accrued labor costs in the third quarter and fourth quarters of 2022.</w:t>
      </w:r>
    </w:p>
    <w:p>
      <w:pPr>
        <w:spacing w:after="0" w:line="41"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Aluminum Extrusions believes that it has adequate supply agreements for aluminum raw materials in 2024. See discussion of quantitative and qualitative disclosures about market risk in Item 7A in this Form 10-K for additional information on aluminum price trends.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Capital expenditures for Bonnell Aluminum are projected to be $9 million in 2024, including $4 million for productivity projects and $5 million for capital expenditures required to support continuity of operations. The projected spending reflects stringent spending measures that the Company has implemented to control its financial leverage (see the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section for more information). The multi-year implementation of the new ERP/MES has been reorganized with an extended implementation period. As a result, the earliest “go-live” date for the new ERP/MES is 2025. The ERP/MES project commenced in 2022, with spending to-date of approximately $21 million. Depreciation expense is projected to be $16 million in 2024. Amortization expense is projected to be $2 million in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62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29,355</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6"/>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76,763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97,571</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11,217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(6,522)</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4,695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620" w:type="dxa"/>
            <w:vAlign w:val="bottom"/>
            <w:shd w:val="clear" w:color="auto" w:fill="CCEEFF"/>
          </w:tcPr>
          <w:p>
            <w:pPr>
              <w:spacing w:after="0"/>
              <w:rPr>
                <w:sz w:val="19"/>
                <w:szCs w:val="19"/>
                <w:color w:val="auto"/>
              </w:rPr>
            </w:pPr>
          </w:p>
        </w:tc>
      </w:tr>
    </w:tbl>
    <w:p>
      <w:pPr>
        <w:spacing w:after="0" w:line="157"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sales in 2023 decreased 21.3% versus 2022, primarily due to lower volume in Surface Protection, resulting from weak demand in the consumer electronics market and customer inventory corrections during 2023. Sales volume in 2023 for surface protection films declined 22% and increased 2% for overwrap films versus 2022.</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2023 decreased $0.7 million versus 2022 primarily due to:</w:t>
      </w:r>
    </w:p>
    <w:p>
      <w:pPr>
        <w:spacing w:after="0" w:line="10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decrease from Surface Protection:</w:t>
      </w:r>
    </w:p>
    <w:p>
      <w:pPr>
        <w:spacing w:after="0" w:line="90"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for non-transitioning products associated with a market slowdown and customer inventory corrections ($11.1 million) and for previously disclosed customer product transitions ($0.7 million), partially offset by favorable pricing ($0.5 million), operating efficiencies ($2.6 million) and cost improvements ($3.2 million);</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($0.3 million charge in 2023 versus a benefit of $0.5 million in 2022);</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gain of $0.2 million in 2023 versus a gain of $0.8 million in 2022; and</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benefit of $1.0 million in 2023 versus a charge of $0.1 million in 2022.</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increase from overwrap films primarily due:</w:t>
      </w:r>
    </w:p>
    <w:p>
      <w:pPr>
        <w:spacing w:after="0" w:line="103"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contribution margin associated with higher volume and favorable mix ($1.3 million), cost improvements ($3.1 million) and lower SG&amp;A ($0.4 million);</w:t>
      </w:r>
    </w:p>
    <w:p>
      <w:pPr>
        <w:spacing w:after="0" w:line="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(a charge of $0.2 million in 2023 versus a benefit of $0.4 million in 2022); and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benefit of $0.3 million in 2023 versus a charge of $0.4 million in 2022.</w:t>
      </w:r>
    </w:p>
    <w:p>
      <w:pPr>
        <w:spacing w:after="0" w:line="25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Future research and development activities for PE Films will be performed at the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the first quarter of 2024. The Company recognized total expense incurred through December 31, 2023 associated with exit activities of $1.3 million for: (i) severance and related costs</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($0.9 million) and (ii) building closure costs ($0.4 million). In addition, the Company recognized a non-cash asset impairment ($3.5 million), accelerated depreciation ($0.3 million) and a gain on the lease modification ($0.1 million). Net annual cash savings of $3.4 million are anticipated, which began in the fourth quarter of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$2 million in 2024, including $1 million for productivity projects and $1 million for capital expenditures required to support continuity of current operations. Depreciation expense is projected to be $6 million in 2024. There is no amortization expense for PE Films.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Flexible Packaging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Year Ended</w:t>
            </w:r>
          </w:p>
        </w:tc>
        <w:tc>
          <w:tcPr>
            <w:tcW w:w="16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1620" w:type="dxa"/>
            <w:vAlign w:val="bottom"/>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88,536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126,326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168,139</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1,518</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4,323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Net sales in 2023 decreased 24.9% compared to 2022, primarily due to lower sales volume and lower margin that the Company believes were driven by excess global capacity and competition in Brazil from imports, partially offset by favorable product mix.</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2023 decreased by $23.1 million versus 2022, primarily due to:</w:t>
      </w:r>
    </w:p>
    <w:p>
      <w:pPr>
        <w:spacing w:after="0" w:line="104" w:lineRule="exact"/>
        <w:rPr>
          <w:sz w:val="20"/>
          <w:szCs w:val="20"/>
          <w:color w:val="auto"/>
        </w:rPr>
      </w:pPr>
    </w:p>
    <w:p>
      <w:pPr>
        <w:ind w:left="660" w:right="260" w:hanging="328"/>
        <w:spacing w:after="0" w:line="289"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selling prices from the pass-through of lower resin costs and margin pressures ($17.6 million), lower sales volume ($9.7 million), higher fixed costs ($1.0 million, primarily due to under absorption from lower production volumes) and higher variable costs ($1.3 million, including higher costs resulting from quality issues), partially offset by lower raw material costs ($5.9 million) and lower SG&amp;A expenses ($2.3 million);</w:t>
      </w:r>
    </w:p>
    <w:p>
      <w:pPr>
        <w:spacing w:after="0" w:line="2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($0.3 million) in 2023 compared to foreign currency transaction losses ($0.2 million) in 2022;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($1.4 million) in 2023 versus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expenditures are projected to be $4 million in 2024, for capital expenditures required to support continuity of current operations. Depreciation expense is projected to be $3 million in 2024. Amortization expense is projected to be $0.1 million in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Expenses, Interest and Other</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Corporate expenses, net in 2023 decreased by $1.8 million compared to 2022, primarily due to lower pension expense as a result of the pension plan termination completed in 2023 ($3.7 million), lower accruals for employee-related compensation ($2.1 million) and lower stock-based compensation ($1.4 million), partially offset by higher professional fees associated with business development activities ($3.2 million) and a charge to adjust the initial purchase price of the nonparticipating single premium group annuity contract as a result of the routine administrative process to transition the pension plan ($2.0 million).</w:t>
      </w:r>
    </w:p>
    <w:p>
      <w:pPr>
        <w:spacing w:after="0" w:line="4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Interest expense was $11.6 million in 2023 in comparison to $5.0 million in 2022, primarily due to higher weighted average total debt outstanding, higher interest rates and the write-off of $1.1 million of deferred financing fees.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Status of Current Corporate Strategic Initiatives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status of current corporate strategic initiatives is as follows: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Agreement to Sell Terphane</w:t>
      </w:r>
    </w:p>
    <w:p>
      <w:pPr>
        <w:spacing w:after="0" w:line="106"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Terphane to Oben Group (the “Contingent Terphane Sale”).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 Brazil. The regulatory review process is ongoing and in line with the Company’s expectations. CADE’s maximum deadline for completing its review is no later than November 18, 2024. The merger review regarding the transaction was cleared by the Colombian authority in early February 2024.</w:t>
      </w:r>
    </w:p>
    <w:p>
      <w:pPr>
        <w:spacing w:after="0" w:line="5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reported results for Terphane as a continuing operation, given the early stage of the approval process by authorities. If the Contingent Terphane Sale transaction is completed, the Company expects to realize after-tax cash proceeds of $85 million after deducting projected Brazil withholding taxes, escrow funds, U.S. capital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right="140"/>
        <w:spacing w:after="0" w:line="282" w:lineRule="auto"/>
        <w:rPr>
          <w:sz w:val="20"/>
          <w:szCs w:val="20"/>
          <w:color w:val="auto"/>
        </w:rPr>
      </w:pPr>
      <w:r>
        <w:rPr>
          <w:rFonts w:ascii="Times New Roman" w:cs="Times New Roman" w:eastAsia="Times New Roman" w:hAnsi="Times New Roman"/>
          <w:sz w:val="18"/>
          <w:szCs w:val="18"/>
          <w:color w:val="auto"/>
        </w:rPr>
        <w:t>gains taxes and transaction costs. Actual after-tax net proceeds may differ from this estimate due to possible changes in deductions and the Company's tax situation during the potentially lengthy interim period to the closing date.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Pension Plan Termination</w:t>
      </w:r>
    </w:p>
    <w:p>
      <w:pPr>
        <w:spacing w:after="0" w:line="10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On September 27, 2023, the Company borrowed $30 million under the Prior Credit Agreement (as defined below) in anticipation of the final funding expected for terminating its defined benefit pension plan obligation. On October 31, 2023, the Company used this cash to contribute $27.7 million to fully fund the pension plan with the amount necessary to purchase from Massachusetts Mutual Life Insurance Company a nonparticipating single premium group annuity contract for $157.5 million, subject to final premium adjustments. On November 3, 2023, the pension plan termination and settlement process was completed, and the Company’s relevant pension plan obligation was transferred to Massachusetts Mutual Life Insurance Company. This completed the pension plan termination process that began in February 2022. During 2023, the Company recognized a pre-tax pension settlement loss of $92.3 million.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continuously focuses on working capital management. Measures such as days sales outstanding (“DSO”), days inventory outstanding (“DIO”) and days payables outstanding (“DPO”) are used to evaluate changes in working capital. Changes in operating assets and liabilities from December 31, 2022 to December 31, 2023 are summarized below.</w:t>
      </w:r>
    </w:p>
    <w:p>
      <w:pPr>
        <w:spacing w:after="0" w:line="54"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decreased $16.6 million or 19.6%.</w:t>
      </w:r>
    </w:p>
    <w:p>
      <w:pPr>
        <w:spacing w:after="0" w:line="103" w:lineRule="exact"/>
        <w:rPr>
          <w:rFonts w:ascii="Times New Roman" w:cs="Times New Roman" w:eastAsia="Times New Roman" w:hAnsi="Times New Roman"/>
          <w:sz w:val="18"/>
          <w:szCs w:val="18"/>
          <w:color w:val="auto"/>
        </w:rPr>
      </w:pPr>
    </w:p>
    <w:p>
      <w:pPr>
        <w:ind w:left="740" w:right="60" w:hanging="327"/>
        <w:spacing w:after="0" w:line="266"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decreased $15.4 million primarily due to lower sales volume and the pass-through of lower metal costs. DSO (computed using trailing 12 months net sales and a rolling 12-month average of accounts and other receivables balances) was approximately 45.1 days in 2023 and 48.7 days in 2022.</w:t>
      </w:r>
    </w:p>
    <w:p>
      <w:pPr>
        <w:spacing w:after="0" w:line="40" w:lineRule="exact"/>
        <w:rPr>
          <w:rFonts w:ascii="Times New Roman" w:cs="Times New Roman" w:eastAsia="Times New Roman" w:hAnsi="Times New Roman"/>
          <w:sz w:val="18"/>
          <w:szCs w:val="18"/>
          <w:color w:val="auto"/>
        </w:rPr>
      </w:pPr>
    </w:p>
    <w:p>
      <w:pPr>
        <w:ind w:left="740" w:right="340" w:hanging="327"/>
        <w:spacing w:after="0" w:line="282"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increased $0.6 million primarily due to higher sales volume in overwrap films, partially offset by lower sales volume in Surface Protection. DSO was approximately 26.3 days in 2023 and 30.3 days in 2022.</w:t>
      </w:r>
    </w:p>
    <w:p>
      <w:pPr>
        <w:spacing w:after="0" w:line="40" w:lineRule="exact"/>
        <w:rPr>
          <w:rFonts w:ascii="Times New Roman" w:cs="Times New Roman" w:eastAsia="Times New Roman" w:hAnsi="Times New Roman"/>
          <w:sz w:val="18"/>
          <w:szCs w:val="18"/>
          <w:color w:val="auto"/>
        </w:rPr>
      </w:pPr>
    </w:p>
    <w:p>
      <w:pPr>
        <w:ind w:left="740" w:right="240" w:hanging="327"/>
        <w:spacing w:after="0" w:line="282"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Flexible Packaging Films decreased $1.9 million primarily due to lower sales. DSO was approximately 38.1 days in 2023 and 41.1 days in 2022.</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decreased $45.7 million or 35.8%.</w:t>
      </w:r>
    </w:p>
    <w:p>
      <w:pPr>
        <w:spacing w:after="0" w:line="90" w:lineRule="exact"/>
        <w:rPr>
          <w:rFonts w:ascii="Times New Roman" w:cs="Times New Roman" w:eastAsia="Times New Roman" w:hAnsi="Times New Roman"/>
          <w:sz w:val="18"/>
          <w:szCs w:val="18"/>
          <w:color w:val="auto"/>
        </w:rPr>
      </w:pPr>
    </w:p>
    <w:p>
      <w:pPr>
        <w:ind w:left="740" w:right="260" w:hanging="327"/>
        <w:spacing w:after="0" w:line="261"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decreased $24.1 million primarily due to decreased raw material levels which align to lower demand and strict working capital targets, partially offset by a LIFO inventory benefit of $1.2 million in 2023 versus a charge of $2.9 million in 2022. DIO (computed using trailing 12 months costs of goods sold calculated on a FIFO basis and a rolling 12-month average of inventory balances calculated on the FIFO basis) was approximately 51.6 days in 2023 and 53.6 days in 2022.</w:t>
      </w:r>
    </w:p>
    <w:p>
      <w:pPr>
        <w:spacing w:after="0" w:line="58" w:lineRule="exact"/>
        <w:rPr>
          <w:rFonts w:ascii="Times New Roman" w:cs="Times New Roman" w:eastAsia="Times New Roman" w:hAnsi="Times New Roman"/>
          <w:sz w:val="18"/>
          <w:szCs w:val="18"/>
          <w:color w:val="auto"/>
        </w:rPr>
      </w:pPr>
    </w:p>
    <w:p>
      <w:pPr>
        <w:ind w:left="740" w:right="240" w:hanging="327"/>
        <w:spacing w:after="0" w:line="282"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decreased $1.9 million due to lower raw materials costs, partially offset by a LIFO inventory benefit of $1.3 million in 2023 versus a charge of $0.5 million in 2022. The DIO was approximately 57.2 days in 2023 and 66.8 days in 2022.</w:t>
      </w:r>
    </w:p>
    <w:p>
      <w:pPr>
        <w:spacing w:after="0" w:line="40" w:lineRule="exact"/>
        <w:rPr>
          <w:rFonts w:ascii="Times New Roman" w:cs="Times New Roman" w:eastAsia="Times New Roman" w:hAnsi="Times New Roman"/>
          <w:sz w:val="18"/>
          <w:szCs w:val="18"/>
          <w:color w:val="auto"/>
        </w:rPr>
      </w:pPr>
    </w:p>
    <w:p>
      <w:pPr>
        <w:ind w:left="740" w:right="240" w:hanging="327"/>
        <w:spacing w:after="0" w:line="261"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decreased $19.7 million primarily due to lower raw material purchases, lower work-in-process and finished goods levels as a result of lower sales volume. DIO of approximately 117.7 days in 2023 was higher compared to 108.0 days for 2022 due to the lower 12-month average of costs of goods sold as a result of lower sales volume and lower margin that the Company believes are driven by excess global capacity and competition in Brazil from imports.</w:t>
      </w:r>
    </w:p>
    <w:p>
      <w:pPr>
        <w:spacing w:after="0" w:line="44"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by $3.0 million or 1.6% primarily due to depreciation expense ($25.8 million) and the impairment of assets from the closure of the Richmond, VA technical center ($3.5 million), partially offset by capital expenditures ($25.6 million).</w:t>
      </w:r>
    </w:p>
    <w:p>
      <w:pPr>
        <w:spacing w:after="0" w:line="40"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by $1.8 million or 15.7% primarily due to amortization expense.</w:t>
      </w:r>
    </w:p>
    <w:p>
      <w:pPr>
        <w:spacing w:after="0" w:line="103" w:lineRule="exact"/>
        <w:rPr>
          <w:rFonts w:ascii="Times New Roman" w:cs="Times New Roman" w:eastAsia="Times New Roman" w:hAnsi="Times New Roman"/>
          <w:sz w:val="18"/>
          <w:szCs w:val="18"/>
          <w:color w:val="auto"/>
        </w:rPr>
      </w:pPr>
    </w:p>
    <w:p>
      <w:pPr>
        <w:ind w:left="260" w:hanging="252"/>
        <w:spacing w:after="0" w:line="260" w:lineRule="auto"/>
        <w:tabs>
          <w:tab w:leader="none" w:pos="25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Deferred income tax assets increased $11.1 million or 80.1% primarily due to an increase in net operating loss, tax credit and interest limitation carryforwards. Deferred tax liabilities related to intangible amortization and depreciation decreased $11.8 million while deferred taxes assets related to pension, employee benefits and inventory decreased $10.6 million. See Note 12 “Income Taxes” to the Consolidated Financial Statements in Item 15 for additional information.</w:t>
      </w:r>
    </w:p>
    <w:p>
      <w:pPr>
        <w:spacing w:after="0" w:line="47"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by $19.9 million or 17.3%.</w:t>
      </w:r>
    </w:p>
    <w:p>
      <w:pPr>
        <w:spacing w:after="0" w:line="103" w:lineRule="exact"/>
        <w:rPr>
          <w:rFonts w:ascii="Times New Roman" w:cs="Times New Roman" w:eastAsia="Times New Roman" w:hAnsi="Times New Roman"/>
          <w:sz w:val="18"/>
          <w:szCs w:val="18"/>
          <w:color w:val="auto"/>
        </w:rPr>
      </w:pPr>
    </w:p>
    <w:p>
      <w:pPr>
        <w:jc w:val="both"/>
        <w:ind w:left="740" w:right="300" w:hanging="327"/>
        <w:spacing w:after="0" w:line="266" w:lineRule="auto"/>
        <w:tabs>
          <w:tab w:leader="none" w:pos="7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decreased $15.7 million, primarily due to lower raw material purchases to align with demand and strict working capital targets. DPO (computed using trailing 12 months costs of goods sold calculated on a FIFO basis and a rolling 12-month average of accounts payable balances) was approximately 49.8 days in 2023 and 64.2 days in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left="740" w:right="140" w:hanging="327"/>
        <w:spacing w:after="0" w:line="282" w:lineRule="auto"/>
        <w:tabs>
          <w:tab w:leader="none" w:pos="7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remained relatively flat. DPO of approximately 43.4 days in 2023 was lower compared to 51.0 days for 2022 due to lower raw materials associated with overwrap films.</w:t>
      </w:r>
    </w:p>
    <w:p>
      <w:pPr>
        <w:spacing w:after="0" w:line="26" w:lineRule="exact"/>
        <w:rPr>
          <w:rFonts w:ascii="Times New Roman" w:cs="Times New Roman" w:eastAsia="Times New Roman" w:hAnsi="Times New Roman"/>
          <w:sz w:val="18"/>
          <w:szCs w:val="18"/>
          <w:color w:val="auto"/>
        </w:rPr>
      </w:pPr>
    </w:p>
    <w:p>
      <w:pPr>
        <w:ind w:left="740" w:hanging="327"/>
        <w:spacing w:after="0" w:line="282" w:lineRule="auto"/>
        <w:tabs>
          <w:tab w:leader="none" w:pos="7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decreased $3.9 million, primarily due to lower raw material purchases, lower work-in-process, and finished goods levels as a result of lower sales volume. DPO was approximately 61.7 days in 2023 and 72.4 days in 2022.</w:t>
      </w:r>
    </w:p>
    <w:p>
      <w:pPr>
        <w:spacing w:after="0" w:line="40"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$24.0 million in 2023 compared to net cash used in operating activities of $20.8 million in 2022. The change in operating activities is primarily due to pension plan contributions of $27.7 million in 2023 compared to $50 million in 2022 and improved working capital due to factors discussed earlier in this section relating to accounts and other receivables, inventories and accounts payable.</w:t>
      </w:r>
    </w:p>
    <w:p>
      <w:pPr>
        <w:spacing w:after="0" w:line="5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$26.2 million in 2023 compared to $35.5 million in 2022. The change in investing activities is primarily due to lower capital expenditure spending ($10.4 million).</w:t>
      </w:r>
    </w:p>
    <w:p>
      <w:pPr>
        <w:spacing w:after="0" w:line="27"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$4.5 million in 2023 compared to net cash provided by financing activities of $45.4 million in 2022. The change in financing activities is primarily due to lower net borrowings ($55.6 million) under the ABL Facility and the Prior Credit Agreement and Terphane Brazil Loan (defined below), higher deferred financing costs ($2.8 million), partially offset by lower dividends paid in 2023 ($8.1 million).</w:t>
      </w:r>
    </w:p>
    <w:p>
      <w:pPr>
        <w:spacing w:after="0" w:line="5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2023, Tredegar had cash, cash equivalents and restricted cash of $13.5 million, including funds held in locations outside the U.S. of $9.8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106"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On August 3, 2023, the Company entered into Amendment No. 2 to the Second Amended and Restated Credit Agreement (collectively the “Prior Credit Agreement”), which amended the financial covenants and decreased aggregate borrowings from $375 million to $200 million.</w:t>
      </w:r>
    </w:p>
    <w:p>
      <w:pPr>
        <w:spacing w:after="0" w:line="40"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December 27, 2023, the Company entered into Amendment No. 3 (the “ABL Facility”) to the Prior Credit Agreement, which provides the Company with $180 million senior secured asset-based revolving credit facility that will expire on June 30, 2026.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March 31, 2025 or the date the Company receives the proceeds from the sale of Terphane (the “ABL Adjustment Date”), the $180 million ABL Facility will be reduced to $125 million. As of December 31, 2023, availability under the ABL Facility was $22.9 million, after reducing the availability by the aggregate outstanding borrowings of $126.3 million, standby letters of credit of $13.1 million and the Minimum Liquidity (as defined in the ABL Facility) financial covenant.</w:t>
      </w:r>
    </w:p>
    <w:p>
      <w:pPr>
        <w:spacing w:after="0" w:line="53"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The financial covenants in the ABL Facility, which are reported to lenders on a monthly basis, include:</w:t>
      </w:r>
    </w:p>
    <w:p>
      <w:pPr>
        <w:spacing w:after="0" w:line="90" w:lineRule="exact"/>
        <w:rPr>
          <w:sz w:val="20"/>
          <w:szCs w:val="20"/>
          <w:color w:val="auto"/>
        </w:rPr>
      </w:pPr>
    </w:p>
    <w:p>
      <w:pPr>
        <w:ind w:left="560" w:right="40" w:hanging="328"/>
        <w:spacing w:after="0" w:line="266" w:lineRule="auto"/>
        <w:tabs>
          <w:tab w:leader="none" w:pos="5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ABL Adjustment Date, the Company is required to maintain (i) minimum Credit EBITDA (as defined in the ABL Facility), as of the end of each fiscal month for the 12-month period then ended (presented below) and (ii) a Minimum Liquidity (as defined in the ABL Facility) of $10.0 million.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00" w:type="dxa"/>
            <w:vAlign w:val="bottom"/>
            <w:tcBorders>
              <w:top w:val="single" w:sz="8" w:color="auto"/>
            </w:tcBorders>
          </w:tcPr>
          <w:p>
            <w:pPr>
              <w:spacing w:after="0"/>
              <w:rPr>
                <w:sz w:val="22"/>
                <w:szCs w:val="22"/>
                <w:color w:val="auto"/>
              </w:rPr>
            </w:pPr>
          </w:p>
        </w:tc>
        <w:tc>
          <w:tcPr>
            <w:tcW w:w="7480" w:type="dxa"/>
            <w:vAlign w:val="bottom"/>
            <w:tcBorders>
              <w:top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Minimum Credit EBITDA (In thousands)</w:t>
            </w:r>
          </w:p>
        </w:tc>
        <w:tc>
          <w:tcPr>
            <w:tcW w:w="980" w:type="dxa"/>
            <w:vAlign w:val="bottom"/>
            <w:tcBorders>
              <w:top w:val="single" w:sz="8" w:color="auto"/>
            </w:tcBorders>
          </w:tcPr>
          <w:p>
            <w:pPr>
              <w:spacing w:after="0"/>
              <w:rPr>
                <w:sz w:val="22"/>
                <w:szCs w:val="22"/>
                <w:color w:val="auto"/>
              </w:rPr>
            </w:pPr>
          </w:p>
        </w:tc>
      </w:tr>
      <w:tr>
        <w:trPr>
          <w:trHeight w:val="22"/>
        </w:trPr>
        <w:tc>
          <w:tcPr>
            <w:tcW w:w="2600" w:type="dxa"/>
            <w:vAlign w:val="bottom"/>
            <w:tcBorders>
              <w:bottom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74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7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r>
      <w:tr>
        <w:trPr>
          <w:trHeight w:val="22"/>
        </w:trPr>
        <w:tc>
          <w:tcPr>
            <w:tcW w:w="2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7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7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29,980</w:t>
            </w:r>
          </w:p>
        </w:tc>
      </w:tr>
      <w:tr>
        <w:trPr>
          <w:trHeight w:val="29"/>
        </w:trPr>
        <w:tc>
          <w:tcPr>
            <w:tcW w:w="260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560" w:hanging="328"/>
        <w:spacing w:after="0" w:line="266"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w:t>
      </w: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985" w:right="33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t>The computation of Credit EBITDA,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December 31, 2023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December 31, 2023 (in thousands):</w:t>
            </w:r>
          </w:p>
        </w:tc>
        <w:tc>
          <w:tcPr>
            <w:tcW w:w="5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0" w:type="dxa"/>
            <w:vAlign w:val="bottom"/>
          </w:tcPr>
          <w:p>
            <w:pPr>
              <w:spacing w:after="0"/>
              <w:rPr>
                <w:sz w:val="1"/>
                <w:szCs w:val="1"/>
                <w:color w:val="auto"/>
              </w:rPr>
            </w:pPr>
          </w:p>
        </w:tc>
      </w:tr>
      <w:tr>
        <w:trPr>
          <w:trHeight w:val="229"/>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5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5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139,860</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related of $8,749)</w:t>
            </w:r>
          </w:p>
        </w:tc>
        <w:tc>
          <w:tcPr>
            <w:tcW w:w="5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Terphane sale transaction costs in an amount not to exceed $10,000</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(54,125)</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w:t>
            </w: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5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0" w:type="dxa"/>
            <w:vAlign w:val="bottom"/>
          </w:tcPr>
          <w:p>
            <w:pPr>
              <w:spacing w:after="0"/>
              <w:rPr>
                <w:sz w:val="1"/>
                <w:szCs w:val="1"/>
                <w:color w:val="auto"/>
              </w:rPr>
            </w:pPr>
          </w:p>
        </w:tc>
      </w:tr>
      <w:tr>
        <w:trPr>
          <w:trHeight w:val="228"/>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260" w:right="80" w:hanging="234"/>
        <w:spacing w:after="0" w:line="245" w:lineRule="auto"/>
        <w:tabs>
          <w:tab w:leader="none" w:pos="2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t>The computation of the ABL Facility availability and Minimum Liquidity covenant, as defined in the ABL Facility,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6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Year Ended</w:t>
            </w:r>
          </w:p>
        </w:tc>
      </w:tr>
      <w:tr>
        <w:trPr>
          <w:trHeight w:val="252"/>
        </w:trPr>
        <w:tc>
          <w:tcPr>
            <w:tcW w:w="9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aggregate principal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70"/>
        </w:trPr>
        <w:tc>
          <w:tcPr>
            <w:tcW w:w="9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75"/>
        </w:trPr>
        <w:tc>
          <w:tcPr>
            <w:tcW w:w="9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Maximum borrowing limit per the Borrowing base as defined in the ABL Facility (includes eligible domestic cash and cash</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 of $3,846)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172,286</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 outstanding debt (matures on June 30, 2026)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126,322</w:t>
            </w:r>
          </w:p>
        </w:tc>
      </w:tr>
      <w:tr>
        <w:trPr>
          <w:trHeight w:val="230"/>
        </w:trPr>
        <w:tc>
          <w:tcPr>
            <w:tcW w:w="9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standby letters of credit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r>
      <w:tr>
        <w:trPr>
          <w:trHeight w:val="223"/>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ABL Facility availability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w:t>
            </w:r>
          </w:p>
        </w:tc>
      </w:tr>
      <w:tr>
        <w:trPr>
          <w:trHeight w:val="230"/>
        </w:trPr>
        <w:tc>
          <w:tcPr>
            <w:tcW w:w="9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Liquidity covenant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ABL Facility availability in excess of Minimum Liquidity covenant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22,884</w:t>
            </w:r>
          </w:p>
        </w:tc>
      </w:tr>
    </w:tbl>
    <w:p>
      <w:pPr>
        <w:spacing w:after="0" w:line="15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financial covenants, the ABL Facility contains restrictive covenants, including covenants that restrict the Company’s ability to pay dividends and repurchase shares of its common stock.</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the Company was in compliance with all debt covenants.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Terphane Brazil Loan</w:t>
      </w:r>
    </w:p>
    <w:p>
      <w:pPr>
        <w:spacing w:after="0" w:line="10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October 26, 2023, Terphane Ltda., the Company’s wholly owned subsidiary in Brazil, borrowed $20 million secured by certain of its assets (“Terphane Brazil Loan”). This U.S. Dollar borrowing matures on October 30, 2028. The Company expects that the Terphane Brazil Loan will be repaid (and collateral released) upon the closing of the Contingent Terphane Sale. On October 26, 2023, the Company borrowed $20 million from Terphane Brazil (the “Intercompany Loan”) at the same interest rate as the Terphane Brazil Loan, thereby transferring the funds to the U.S. The Company will repay the Intercompany Loan in conjunction with the closing of the Contingent Terphane Sale.</w:t>
      </w:r>
    </w:p>
    <w:p>
      <w:pPr>
        <w:spacing w:after="0" w:line="6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For more information on the ABL Facility and the Terphane Brazil Loan, see Note 7 “Debt and Credit Agreements” to the Consolidated Financial Statements in Item 15.</w:t>
      </w:r>
    </w:p>
    <w:p>
      <w:pPr>
        <w:spacing w:after="0" w:line="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 In addition, the completion of the Contingent Terphane Sale would provide additional liquidity.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Cash Requirements for Known Contractual and Other Obligations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material cash requirements from known contractual and other obligations as of December 31, 2023 were as follows: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interest payments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the Company had outstanding debt from the ABL Facility of $126.3 million with contractual payments due in June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interest payments associated with the ABL Facility total $28.6 million, with $11.5 million payable within the next 12 months.</w:t>
      </w:r>
    </w:p>
    <w:p>
      <w:pPr>
        <w:spacing w:after="0" w:line="8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2023, Terphane Ltda., the Company’s wholly owned subsidiary in Brazil, had outstanding debt of $20.0 million under the Terphane Brazil Loan. Estimated future interest payments associated with the Terphane Brazil Loan total $7.9 million, with $2.3 million payable within the next 12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commitments</w:t>
      </w:r>
    </w:p>
    <w:p>
      <w:pPr>
        <w:spacing w:after="0" w:line="104" w:lineRule="exact"/>
        <w:rPr>
          <w:sz w:val="20"/>
          <w:szCs w:val="20"/>
          <w:color w:val="auto"/>
        </w:rPr>
      </w:pPr>
    </w:p>
    <w:p>
      <w:pPr>
        <w:jc w:val="both"/>
        <w:ind w:right="140" w:firstLine="405"/>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Projected Capital Expenditures and Depreciation &amp; Amortization</w:t>
      </w:r>
      <w:r>
        <w:rPr>
          <w:rFonts w:ascii="Times New Roman" w:cs="Times New Roman" w:eastAsia="Times New Roman" w:hAnsi="Times New Roman"/>
          <w:sz w:val="18"/>
          <w:szCs w:val="18"/>
          <w:color w:val="auto"/>
        </w:rPr>
        <w:t>” within “</w:t>
      </w:r>
      <w:r>
        <w:rPr>
          <w:rFonts w:ascii="Times New Roman" w:cs="Times New Roman" w:eastAsia="Times New Roman" w:hAnsi="Times New Roman"/>
          <w:sz w:val="18"/>
          <w:szCs w:val="18"/>
          <w:b w:val="1"/>
          <w:bCs w:val="1"/>
          <w:i w:val="1"/>
          <w:iCs w:val="1"/>
          <w:color w:val="auto"/>
        </w:rPr>
        <w:t>Segment Operations Overview</w:t>
      </w:r>
      <w:r>
        <w:rPr>
          <w:rFonts w:ascii="Times New Roman" w:cs="Times New Roman" w:eastAsia="Times New Roman" w:hAnsi="Times New Roman"/>
          <w:sz w:val="18"/>
          <w:szCs w:val="18"/>
          <w:color w:val="auto"/>
        </w:rPr>
        <w:t>” above in this Item 7 for discussion of the Company’s planned investment in capital expenditures in 2024, of which $1.2 million are contractual commitments that existed as of December 31,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Company enters into various operating leases primarily for real estate, office equipment and vehicles. See Note 4 “Leases” to the Consolidated Financial Statements in Item 15 for additional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tax benefits on uncertain tax positions were $0.7 million. Tax payments resulting from the successful challenge by the taxing authority on uncertain tax positions taken by Tredegar would possibly result in the payment of estimated interest and penalties of $0.2 million if tax payments were made as a result of a successful challenge by the taxing authority on uncertain tax positions. Due to uncertainties in the timing of potential tax audits, the timing of the resolution of these positions is uncertain. Therefore, the Company is unable to make a reasonably reliable estimate of the timing of payments beyond 12 months. See Note 12 “Income Taxes” to the Consolidated Financial Statements in Item 15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Company has no material off-balance sheet arrangements that have had or are reasonably likely to have a material current or future effect on its financial condition, changes in financial condition, revenues or expenses, results of operations, liquidity, capital expenditures or capital resources.</w:t>
      </w:r>
    </w:p>
    <w:p>
      <w:pPr>
        <w:spacing w:after="0" w:line="40"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color w:val="auto"/>
        </w:rPr>
        <w:t>From time to time, the Company enters into transactions with third parties in connection with the sale of assets or businesses in which it agrees to indemnify the buyers or third parties involved in the transaction, or the sellers or third parties involved in the transaction agree to indemnify Tredegar, for certain liabilities or risks related to the assets or business. Also, in the ordinary course of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Further, any indemnification payments may be limited or barred by a monetary cap, a time limitation, or a deductible or basket. For these reasons, the Company is unable to estimate the maximum potential amount of the potential future liability under the indemnity provisions of these agreements. Tredegar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material.</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Critical Accounting Policies and Estimates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Company to make estimates and assumptions that affect the reported amounts of assets, liabilities, revenues, expenses and related disclosures. Certain accounting policies, as described below, are considered "critical accounting policies" because they are particularly dependent on estimates made by management about matters that are inherently uncertain and could have a material impact on the Company’s consolidated financial statements. Estimates and judgments are based on historical experience, forecasted events and various other assumptions that management believes are reasonable under the circumstances. Actual results could differ significantly from those estimates under different assumptions and conditions. A summary of all of our significant accounting policies is included in Note 1 “Nature of Operations and Summary of Significant Accounting Policies” to the Consolidated Financial Statements in Item 15.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Goodwill</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6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During 2023, uncertainty about the timing of a recovery in the consumer electronics market persisted, and manufacturers in the supply chain for consumer electronics continued to experience reduced capacity utilization and inventory corrections. In light of the limited visibility on the timing of a recovery and the expected adverse future impact to the Surface Protection business, coupled with a cautious outlook on new product development opportunities, the Company performed a Step 1 goodwill impairment analysis, as of June 30, 2023 and September 30, 2023, of the Surface Protection component of PE Films. The analyses concluded that the fair value of Surface Protection was less than its carrying value, thus a non-cash partial goodwill impairment of $34.9 million ($27.0 million after deferred income tax benefits) was recognized during 2023.</w:t>
      </w:r>
    </w:p>
    <w:p>
      <w:pPr>
        <w:spacing w:after="0" w:line="5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Surface Protection by: (i) computing an estimated enterprise value (“EV”) utilizing the discounted cash flow method (the “DCF Method”), (ii) applying adjustments for any surplus or deficient working capital, (iii) adding cash and cash equivalents, and (iv) subtracting interest-bearing debt. The DCF Method was used, incorporating Surface Protection’s latest projections, which reflect updated expected market recovery levels, feasibility of launching new product applications, competitive pricing and cash flows associated with production efficiencies, as well as consideration of cost savings and inventory corrections.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8" w:name="page29"/>
    <w:bookmarkEnd w:id="28"/>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Key financial assumptions utilized to determine the fair value of the reporting unit include revenue growth projections and a weighted average cost of capital assumption. At September 30, 2023, the effect of a ten percent decrease in the revenue growth projections and a one percent increase to the weighted average cost of capital assumption would further decrease the fair value of the reporting unit’s fair value by approximately $1 million. Further impairment to the Surface Protection reporting unit’s goodwill may be caused by factors outside the Company’s control, such as increasing competitive pricing pressures, weak consumer electronic market demand, lower than expected sales and profit growth rates, and various other factors. Given the uncertain demand for Surface Protections products, it is reasonably possible that the cash flow estimates used in deriving such fair value measurements may change in the future.</w:t>
      </w:r>
    </w:p>
    <w:p>
      <w:pPr>
        <w:spacing w:after="0" w:line="54"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As of December 1, 2023, the Company’s reporting units with goodwill were Surface Protection in PE Films and Futura in Aluminum Extrusions. Both of these reporting units have separately identifiable operating net assets (operating assets including goodwill and identifiable intangible assets net of operating liabilities). The Company's Step 0 analysis of these reporting units concluded that it is more likely than not that the fair value of each reporting unit was greater than its carrying value. Therefore, the Step 1 quantitative goodwill impairment tests for these reporting units were not necessary. The Surface Protection and Futura reporting units had goodwill in the amounts of $22.4 million and $13.3 million, respectively, at December 31, 2023. See Note 1 “Nature of Operations and Summary of Significant Accounting Policies” to the Consolidated Financial Statements in Item 15 for additional information on the analysis of goodwill impairment.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Current tax liabilities and assets are recognized for the estimated taxes payable or refundable, respectively, on the tax returns for the current year. Deferred tax assets and liabilities are determined based on differences between financial reporting and tax bases of assets and liabilities and are measured using the enacted tax rates and laws that will be in effect when the differences are expected to reverse. Accordingly, accounting for income taxes represents the Company’s best estimate of various events and transactions. Tax laws are often complex and may be subject to differing interpretations by the taxpayer and the relevant governmental taxing authorities. In establishing a provision for income tax expense, Tredegar must make judgments and interpretations about the application of tax laws. The Company must also make estimates about when in the future certain items will affect taxable income in the various taxing jurisdictions.</w:t>
      </w:r>
    </w:p>
    <w:p>
      <w:pPr>
        <w:spacing w:after="0" w:line="6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w:t>
      </w:r>
    </w:p>
    <w:p>
      <w:pPr>
        <w:spacing w:after="0" w:line="4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Tredegar may be required to change its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58" w:lineRule="exact"/>
        <w:rPr>
          <w:sz w:val="20"/>
          <w:szCs w:val="20"/>
          <w:color w:val="auto"/>
        </w:rPr>
      </w:pPr>
    </w:p>
    <w:p>
      <w:pPr>
        <w:ind w:right="1800" w:firstLine="405"/>
        <w:spacing w:after="0" w:line="438" w:lineRule="auto"/>
        <w:rPr>
          <w:sz w:val="20"/>
          <w:szCs w:val="20"/>
          <w:color w:val="auto"/>
        </w:rPr>
      </w:pPr>
      <w:r>
        <w:rPr>
          <w:rFonts w:ascii="Times New Roman" w:cs="Times New Roman" w:eastAsia="Times New Roman" w:hAnsi="Times New Roman"/>
          <w:sz w:val="18"/>
          <w:szCs w:val="18"/>
          <w:color w:val="auto"/>
        </w:rPr>
        <w:t xml:space="preserve">See Note 12 “Income Taxes” to the Consolidated Financial Statements in Item 15 for additional information on income taxes. </w:t>
      </w: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PTA and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regarding interest rate exposures related to borrowings under the ABL Facility.</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4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10 “Derivatives” to the Consolidated Financial Statements in Item 15 for additional information.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68580</wp:posOffset>
            </wp:positionV>
            <wp:extent cx="5760720" cy="2537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77470</wp:posOffset>
            </wp:positionV>
            <wp:extent cx="5760720" cy="2537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9"/>
          </w:cols>
          <w:pgMar w:left="740" w:top="985" w:right="1440" w:bottom="1440" w:gutter="0" w:footer="0" w:header="0"/>
        </w:sectPr>
      </w:pPr>
    </w:p>
    <w:bookmarkStart w:id="30" w:name="page31"/>
    <w:bookmarkEnd w:id="30"/>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products)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36830</wp:posOffset>
            </wp:positionV>
            <wp:extent cx="5768975" cy="254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provided by IHS, Inc. In February 2020, IHS reflected a 32 cents per pound non-market adjustment based</w:t>
      </w:r>
    </w:p>
    <w:p>
      <w:pPr>
        <w:jc w:val="both"/>
        <w:ind w:left="1120" w:right="1080"/>
        <w:spacing w:after="0" w:line="227" w:lineRule="auto"/>
        <w:rPr>
          <w:sz w:val="20"/>
          <w:szCs w:val="20"/>
          <w:color w:val="auto"/>
        </w:rPr>
      </w:pPr>
      <w:r>
        <w:rPr>
          <w:rFonts w:ascii="Times New Roman" w:cs="Times New Roman" w:eastAsia="Times New Roman" w:hAnsi="Times New Roman"/>
          <w:sz w:val="12"/>
          <w:szCs w:val="12"/>
          <w:color w:val="auto"/>
        </w:rPr>
        <w:t>on their estimate of the growth of discounts in prior periods. The 4th quarter 2019 average rate of $0.51 per pound is shown on a pro forma basis as if the non-market adjustment was made in the fourth quarter of 2019. In January 2023, IHS reflected a 41 cents per pound non-market adjustment based on their estimate of the growth of discounts in the prior periods. The 4th quarter 2022 average rate of $0.60 per pound is shown on a pro forma basis as if the non-market adjustment was made in the fourth quarter of 2022.</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PE Films has index-based pass-through raw material cost arrangements with customers. However, under certain agreements, changes in resin prices are not passed through for a period of 90 days or more.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in which the Company competes.</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31" w:name="page32"/>
    <w:bookmarkEnd w:id="31"/>
    <w:p>
      <w:pPr>
        <w:ind w:firstLine="405"/>
        <w:spacing w:after="0" w:line="261"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40005</wp:posOffset>
            </wp:positionV>
            <wp:extent cx="5768975" cy="254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36830</wp:posOffset>
            </wp:positionV>
            <wp:extent cx="5709285" cy="26574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928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2" w:name="page33"/>
    <w:bookmarkEnd w:id="32"/>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sells to customers in foreign markets through its foreign operations and through exports from U.S. plants. The percentage of sales and total assets for manufacturing operations related to foreign markets for 2023, 2022 and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Consolidated Net Sales and Total Assets Related to Foreign 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 of Total</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of Total</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of 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 Total</w:t>
            </w: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 Total</w:t>
            </w: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Net Sales</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 Total</w:t>
            </w: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3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Assets -</w:t>
            </w: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Exports</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Assets -</w:t>
            </w:r>
          </w:p>
        </w:tc>
        <w:tc>
          <w:tcPr>
            <w:tcW w:w="900" w:type="dxa"/>
            <w:vAlign w:val="bottom"/>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Assets -</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From</w:t>
            </w:r>
          </w:p>
        </w:tc>
        <w:tc>
          <w:tcPr>
            <w:tcW w:w="1100" w:type="dxa"/>
            <w:vAlign w:val="bottom"/>
            <w:vMerge w:val="continue"/>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Foreign</w:t>
            </w:r>
          </w:p>
        </w:tc>
        <w:tc>
          <w:tcPr>
            <w:tcW w:w="8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From</w:t>
            </w:r>
          </w:p>
        </w:tc>
        <w:tc>
          <w:tcPr>
            <w:tcW w:w="1120" w:type="dxa"/>
            <w:vAlign w:val="bottom"/>
            <w:vMerge w:val="continue"/>
          </w:tcPr>
          <w:p>
            <w:pPr>
              <w:spacing w:after="0"/>
              <w:rPr>
                <w:sz w:val="15"/>
                <w:szCs w:val="15"/>
                <w:color w:val="auto"/>
              </w:rPr>
            </w:pPr>
          </w:p>
        </w:tc>
        <w:tc>
          <w:tcPr>
            <w:tcW w:w="130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9"/>
              </w:rPr>
              <w:t>Foreign</w:t>
            </w:r>
          </w:p>
        </w:tc>
        <w:tc>
          <w:tcPr>
            <w:tcW w:w="9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From</w:t>
            </w:r>
          </w:p>
        </w:tc>
        <w:tc>
          <w:tcPr>
            <w:tcW w:w="1100" w:type="dxa"/>
            <w:vAlign w:val="bottom"/>
            <w:vMerge w:val="continue"/>
          </w:tcPr>
          <w:p>
            <w:pPr>
              <w:spacing w:after="0"/>
              <w:rPr>
                <w:sz w:val="15"/>
                <w:szCs w:val="15"/>
                <w:color w:val="auto"/>
              </w:rPr>
            </w:pPr>
          </w:p>
        </w:tc>
        <w:tc>
          <w:tcPr>
            <w:tcW w:w="12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Foreign</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Operations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Operations</w:t>
            </w: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U.S.</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Operations</w:t>
            </w:r>
          </w:p>
        </w:tc>
        <w:tc>
          <w:tcPr>
            <w:tcW w:w="0" w:type="dxa"/>
            <w:vAlign w:val="bottom"/>
          </w:tcPr>
          <w:p>
            <w:pPr>
              <w:spacing w:after="0"/>
              <w:rPr>
                <w:sz w:val="1"/>
                <w:szCs w:val="1"/>
                <w:color w:val="auto"/>
              </w:rPr>
            </w:pPr>
          </w:p>
        </w:tc>
      </w:tr>
      <w:tr>
        <w:trPr>
          <w:trHeight w:val="22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1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45" w:lineRule="exact"/>
        <w:rPr>
          <w:sz w:val="20"/>
          <w:szCs w:val="20"/>
          <w:color w:val="auto"/>
        </w:rPr>
      </w:pPr>
    </w:p>
    <w:p>
      <w:pPr>
        <w:ind w:right="280" w:firstLine="405"/>
        <w:spacing w:after="0" w:line="255"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Terphane Ltda. and substantially all of its related raw material costs are quoted or priced in U.S. Dollars while its variable conversion, fixed conversion and sales, general and administrative costs before depreciation and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6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estimates annual net costs of R$139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10 “Derivatives” to the Consolidated Financial Statements in Item 15 for more information on outstanding hedging contracts and this hedging program.</w:t>
      </w:r>
    </w:p>
    <w:p>
      <w:pPr>
        <w:spacing w:after="0" w:line="5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on PE Films had an unfavorable impact on EBITDA from ongoing operations in PE Films of $0.6 million in 2023 compared to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8"/>
          <w:szCs w:val="18"/>
          <w:color w:val="auto"/>
        </w:rPr>
        <w:t>Trends for the Brazilian Real and Chinese Yuan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68580</wp:posOffset>
            </wp:positionV>
            <wp:extent cx="5709285" cy="29660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8 is set forth in Item 15 and is hereby incorporated herein by reference.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1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10-K,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December 31, 2023.</w:t>
      </w:r>
    </w:p>
    <w:p>
      <w:pPr>
        <w:spacing w:after="0" w:line="45"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2023, the Company’s Chief Executive Officer and Chief Financial Officer concluded that, as of such date, our disclosure controls and procedures were effective.</w:t>
      </w:r>
    </w:p>
    <w:p>
      <w:pPr>
        <w:spacing w:after="0" w:line="3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Report on Internal Control over Financial Reporting</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48" w:lineRule="exact"/>
        <w:rPr>
          <w:sz w:val="20"/>
          <w:szCs w:val="20"/>
          <w:color w:val="auto"/>
        </w:rPr>
      </w:pPr>
    </w:p>
    <w:p>
      <w:pPr>
        <w:ind w:left="660" w:right="3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Company’s internal control over financial reporting using the criteria in Internal Control - Integrated Framework 2013 issued by the Committee of Sponsoring Organizations of the Treadway Commission (the “2013 COSO Framework”). Based on management’s assessment, the Company’s Chief Executive Officer and Chief Financial Officer concluded that the Company’s internal control over financial reporting was effective as of December 31, 2023.</w:t>
      </w:r>
    </w:p>
    <w:p>
      <w:pPr>
        <w:spacing w:after="0" w:line="5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KPMG LLP, an independent registered public accounting firm, as stated in their report, which is included in Item 15 “Exhibits and Financial Statement Schedules”.</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Remediation of Previously Disclosed Material Weaknesses</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As previously disclosed under “Item 9a – Controls and Procedures” in our annual report on Form 10-K for the period ended December 31, 2022, the Company did not sufficiently attract, develop, and retain competent resources to fulfill internal control responsibilities and did not have an effective information and communication process that identified and assessed the source of and controls necessary to ensure the reliability of information used in financial reporting. As a consequence of these material weaknesses, the Company did not effectively design, implement and operate process-level controls across its financial reporting processes.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6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with the oversight of the Audit Committee of our Board of Directors, continued to design and implement measures pursuant to management’s overall internal controls over financial reporting remediation plan and also completed testing of the design and operating effectiveness of all remediated controls. The remediation efforts to date included the following:</w:t>
      </w:r>
    </w:p>
    <w:p>
      <w:pPr>
        <w:spacing w:after="0" w:line="41" w:lineRule="exact"/>
        <w:rPr>
          <w:sz w:val="20"/>
          <w:szCs w:val="20"/>
          <w:color w:val="auto"/>
        </w:rPr>
      </w:pPr>
    </w:p>
    <w:p>
      <w:pPr>
        <w:ind w:left="660" w:right="1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walkthroughs of the Company’s financial reporting processes including identifying all information used within the Company’s control environment;</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comprehensive review of, and update to, the documentation of relevant processes with respect to the Company’s internal control over financial reporting;</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internal control remediation plans to enhance controls for deficiencies associated with the material weaknesses above, including an assessment of personnel skills and experience related to the design and operation of internal control activities;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all new and revised internal controls to address the previously identified deficiencies associated with the material weaknesses above;</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internal control compliance department with personnel who have appropriate internal control experience and identified resources for control owner positions that had previously experienced turnover; and</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targeted training program to educate control owners on the requirements of internal control activities, including maintaining adequate documentary evidence for internal control activities.</w:t>
      </w:r>
    </w:p>
    <w:p>
      <w:pPr>
        <w:spacing w:after="0" w:line="27"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Based on management’s evaluation of the effectiveness of the Company’s internal controls as of December 31, 2023, including newly remediated controls, management concluded that the Company’s internal control over financial reporting framework was effectively designed and operated effectively for a sufficient period of time to enable us to conclude that all previously identified material weaknesses have been remediated as of December 31, 2023.</w:t>
      </w:r>
    </w:p>
    <w:p>
      <w:pPr>
        <w:spacing w:after="0" w:line="3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Except as noted above with respect to the completion of the steps in the remediation plan, there has been no change in the Company’s internal control over financial reporting during the year ended December 31, 2023, that has materially affected, or is reasonably likely to materially affect, its internal control over financial reporting (as defined in Rules 13a-15(f) and 15d-15(f) under the Exchange Act).</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ectPr>
          <w:pgSz w:w="11900" w:h="16838" w:orient="portrait"/>
          <w:cols w:equalWidth="0" w:num="1">
            <w:col w:w="10139"/>
          </w:cols>
          <w:pgMar w:left="320" w:top="981" w:right="1440" w:bottom="1440" w:gutter="0" w:footer="0" w:header="0"/>
        </w:sectPr>
      </w:pP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type w:val="continuous"/>
        </w:sectPr>
      </w:pPr>
    </w:p>
    <w:bookmarkStart w:id="36" w:name="page37"/>
    <w:bookmarkEnd w:id="36"/>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10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concerning directors and persons nominated to become directors of Tredegar to be included in the Proxy Statement under the headings “Proposal 1: Election of Directors” and “Tredegar’s Board of Directors” is incorporated herein by reference.</w:t>
      </w:r>
    </w:p>
    <w:p>
      <w:pPr>
        <w:spacing w:after="0" w:line="27" w:lineRule="exact"/>
        <w:rPr>
          <w:sz w:val="20"/>
          <w:szCs w:val="20"/>
          <w:color w:val="auto"/>
        </w:rPr>
      </w:pPr>
    </w:p>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concerning corporate governance to be included in the Proxy Statement under the headings “Board Meetings, Meetings of Independent Directors and Board Committees” and “Corporate Governance and Risk Oversight” is incorporated herein by reference.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are the names, ages and titles of the Company’s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Age</w:t>
            </w: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Steitz</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Andrew Edwards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 Donnelly</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r>
    </w:tbl>
    <w:p>
      <w:pPr>
        <w:spacing w:after="0" w:line="15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M. Steitz. </w:t>
      </w:r>
      <w:r>
        <w:rPr>
          <w:rFonts w:ascii="Times New Roman" w:cs="Times New Roman" w:eastAsia="Times New Roman" w:hAnsi="Times New Roman"/>
          <w:sz w:val="18"/>
          <w:szCs w:val="18"/>
          <w:color w:val="auto"/>
        </w:rPr>
        <w:t>Mr. Steitz was elected President and Chief Executive Officer effective March 19, 2019. He previously served as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Addivant Corporation, a leading global supplier of antioxidants, intermediates, inhibitors, modifiers, UV stabilizers and other additives to the plastic and rubber industries, from March 2015 until January 2019, as President and Chief Operating Officer of PQ Corporation, a leading worldwide producer of specialty inorganic performance chemicals and catalysts, from October 2013 until March 2015, as President and Chief Executive Officer of Avantor Performance Materials, a global supplier of ultra-high-purity life sciences materials with strict regulatory and performance specifications, from September 2012 through September 2013, as President and Chief Operating Officer of Albemarle Corporation, a global specialty chemicals company, from March 2012 through August 2012, and as Chief Operating Officer and Executive Vice President of Albemarle from April 2007 until March 2012.</w:t>
      </w:r>
    </w:p>
    <w:p>
      <w:pPr>
        <w:spacing w:after="0" w:line="6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 Andrew Edwards. </w:t>
      </w:r>
      <w:r>
        <w:rPr>
          <w:rFonts w:ascii="Times New Roman" w:cs="Times New Roman" w:eastAsia="Times New Roman" w:hAnsi="Times New Roman"/>
          <w:sz w:val="18"/>
          <w:szCs w:val="18"/>
          <w:color w:val="auto"/>
        </w:rPr>
        <w:t>Mr. Edwards was named Executive Vice President and Chief Financial Officer effective August 6, 2020. Mr. Edwards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Financial Officer from July 20, 2015 until August 2020. He previously served as the Chief Financial Officer of United Sporting Companies, Inc., a wholesale distributor of outdoor sporting goods, from February 2013 until July 2015 and as Vice President, Controller and Chief Accounting Officer of Owens &amp; Minor, Inc., a distributor of acute medical products, from April 2010 to February 2013 and as Acting Chief Financial Officer of Owens &amp; Minor, Inc. from March 2012 to February 2013. Mr. Edwards also served as Vice President, Finance, of Owens &amp; Minor, Inc. from December 2009 until April 2010. Mr. Edwards previously served as the Company’s Vice President, Chief Financial Officer and Treasurer from August 2003 to December 2009 and as the Company’s Vice President, Finance from November 1998 to August 2003. Mr. Edwards also served as the Company’s Treasurer from May 1997 to December 2009 and as the Company’s Controller from October 1992 until July 2000.</w:t>
      </w:r>
    </w:p>
    <w:p>
      <w:pPr>
        <w:spacing w:after="0" w:line="5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Kevin C. Donnelly</w:t>
      </w:r>
      <w:r>
        <w:rPr>
          <w:rFonts w:ascii="Times New Roman" w:cs="Times New Roman" w:eastAsia="Times New Roman" w:hAnsi="Times New Roman"/>
          <w:sz w:val="18"/>
          <w:szCs w:val="18"/>
          <w:color w:val="auto"/>
        </w:rPr>
        <w:t>. Mr. Donnelly was elected Vice President, General Counsel and Corporate Secretary effective January 1, 2021. He joined Tredegar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and served as its Associate General Counsel from 2013 to 2020. Prior to joining Tredegar, Mr. Donnelly was an associate at Hunton &amp; Williams LLP (now Hunton Andrews Kurth LLP). He received a B.A. degree from the University of Richmond and a J.D. from the University of Virginia.</w:t>
      </w:r>
    </w:p>
    <w:p>
      <w:pPr>
        <w:spacing w:after="0" w:line="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Tredegar has a Code of Conduct that applies to all of its directors, officers and employees (including its chief executive officer, chief financial officer and principal accounting officer) and has posted the Code of Conduct on its website. All amendments to or waivers from any provision of the Company’s Code of Conduct applicable to the chief executive officer, chief financial officer and principal accounting officer will be disclosed on the Company’s website. The Company’s internet address is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1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“Compensation of Directors,” “Compensation Discussion and Analysis,” “Executive Compensation Committee Report” and “Compensation of Executive Officers” is incorporated herein by reference.</w:t>
      </w:r>
    </w:p>
    <w:p>
      <w:pPr>
        <w:spacing w:after="0" w:line="104" w:lineRule="exact"/>
        <w:rPr>
          <w:sz w:val="20"/>
          <w:szCs w:val="20"/>
          <w:color w:val="auto"/>
        </w:rPr>
      </w:pPr>
    </w:p>
    <w:p>
      <w:pPr>
        <w:ind w:left="820" w:right="540" w:hanging="971"/>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105" w:lineRule="exact"/>
        <w:rPr>
          <w:sz w:val="20"/>
          <w:szCs w:val="20"/>
          <w:color w:val="auto"/>
        </w:rPr>
      </w:pPr>
    </w:p>
    <w:p>
      <w:pPr>
        <w:ind w:right="680" w:firstLine="405"/>
        <w:spacing w:after="0" w:line="266"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 “Equity Compensation Plan Information”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“Certain Relationships and Related Transactions,” “Tredegar’s Board of Directors” and “Board Meetings, Meetings of Independent Directors and Board Committees” is incorporated herein by reference.</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ACCOUNTING FEES AND SERVICES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Richmond, Virginia, Audit Firm ID: 185.</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incorporated herein by reference:</w:t>
      </w:r>
    </w:p>
    <w:p>
      <w:pPr>
        <w:spacing w:after="0" w:line="90" w:lineRule="exact"/>
        <w:rPr>
          <w:sz w:val="20"/>
          <w:szCs w:val="20"/>
          <w:color w:val="auto"/>
        </w:rPr>
      </w:pPr>
    </w:p>
    <w:p>
      <w:pPr>
        <w:ind w:left="820" w:hanging="407"/>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accounting fees and services to be included in the Proxy Statement under the heading “Audit and Non-Audit Fees;” and</w:t>
      </w:r>
    </w:p>
    <w:p>
      <w:pPr>
        <w:spacing w:after="0" w:line="10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Audit Committee’s procedures for pre-approving certain audit and non-audit services to be included in the Proxy Statement under the heading “Board Meetings, Meetings of Non-Management Directors and Board Committees—Audit Committee Matters.”</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9" w:right="479" w:bottom="1440" w:gutter="0" w:footer="0" w:header="0"/>
        </w:sectPr>
      </w:pPr>
    </w:p>
    <w:bookmarkStart w:id="38" w:name="page39"/>
    <w:bookmarkEnd w:id="38"/>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9"/>
              </w:rPr>
              <w:t>(a)</w:t>
            </w:r>
          </w:p>
        </w:tc>
        <w:tc>
          <w:tcPr>
            <w:tcW w:w="67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List of documents filed as a part of the report:</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7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60" w:type="dxa"/>
            <w:vAlign w:val="bottom"/>
            <w:gridSpan w:val="7"/>
          </w:tcPr>
          <w:p>
            <w:pPr>
              <w:jc w:val="center"/>
              <w:ind w:right="1700"/>
              <w:spacing w:after="0"/>
              <w:rPr>
                <w:sz w:val="20"/>
                <w:szCs w:val="20"/>
                <w:color w:val="auto"/>
              </w:rPr>
            </w:pPr>
            <w:r>
              <w:rPr>
                <w:rFonts w:ascii="Times New Roman" w:cs="Times New Roman" w:eastAsia="Times New Roman" w:hAnsi="Times New Roman"/>
                <w:sz w:val="18"/>
                <w:szCs w:val="18"/>
                <w:color w:val="auto"/>
                <w:w w:val="99"/>
              </w:rPr>
              <w:t>Tredegar Corporation</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9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4"/>
                <w:szCs w:val="24"/>
                <w:color w:val="auto"/>
              </w:rPr>
            </w:pPr>
          </w:p>
        </w:tc>
        <w:tc>
          <w:tcPr>
            <w:tcW w:w="6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Auditors’ Opinions:</w:t>
            </w:r>
          </w:p>
        </w:tc>
        <w:tc>
          <w:tcPr>
            <w:tcW w:w="15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740" w:type="dxa"/>
            <w:vAlign w:val="bottom"/>
            <w:gridSpan w:val="12"/>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Opinion on Internal Control Over Financial Reporting</w:t>
            </w:r>
          </w:p>
        </w:tc>
        <w:tc>
          <w:tcPr>
            <w:tcW w:w="3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Borders>
              <w:bottom w:val="single" w:sz="8" w:color="0000FF"/>
            </w:tcBorders>
            <w:gridSpan w:val="7"/>
            <w:vMerge w:val="continue"/>
          </w:tcPr>
          <w:p>
            <w:pPr>
              <w:spacing w:after="0"/>
              <w:rPr>
                <w:sz w:val="18"/>
                <w:szCs w:val="18"/>
                <w:color w:val="auto"/>
              </w:rPr>
            </w:pPr>
          </w:p>
        </w:tc>
        <w:tc>
          <w:tcPr>
            <w:tcW w:w="3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4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740" w:type="dxa"/>
            <w:vAlign w:val="bottom"/>
            <w:gridSpan w:val="12"/>
            <w:vMerge w:val="continue"/>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720" w:type="dxa"/>
            <w:vAlign w:val="bottom"/>
            <w:gridSpan w:val="3"/>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(Loss)</w:t>
            </w:r>
          </w:p>
        </w:tc>
        <w:tc>
          <w:tcPr>
            <w:tcW w:w="44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Borders>
              <w:bottom w:val="single" w:sz="8" w:color="0000FF"/>
            </w:tcBorders>
            <w:gridSpan w:val="5"/>
            <w:vMerge w:val="continue"/>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FF"/>
            </w:tcBorders>
            <w:gridSpan w:val="9"/>
            <w:vMerge w:val="continue"/>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Borders>
              <w:bottom w:val="single" w:sz="8" w:color="0000FF"/>
            </w:tcBorders>
            <w:gridSpan w:val="4"/>
            <w:vMerge w:val="continue"/>
          </w:tcPr>
          <w:p>
            <w:pPr>
              <w:spacing w:after="0"/>
              <w:rPr>
                <w:sz w:val="18"/>
                <w:szCs w:val="18"/>
                <w:color w:val="auto"/>
              </w:rPr>
            </w:pPr>
          </w:p>
        </w:tc>
        <w:tc>
          <w:tcPr>
            <w:tcW w:w="640" w:type="dxa"/>
            <w:vAlign w:val="bottom"/>
            <w:gridSpan w:val="2"/>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tcBorders>
              <w:bottom w:val="single" w:sz="8" w:color="0000FF"/>
            </w:tcBorders>
            <w:gridSpan w:val="6"/>
            <w:vMerge w:val="continue"/>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1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00" w:right="6859" w:hanging="675"/>
        <w:spacing w:after="0" w:line="284" w:lineRule="auto"/>
        <w:tabs>
          <w:tab w:leader="none" w:pos="10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tbl>
      <w:tblPr>
        <w:tblLayout w:type="fixed"/>
        <w:tblInd w:w="720" w:type="dxa"/>
        <w:tblCellMar>
          <w:top w:w="0" w:type="dxa"/>
          <w:left w:w="0" w:type="dxa"/>
          <w:bottom w:w="0" w:type="dxa"/>
          <w:right w:w="0" w:type="dxa"/>
        </w:tblCellMar>
      </w:tblPr>
      <w:tr>
        <w:trPr>
          <w:trHeight w:val="19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color w:val="0000FF"/>
              </w:rPr>
              <w:t>Exhibit Index</w:t>
            </w:r>
          </w:p>
        </w:tc>
        <w:tc>
          <w:tcPr>
            <w:tcW w:w="6980" w:type="dxa"/>
            <w:vAlign w:val="bottom"/>
            <w:vMerge w:val="restart"/>
          </w:tcPr>
          <w:p>
            <w:pPr>
              <w:spacing w:after="0"/>
              <w:rPr>
                <w:sz w:val="16"/>
                <w:szCs w:val="16"/>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1"/>
        </w:trPr>
        <w:tc>
          <w:tcPr>
            <w:tcW w:w="1340" w:type="dxa"/>
            <w:vAlign w:val="bottom"/>
            <w:gridSpan w:val="2"/>
            <w:vMerge w:val="continue"/>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39" w:name="page40"/>
    <w:bookmarkEnd w:id="39"/>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Tredegar Corporation and subsidiaries (the Company) as of December 31, 2023 and 2022, the related consolidated statements of income (loss), comprehensive income (loss), cash flows, and shareholders’ equity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March 15, 2024 expressed an unqualified opinion on the effectiveness of the Company’s internal control over financial reporting.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in the Surface Protection reporting unit</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discussed in Notes 1 and 5 to the consolidated financial statements, the Company’s goodwill balance as of December 31, 2023 was $35.7 million, including $22.4 million related to the Surface Protection reporting unit, within the PE Films reportable segment. The Company assesses goodwill for impairment when events or circumstances indicate that the carrying value may not be recoverable, or, at a minimum, on an annual basis (December 1st of each year). During the three months ended June 30, 2023 and September 30, 2023, events and circumstances indicated that the Surface Protection reporting unit might be impaired. The Company performed quantitative impairment tests of the Surface Protection reporting unit as of June 30, 2023 and September 30, 2023, and concluded that an impairment existed as of June 30, 2023 and September 30, 2023. Management estimated the fair value of the Surface Protection reporting unit utilizing the discounted cash flow method.</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identified the assessment of goodwill impairment of the Surface Protection reporting unit as a critical audit matter. The estimation of fair value of the reporting unit is complex and includes estimation uncertainties that required a higher level of subjective auditor judgment. Specifically, the revenue growth projections used in the discounted cash flow method required subjective and challenging auditor judgment as they represented subjective determinations of market and economic conditions. Additionally, the audit effort associated with the discount rate and the revenue growth projections required specialized skills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and knowledge. Changes to those assumptions could have had a significant effect on the Company’s estimate of the fair value of the reporting unit.</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goodwill impairment assessment process, including controls over the selection of the discount rate and development of the revenue growth projections. We assessed the revenue growth projections by considering correspondence with customers, as well as the underlying business strategies and growth plans of the Company. We also evaluated the revenue growth projections by comparing them to third-party market data and to historical actual results. In addition, we involved valuation professionals with specialized skills and knowledge, who assisted in:</w:t>
      </w:r>
    </w:p>
    <w:p>
      <w:pPr>
        <w:spacing w:after="0" w:line="62" w:lineRule="exact"/>
        <w:rPr>
          <w:sz w:val="20"/>
          <w:szCs w:val="20"/>
          <w:color w:val="auto"/>
        </w:rPr>
      </w:pPr>
    </w:p>
    <w:p>
      <w:pPr>
        <w:ind w:left="660" w:right="1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discount rate by comparing it to a discount rate that was independently developed using publicly available third-party market data for comparable entities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revenue growth projections by comparing them to projections that were independently developed using external market and industry data.</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have audited Tredegar Corporation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(loss), comprehensive income (loss), cash flows, and shareholders’ equity for each of the years in the three-year period ended December 31, 2023, and the related notes (collectively, the consolidated financial statements), and our report dated March 15, 2024 expressed an unqualified opinion on those consolidated financial statements.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2"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9,660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3,795</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67,938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84,544</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recoverable</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82,037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127,771</w:t>
            </w:r>
          </w:p>
        </w:tc>
      </w:tr>
      <w:tr>
        <w:trPr>
          <w:trHeight w:val="229"/>
        </w:trPr>
        <w:tc>
          <w:tcPr>
            <w:tcW w:w="8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12,065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176,677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242,584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4,867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73,160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71,129</w:t>
            </w:r>
          </w:p>
        </w:tc>
      </w:tr>
      <w:tr>
        <w:trPr>
          <w:trHeight w:val="229"/>
        </w:trPr>
        <w:tc>
          <w:tcPr>
            <w:tcW w:w="8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463,019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455,960</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541,046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531,921</w:t>
            </w:r>
          </w:p>
        </w:tc>
      </w:tr>
      <w:tr>
        <w:trPr>
          <w:trHeight w:val="229"/>
        </w:trPr>
        <w:tc>
          <w:tcPr>
            <w:tcW w:w="8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(357,591)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(345,510)</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183,455</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11,848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9,851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35,717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25,034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3,879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30"/>
        </w:trPr>
        <w:tc>
          <w:tcPr>
            <w:tcW w:w="8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446,461</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542,093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95,023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24,442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revolving facility (matures on June 30, 2026)</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126,322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249,104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10,942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80808"/>
              </w:rPr>
              <w:t>Pension and other postretirement benefit obligations, net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35,046</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4,119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290,808</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340,331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Contingencies (Note 16)</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no par value (authorized 150,000,000 shares, issued and outstanding— 34,408,638 shares at</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1"/>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 and 34,000,642 at December 31, 2022)</w:t>
            </w:r>
          </w:p>
        </w:tc>
        <w:tc>
          <w:tcPr>
            <w:tcW w:w="58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61,606</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58,824</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held in trust for savings restoration plan (118,543 shares at December 31, 2023 and 113,316 at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6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5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(83,037)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(86,079)</w:t>
            </w:r>
          </w:p>
        </w:tc>
      </w:tr>
      <w:tr>
        <w:trPr>
          <w:trHeight w:val="229"/>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5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801</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30"/>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r>
      <w:tr>
        <w:trPr>
          <w:trHeight w:val="229"/>
        </w:trPr>
        <w:tc>
          <w:tcPr>
            <w:tcW w:w="8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177,977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292,721</w:t>
            </w:r>
          </w:p>
        </w:tc>
      </w:tr>
      <w:tr>
        <w:trPr>
          <w:trHeight w:val="223"/>
        </w:trPr>
        <w:tc>
          <w:tcPr>
            <w:tcW w:w="82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155,653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201,762</w:t>
            </w:r>
          </w:p>
        </w:tc>
      </w:tr>
      <w:tr>
        <w:trPr>
          <w:trHeight w:val="230"/>
        </w:trPr>
        <w:tc>
          <w:tcPr>
            <w:tcW w:w="8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446,461</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542,093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ectPr>
          <w:pgSz w:w="11900" w:h="16838" w:orient="portrait"/>
          <w:cols w:equalWidth="0" w:num="1">
            <w:col w:w="11240"/>
          </w:cols>
          <w:pgMar w:left="320" w:top="7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704,825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938,564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826,455</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(2,147)</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702,678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939,573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846,720</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599,110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764,042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649,690</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26,933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34,982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28,232</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76,207</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78,790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3,761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1,897</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10,844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11,607</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175"/>
        </w:trPr>
        <w:tc>
          <w:tcPr>
            <w:tcW w:w="64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w:t>
            </w:r>
          </w:p>
        </w:tc>
        <w:tc>
          <w:tcPr>
            <w:tcW w:w="7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5,167</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settlement loss</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92,291</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34,891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862,708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906,729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779,610</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(160,030)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32,844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67,110</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(54,125)</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(105,905)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28,455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34,133</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 w:lineRule="exact"/>
        <w:rPr>
          <w:sz w:val="20"/>
          <w:szCs w:val="20"/>
          <w:color w:val="auto"/>
        </w:rPr>
      </w:pPr>
    </w:p>
    <w:p>
      <w:pPr>
        <w:jc w:val="both"/>
        <w:ind w:left="7260"/>
        <w:spacing w:after="0"/>
        <w:tabs>
          <w:tab w:leader="none" w:pos="8780" w:val="left"/>
          <w:tab w:leader="none" w:pos="103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Net income (loss)</w:t>
      </w:r>
      <w:r>
        <w:rPr>
          <w:sz w:val="20"/>
          <w:szCs w:val="20"/>
          <w:color w:val="auto"/>
        </w:rPr>
        <w:tab/>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 w:lineRule="exact"/>
        <w:rPr>
          <w:sz w:val="20"/>
          <w:szCs w:val="20"/>
          <w:color w:val="auto"/>
        </w:rPr>
      </w:pPr>
    </w:p>
    <w:p>
      <w:pPr>
        <w:ind w:left="460" w:right="520"/>
        <w:spacing w:after="0" w:line="298" w:lineRule="auto"/>
        <w:rPr>
          <w:sz w:val="20"/>
          <w:szCs w:val="20"/>
          <w:color w:val="auto"/>
        </w:rPr>
      </w:pPr>
      <w:r>
        <w:rPr>
          <w:rFonts w:ascii="Times New Roman" w:cs="Times New Roman" w:eastAsia="Times New Roman" w:hAnsi="Times New Roman"/>
          <w:sz w:val="17"/>
          <w:szCs w:val="17"/>
          <w:color w:val="auto"/>
        </w:rPr>
        <w:t>Unrealized foreign currency translation adjustment (net of tax expense of $469 in 2023, net of tax expense of $290 in 2022 and net of tax benefit of $365 in 2021)</w:t>
      </w:r>
    </w:p>
    <w:p>
      <w:pPr>
        <w:spacing w:after="0" w:line="1" w:lineRule="exact"/>
        <w:rPr>
          <w:sz w:val="20"/>
          <w:szCs w:val="20"/>
          <w:color w:val="auto"/>
        </w:rPr>
      </w:pPr>
    </w:p>
    <w:p>
      <w:pPr>
        <w:ind w:left="460" w:right="320"/>
        <w:spacing w:after="0" w:line="273" w:lineRule="auto"/>
        <w:rPr>
          <w:sz w:val="20"/>
          <w:szCs w:val="20"/>
          <w:color w:val="auto"/>
        </w:rPr>
      </w:pPr>
      <w:r>
        <w:rPr>
          <w:rFonts w:ascii="Times New Roman" w:cs="Times New Roman" w:eastAsia="Times New Roman" w:hAnsi="Times New Roman"/>
          <w:sz w:val="18"/>
          <w:szCs w:val="18"/>
          <w:color w:val="auto"/>
        </w:rPr>
        <w:t>Derivative financial instruments adjustment (net of tax expense of $933 in 2023, net of tax benefit of $336 in 2022 and net of tax benefit of $351 in 2021)</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Pension &amp; other postretirement benefit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680" w:right="200"/>
        <w:spacing w:after="0" w:line="281" w:lineRule="auto"/>
        <w:rPr>
          <w:sz w:val="20"/>
          <w:szCs w:val="20"/>
          <w:color w:val="auto"/>
        </w:rPr>
      </w:pPr>
      <w:r>
        <w:rPr>
          <w:rFonts w:ascii="Times New Roman" w:cs="Times New Roman" w:eastAsia="Times New Roman" w:hAnsi="Times New Roman"/>
          <w:sz w:val="18"/>
          <w:szCs w:val="18"/>
          <w:color w:val="auto"/>
        </w:rPr>
        <w:t>Recognition in earnings of actuarial loss for pension settlement (net of tax expense of $41,294)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680" w:right="320"/>
        <w:spacing w:after="0" w:line="281" w:lineRule="auto"/>
        <w:rPr>
          <w:sz w:val="20"/>
          <w:szCs w:val="20"/>
          <w:color w:val="auto"/>
        </w:rPr>
      </w:pPr>
      <w:r>
        <w:rPr>
          <w:rFonts w:ascii="Times New Roman" w:cs="Times New Roman" w:eastAsia="Times New Roman" w:hAnsi="Times New Roman"/>
          <w:sz w:val="18"/>
          <w:szCs w:val="18"/>
          <w:color w:val="auto"/>
        </w:rPr>
        <w:t>Net gains (losses) and prior service costs (net of tax expense of $422 in 2023, net of tax benefit of $1,400 in 2022 and net of tax expense of $5,212 in 2021)</w:t>
      </w:r>
    </w:p>
    <w:p>
      <w:pPr>
        <w:spacing w:after="0" w:line="1" w:lineRule="exact"/>
        <w:rPr>
          <w:sz w:val="20"/>
          <w:szCs w:val="20"/>
          <w:color w:val="auto"/>
        </w:rPr>
      </w:pPr>
    </w:p>
    <w:p>
      <w:pPr>
        <w:ind w:left="680" w:right="380"/>
        <w:spacing w:after="0" w:line="266" w:lineRule="auto"/>
        <w:rPr>
          <w:sz w:val="20"/>
          <w:szCs w:val="20"/>
          <w:color w:val="auto"/>
        </w:rPr>
      </w:pPr>
      <w:r>
        <w:rPr>
          <w:rFonts w:ascii="Times New Roman" w:cs="Times New Roman" w:eastAsia="Times New Roman" w:hAnsi="Times New Roman"/>
          <w:sz w:val="18"/>
          <w:szCs w:val="18"/>
          <w:color w:val="auto"/>
        </w:rPr>
        <w:t>Amortization of prior service costs and net gains or losses (net of tax expense of $1,968 in 2023, net of tax expense of $2,965 in 2022 and net of tax expense of $3,676 in 2021)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(105,905)</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28,455</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57,826</w:t>
            </w:r>
          </w:p>
        </w:tc>
      </w:tr>
      <w:tr>
        <w:trPr>
          <w:trHeight w:val="716"/>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3,042</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486"/>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3,281</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716"/>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50,997</w:t>
            </w:r>
          </w:p>
        </w:tc>
        <w:tc>
          <w:tcPr>
            <w:tcW w:w="5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w:t>
            </w:r>
          </w:p>
        </w:tc>
      </w:tr>
      <w:tr>
        <w:trPr>
          <w:trHeight w:val="700"/>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7,065</w:t>
            </w:r>
          </w:p>
        </w:tc>
        <w:tc>
          <w:tcPr>
            <w:tcW w:w="54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10,641</w:t>
            </w: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r>
    </w:tbl>
    <w:p>
      <w:pPr>
        <w:spacing w:after="0" w:line="1" w:lineRule="exact"/>
        <w:rPr>
          <w:sz w:val="20"/>
          <w:szCs w:val="20"/>
          <w:color w:val="auto"/>
        </w:rPr>
      </w:pPr>
    </w:p>
    <w:p>
      <w:pPr>
        <w:sectPr>
          <w:pgSz w:w="11900" w:h="16838" w:orient="portrait"/>
          <w:cols w:equalWidth="0" w:num="2">
            <w:col w:w="6840" w:space="600"/>
            <w:col w:w="380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8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65,898</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(40,007)</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30,364</w:t>
            </w: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86,726</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3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(105,905)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57,826</w:t>
            </w:r>
          </w:p>
        </w:tc>
      </w:tr>
      <w:tr>
        <w:trPr>
          <w:trHeight w:val="229"/>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25,786</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23,882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w:t>
            </w:r>
          </w:p>
        </w:tc>
      </w:tr>
      <w:tr>
        <w:trPr>
          <w:trHeight w:val="230"/>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29"/>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Goodwill impairment</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34,891</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29"/>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(56,098)</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29"/>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10,844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r>
      <w:tr>
        <w:trPr>
          <w:trHeight w:val="230"/>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Pension settlement loss</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92,291</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30"/>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1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r>
      <w:tr>
        <w:trPr>
          <w:trHeight w:val="229"/>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Impairment of Richmond, Virginia Technical Center assets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17,400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w:t>
            </w:r>
          </w:p>
        </w:tc>
      </w:tr>
      <w:tr>
        <w:trPr>
          <w:trHeight w:val="229"/>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47,607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w:t>
            </w:r>
          </w:p>
        </w:tc>
      </w:tr>
      <w:tr>
        <w:trPr>
          <w:trHeight w:val="229"/>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r>
      <w:tr>
        <w:trPr>
          <w:trHeight w:val="230"/>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29"/>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w:t>
            </w:r>
          </w:p>
        </w:tc>
      </w:tr>
      <w:tr>
        <w:trPr>
          <w:trHeight w:val="230"/>
        </w:trPr>
        <w:tc>
          <w:tcPr>
            <w:tcW w:w="6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1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9"/>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230"/>
        </w:trPr>
        <w:tc>
          <w:tcPr>
            <w:tcW w:w="6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2,827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61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23,995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70,583</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(26,446)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(27,361)</w:t>
            </w:r>
          </w:p>
        </w:tc>
      </w:tr>
      <w:tr>
        <w:trPr>
          <w:trHeight w:val="229"/>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47,062</w:t>
            </w:r>
          </w:p>
        </w:tc>
      </w:tr>
      <w:tr>
        <w:trPr>
          <w:trHeight w:val="230"/>
        </w:trPr>
        <w:tc>
          <w:tcPr>
            <w:tcW w:w="61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assets and other</w:t>
            </w:r>
          </w:p>
        </w:tc>
        <w:tc>
          <w:tcPr>
            <w:tcW w:w="1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223"/>
        </w:trPr>
        <w:tc>
          <w:tcPr>
            <w:tcW w:w="6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(26,184)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24,450</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13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116,134</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313,500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75,500</w:t>
            </w:r>
          </w:p>
        </w:tc>
      </w:tr>
      <w:tr>
        <w:trPr>
          <w:trHeight w:val="230"/>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(107,713)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w:t>
            </w:r>
          </w:p>
        </w:tc>
      </w:tr>
      <w:tr>
        <w:trPr>
          <w:trHeight w:val="230"/>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30"/>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45,385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w:t>
            </w:r>
          </w:p>
        </w:tc>
      </w:tr>
      <w:tr>
        <w:trPr>
          <w:trHeight w:val="230"/>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1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w:t>
            </w:r>
          </w:p>
        </w:tc>
      </w:tr>
      <w:tr>
        <w:trPr>
          <w:trHeight w:val="230"/>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19,232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30,521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r>
      <w:tr>
        <w:trPr>
          <w:trHeight w:val="230"/>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13,455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19,232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payments</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10,499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36"/>
        </w:trPr>
        <w:tc>
          <w:tcPr>
            <w:tcW w:w="6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Income tax payments, net</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2,282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12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for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Accumulated Other</w:t>
            </w:r>
          </w:p>
        </w:tc>
        <w:tc>
          <w:tcPr>
            <w:tcW w:w="240" w:type="dxa"/>
            <w:vAlign w:val="bottom"/>
          </w:tcPr>
          <w:p>
            <w:pPr>
              <w:spacing w:after="0"/>
              <w:rPr>
                <w:sz w:val="17"/>
                <w:szCs w:val="17"/>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4"/>
                <w:szCs w:val="14"/>
                <w:color w:val="auto"/>
              </w:rPr>
            </w:pPr>
          </w:p>
        </w:tc>
        <w:tc>
          <w:tcPr>
            <w:tcW w:w="11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rPr>
              <w:t>Comprehensive</w:t>
            </w:r>
          </w:p>
        </w:tc>
        <w:tc>
          <w:tcPr>
            <w:tcW w:w="12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per-share data)</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Restoration Plan</w:t>
            </w:r>
          </w:p>
        </w:tc>
        <w:tc>
          <w:tcPr>
            <w:tcW w:w="18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 (Loss)</w:t>
            </w:r>
          </w:p>
        </w:tc>
        <w:tc>
          <w:tcPr>
            <w:tcW w:w="24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33,457,176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50,066</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239,480</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($0.48 per 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upon 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33,736,629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($0.50 per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34,000,642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7,065</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Recognition in earnings of net actuarial loss for</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50,997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50,997</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w:t>
            </w:r>
          </w:p>
        </w:tc>
        <w:tc>
          <w:tcPr>
            <w:tcW w:w="12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($0.26 per share)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(8,884)</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3,036</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34,408,638</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61,606</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177,977</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(81,697)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155,653</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SUMMARY OF SIGNIFICANT ACCOUNTING POLICIES</w:t>
      </w:r>
    </w:p>
    <w:p>
      <w:pPr>
        <w:spacing w:after="0" w:line="10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Nature of Operations. </w:t>
      </w:r>
      <w:r>
        <w:rPr>
          <w:rFonts w:ascii="Times New Roman" w:cs="Times New Roman" w:eastAsia="Times New Roman" w:hAnsi="Times New Roman"/>
          <w:sz w:val="17"/>
          <w:szCs w:val="17"/>
          <w:color w:val="auto"/>
        </w:rPr>
        <w:t>Tredegar Corporation and subsidiaries (collectively “Tredegar,” “the Company,” “we,” “us” or “our”) is an industrial manufacturer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three primary businesses: custom aluminum extrusions for the North American building &amp; construction, automotive and specialty end-use markets; surface protection films for high-technology applications in the global electronics industry and polyethylene overwrap films used for bathroom tissue and paper towels; and polyester-based films for use in packaging applications that have specialized properties primarily for the Latin American and the United States (“U.S.”) flexible packaging markets. The Company’s business segments are Aluminum Extrusions (also referred to as Bonnell Aluminum), PE Films, and Flexible Packaging Films (also referred to as Terphane). More information on the Company’s business segments is provided in Note 13.</w:t>
      </w:r>
    </w:p>
    <w:p>
      <w:pPr>
        <w:spacing w:after="0" w:line="37"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Terphane to Oben Group (the “Contingent Terphane Sale”).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 Brazil. The regulatory review process is ongoing and in line with the Company’s expectations. CADE’s maximum deadline for completing its review is no later than November 18, 2024. The merger review regarding the transaction was cleared by the Colombian authority in early February 2024.</w:t>
      </w:r>
    </w:p>
    <w:p>
      <w:pPr>
        <w:spacing w:after="0" w:line="6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Principles of Consolidation. </w:t>
      </w:r>
      <w:r>
        <w:rPr>
          <w:rFonts w:ascii="Times New Roman" w:cs="Times New Roman" w:eastAsia="Times New Roman" w:hAnsi="Times New Roman"/>
          <w:sz w:val="18"/>
          <w:szCs w:val="18"/>
          <w:color w:val="auto"/>
        </w:rPr>
        <w:t>The consolidated financial statements include the accounts and operations of the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prepared in accordance with U.S. generally accepted accounting principles (“GAAP”). Intercompany balances and transactions have been eliminated in consolidation. Certain amounts for the prior years have been reclassified to conform to current year presentation.</w:t>
      </w:r>
    </w:p>
    <w:p>
      <w:pPr>
        <w:spacing w:after="0" w:line="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End. </w:t>
      </w:r>
      <w:r>
        <w:rPr>
          <w:rFonts w:ascii="Times New Roman" w:cs="Times New Roman" w:eastAsia="Times New Roman" w:hAnsi="Times New Roman"/>
          <w:sz w:val="18"/>
          <w:szCs w:val="18"/>
          <w:color w:val="auto"/>
        </w:rPr>
        <w:t>The Company operates on a calendar fiscal year except for the Aluminum Extrusions segment, which operates on a 52/53-week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basis. References to Aluminum Extrusions for 2023, 2022 and 2021 relate to the 53-week fiscal years ended December 31, 2023 and 52-week fiscal years ended December 25, 2022 and December 26, 2021, respectively. The Company does not believe the impact of reporting the results of this segment in this manner is material to the consolidated financial results. The Company may fund or receive cash from the Aluminum Extrusions segment based on Aluminum Extrusion’s cash flows from operations during the intervening period from Aluminum Extrusion’s fiscal year end to the Company’s calendar year end. There was no intercompany funding with Aluminum Extrusions between December 25, 2022 and December 31, 2022.</w:t>
      </w:r>
    </w:p>
    <w:p>
      <w:pPr>
        <w:spacing w:after="0" w:line="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liabilities, revenue, expenses and disclosure of contingent assets and liabilities (if any). On an ongoing basis, the Company evaluates its estimates, including those related to provisions for transaction and credit losses, income taxes, pension, and the valuation of goodwill and intangible assets, among others. Tredegar bases its estimates on historical experience and various other assumptions which the Company believes to be reasonable under the circumstances. Actual results could differ from those estimates.</w:t>
      </w:r>
    </w:p>
    <w:p>
      <w:pPr>
        <w:spacing w:after="0" w:line="5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the U.S., where the local currency is the functional currency,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translated into U.S. Dollars using exchange rates in effect at the period end for assets and liabilities and average exchange rates during each reporting period for results of operations. Adjustments resulting from the translation of these financial statements are reflected as a separate component of shareholders’ equity. There are no operating subsidiaries located outside the U.S. where the U.S. Dollar is the functional currency. Transaction and remeasurement gains or losses included in income were gains of $0.2 million, losses of $0.4 million and losses of $0.5 million in 2023, 2022 and 2021, respectively. These amounts do not include the effects between reporting periods that exchange rate changes have on income of the locations outside the U.S. that result from translation into U.S. Dollars.</w:t>
      </w:r>
    </w:p>
    <w:p>
      <w:pPr>
        <w:spacing w:after="0" w:line="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Cash Equivalents and Restricted cash. </w:t>
      </w:r>
      <w:r>
        <w:rPr>
          <w:rFonts w:ascii="Times New Roman" w:cs="Times New Roman" w:eastAsia="Times New Roman" w:hAnsi="Times New Roman"/>
          <w:sz w:val="18"/>
          <w:szCs w:val="18"/>
          <w:color w:val="auto"/>
        </w:rPr>
        <w:t>Cash, cash equivalents and restricted cash consist of cash on hand in excess of daily operating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highly liquid investments with original maturities of three months or less. At December 31, 2023 and 2022, Tredegar had cash, cash equivalents and restricted cash of $13.5 million and $19.2 million, respectively, including funds held in locations outside the U.S. of $9.8 million and $10.3 million, respectively.</w:t>
      </w:r>
    </w:p>
    <w:p>
      <w:pPr>
        <w:spacing w:after="0" w:line="4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Company’s policy permits investment of excess cash in marketable securities that have the highest credit ratings and maturities of less than one year. The primary objectives of the policy are safety of principal and liquidity.</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48" w:name="page49"/>
    <w:bookmarkEnd w:id="48"/>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amounts shown in the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4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9,660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29"/>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3,795</w:t>
            </w: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13,455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bl>
    <w:p>
      <w:pPr>
        <w:spacing w:after="0" w:line="17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2023 consists of $3.4 million of receipts that have not yet been applied to the ABL Facility (defined below). See Note 7 for additional information.</w:t>
      </w:r>
    </w:p>
    <w:p>
      <w:pPr>
        <w:spacing w:after="0" w:line="2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and Other Receivables, net. </w:t>
      </w:r>
      <w:r>
        <w:rPr>
          <w:rFonts w:ascii="Times New Roman" w:cs="Times New Roman" w:eastAsia="Times New Roman" w:hAnsi="Times New Roman"/>
          <w:sz w:val="18"/>
          <w:szCs w:val="18"/>
          <w:color w:val="auto"/>
        </w:rPr>
        <w:t>Accounts receivables are stated at the amount invoiced to customers less allowances for doubtful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receivables are non-interest bearing and arise from the sale of products to customers under typical industry trade terms. Notes receivables are immaterial. Past due amounts are determined based on established terms and charged-off when deemed uncollectible. The allowance for doubtful accounts is determined based on an assessment of probable losses taking into account past due amounts, customer credit profile, historical experience and current economic conditions. For receivables that do not have a specific allowance, the loss rate is computed by segment to apply to the remaining receivables balance, using each segment’s historic loss rate. Other receivables include value-added taxes related to certain foreign subsidiaries and other miscellaneous receivables due within one year. For certain customers, the Company has arrangements in place with financial institutions whereby certain customer receivables are sold to the financial institution at a discount and without recourse. Upon sale, the associated receivable is unrecognized, and the discount is recognized. For more information on accounts and other receivables, net, see Note 2.</w:t>
      </w:r>
    </w:p>
    <w:p>
      <w:pPr>
        <w:spacing w:after="0" w:line="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market, with cost determined using the last in, first out (“LIFO”) method, the weighted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or the first in, first out (“FIFO”) method. Cost elements included in work-in-process and finished goods inventories are raw materials, direct labor and manufacturing overhead. Finished goods, work-in-process, raw materials and supplies, stores and other inventory are reviewed to determine if inventory quantities are in excess of forecasted usage or if they have become obsolete.</w:t>
      </w:r>
    </w:p>
    <w:p>
      <w:pPr>
        <w:spacing w:after="0" w:line="5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Accounts include costs of assets constructed or purchased, related delivery and installation costs and interest incurred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capital projects during their construction periods. Expenditures for renewals and betterments also are capitalized, but expenditures for repairs and maintenance are expensed as incurred. The cost and accumulated depreciation applicable to assets retired or sold are removed from the respective accounts, and gains or losses thereon are included in income. Capital expenditures for property, plant and equipment include capitalized interest. Capitalized interest included in capital expenditures for property, plant and equipment was immaterial. Depreciation is computed primarily by the straight-line method based on the estimated useful lives of the assets that generally range from 5 to 40 years for buildings and land improvements and 2 to 20 years for machinery and equipment.</w:t>
      </w:r>
    </w:p>
    <w:p>
      <w:pPr>
        <w:spacing w:after="0" w:line="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Identifiable Intangibles. </w:t>
      </w:r>
      <w:r>
        <w:rPr>
          <w:rFonts w:ascii="Times New Roman" w:cs="Times New Roman" w:eastAsia="Times New Roman" w:hAnsi="Times New Roman"/>
          <w:sz w:val="18"/>
          <w:szCs w:val="18"/>
          <w:color w:val="auto"/>
        </w:rPr>
        <w:t>The excess of the purchase price over the fair value of identifiable net assets of acquired companies is allocated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65"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During 2023, uncertainty about the timing of a recovery in the consumer electronics market persisted, and manufacturers in the supply chain for consumer electronics continued to experience reduced capacity utilization and inventory corrections. In light of the limited visibility on the timing of a recovery and the expected adverse future impact to the Surface Protection business, coupled with a cautious outlook on new product development opportunities, the Company performed a Step 1 goodwill impairment analysis, as of June 30, 2023 and September 30, 2023, of the Surface Protection component of PE Films. The analyses concluded that the fair value of Surface Protection was less than its carrying value, thus a non-cash partial goodwill impairment of $34.9 million ($27.0 million after deferred income tax benefits) was recognized during 2023.</w:t>
      </w:r>
    </w:p>
    <w:p>
      <w:pPr>
        <w:spacing w:after="0" w:line="6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Surface Protection by: (i) computing an estimated enterprise value (“EV”) utilizing the discounted cash flow method (the “DCF Method”), (ii) applying adjustments for any surplus or deficient working capital, (iii) adding cash and cash equivalents, and (iv) subtracting interest-bearing debt. The DCF Method was used, incorporating Surface Protection’s latest projections, which reflect updated expected market recovery levels, feasibility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300"/>
        <w:spacing w:after="0" w:line="282" w:lineRule="auto"/>
        <w:rPr>
          <w:sz w:val="20"/>
          <w:szCs w:val="20"/>
          <w:color w:val="auto"/>
        </w:rPr>
      </w:pPr>
      <w:r>
        <w:rPr>
          <w:rFonts w:ascii="Times New Roman" w:cs="Times New Roman" w:eastAsia="Times New Roman" w:hAnsi="Times New Roman"/>
          <w:sz w:val="18"/>
          <w:szCs w:val="18"/>
          <w:color w:val="auto"/>
        </w:rPr>
        <w:t>launching new product applications, competitive pricing and cash flows associated with production efficiencies, as well as consideration of cost savings and inventory corrections.</w:t>
      </w:r>
    </w:p>
    <w:p>
      <w:pPr>
        <w:spacing w:after="0" w:line="27"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As of December 1, 2023, the Company’s reporting units with goodwill were Surface Protection in PE Films and Futura in Aluminum Extrusions. Both of these reporting units have separately identifiable operating net assets (operating assets including goodwill and identifiable intangible assets net of operating liabilities). The Company's Step 0 analysis of these reporting units concluded that it is more likely than not that the fair value of each reporting unit was greater than its carrying value. Therefore, the Step 1 quantitative goodwill impairment tests for these reporting units were not necessary. The Surface Protection and Futura reporting units had goodwill in the amounts of $22.4 million and $13.3 million, respectively, at December 31, 2023.</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goodwill and identifiable intangibles, see Note 5.</w:t>
      </w:r>
    </w:p>
    <w:p>
      <w:pPr>
        <w:spacing w:after="0" w:line="10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Company reviews long-lived assets for possible impairment when events indicate that an impairment may exist.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assets that are held and used in operations, if events indicate that an asset may be impaired, the Company estimates the future unlevered pre-tax cash flows expected to result from the use of the asset and its eventual disposition. Assets are grouped for this purpose at the lowest level for which there are identifiable and independent cash flows. If the sum of these undiscounted pre-tax cash flows is less than the carrying amount of the asset group, an impairment loss is calculated. Measurement of the impairment loss is the amount by which the carrying amount exceeds the estimated fair value of the asset group. Assets that are held for sale are reported at the lower of their carrying amount or estimated fair value less cost to sell, with an impairment loss recognized for any write-down required.</w:t>
      </w:r>
    </w:p>
    <w:p>
      <w:pPr>
        <w:spacing w:after="0" w:line="5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and 2022, no events, other than the Richmond Technical Center assets that went held for sale in the third quarter of 2023, were identified that indicated long-lived assets may be impaired.</w:t>
      </w:r>
    </w:p>
    <w:p>
      <w:pPr>
        <w:spacing w:after="0" w:line="3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Costs and Postretirement Benefit Costs Other than Pensions. </w:t>
      </w:r>
      <w:r>
        <w:rPr>
          <w:rFonts w:ascii="Times New Roman" w:cs="Times New Roman" w:eastAsia="Times New Roman" w:hAnsi="Times New Roman"/>
          <w:sz w:val="18"/>
          <w:szCs w:val="18"/>
          <w:color w:val="auto"/>
        </w:rPr>
        <w:t>Pension costs and postretirement benefit costs other than pensions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accrued over the period employees provided service to Tredegar. Liabilities and expenses for pension plans and other postretirement benefits are determined using actuarial methodologies and incorporate significant assumptions, including the rate used to discount the future estimated liability, the long-term rate of return on plan assets, and several assumptions relating to the employee workforce. The Company recognizes the funded status of its pension and other postretirement plans in the accompanying consolidated balance sheets. Tredegar’s policy has been to fund its pension plans at amounts not less than the minimum requirements of the Employee Retirement Income Security Act (“ERISA”) of 1974 and to fund postretirement benefits other than pensions when claims are incurred.</w:t>
      </w:r>
    </w:p>
    <w:p>
      <w:pPr>
        <w:spacing w:after="0" w:line="6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February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For more information, see Note 8.</w:t>
      </w:r>
    </w:p>
    <w:p>
      <w:pPr>
        <w:spacing w:after="0" w:line="3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Company’s revenue is primarily generated from the sale of finished products to customers. Those sales predominantly contain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to the destination specified in the agreement with the customer.</w:t>
      </w:r>
    </w:p>
    <w:p>
      <w:pPr>
        <w:spacing w:after="0" w:line="5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Sales revenue is recognized in an amount that reflects the consideration the Company expects to be entitled to in exchange for that finished product. The Company offers various discounts, rebates and allowances to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sales returns and customer sales volume, thus representing variable consideration.</w:t>
      </w:r>
    </w:p>
    <w:p>
      <w:pPr>
        <w:spacing w:after="0" w:line="58"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Amounts billed to customers related to freight are classified as sales revenue and the cost of freight is classified as a separate line in the accompanying consolidated statements of income. Taxes assessed by a governmental authority that are both imposed on and concurrent with a specific revenue-producing transaction between Tredegar and its customers (such as value-added taxes) are accounted for on a net basis and therefore excluded from revenues. See Note 13 for disaggregation of revenue by segment and type. See Note 2 for a table showing accounts and other receivables, net of allowance for bad debts.</w:t>
      </w:r>
    </w:p>
    <w:p>
      <w:pPr>
        <w:spacing w:after="0" w:line="4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Revenue expected to be recognized in any future period related to remaining performance obligations, excluding i) revenue pertaining to contracts that have an original expected duration of one year or less, ii) contracts where revenue is recognized as invoiced and iii) variable consideration related to unsatisfied performance obligations, is not expected to materially impact the Company’s financial results.</w:t>
      </w:r>
    </w:p>
    <w:p>
      <w:pPr>
        <w:spacing w:after="0" w:line="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(“R&amp;D”) Costs. </w:t>
      </w:r>
      <w:r>
        <w:rPr>
          <w:rFonts w:ascii="Times New Roman" w:cs="Times New Roman" w:eastAsia="Times New Roman" w:hAnsi="Times New Roman"/>
          <w:sz w:val="18"/>
          <w:szCs w:val="18"/>
          <w:color w:val="auto"/>
        </w:rPr>
        <w:t>R&amp;D costs are expensed as incurred and include primarily salaries, wages, employee benefits,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facility costs and the cost of materials consumed relating to R&amp;D efforts. R&amp;D costs include a reasonable allocation of indirect costs.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Future research and development activities for PE Films will be performed at the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the first quarter of 2024. The Company recognized total expense incurred through December 31, 2023 associated with exit activities of $1.3 million for: (i) severance and related costs</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($0.9 million) and (ii) building closure costs ($0.4 million). In addition, the Company recognized a non-cash asset impairment ($3.5 million), accelerated depreciation ($0.3 million) and a gain on the lease modification ($0.1 million).</w:t>
      </w:r>
    </w:p>
    <w:p>
      <w:pPr>
        <w:spacing w:after="0" w:line="4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balances of accrued expense associated with exit and disposal activities and charges associated with asset impairments reported as "Asset impairments and costs associated with exit and disposal activities, net of adjustments" in the consolidated statements of income for the year ended December 31, 2023 is shown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960" w:type="dxa"/>
            <w:vAlign w:val="bottom"/>
            <w:tcBorders>
              <w:top w:val="single" w:sz="8" w:color="auto"/>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color w:val="auto"/>
              </w:rPr>
              <w:t>Severance</w:t>
            </w:r>
          </w:p>
        </w:tc>
        <w:tc>
          <w:tcPr>
            <w:tcW w:w="19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 impairment</w:t>
            </w:r>
          </w:p>
        </w:tc>
        <w:tc>
          <w:tcPr>
            <w:tcW w:w="80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tcPr>
          <w:p>
            <w:pPr>
              <w:spacing w:after="0"/>
              <w:rPr>
                <w:sz w:val="21"/>
                <w:szCs w:val="2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26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Richmond Technical Center</w:t>
            </w:r>
          </w:p>
        </w:tc>
        <w:tc>
          <w:tcPr>
            <w:tcW w:w="2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895</w:t>
            </w: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3,454</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4,977</w:t>
            </w:r>
          </w:p>
        </w:tc>
      </w:tr>
      <w:tr>
        <w:trPr>
          <w:trHeight w:val="223"/>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2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895</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3,454</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4,977</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Spend</w:t>
            </w:r>
          </w:p>
        </w:tc>
        <w:tc>
          <w:tcPr>
            <w:tcW w:w="226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510</w:t>
            </w:r>
          </w:p>
        </w:tc>
        <w:tc>
          <w:tcPr>
            <w:tcW w:w="7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312</w:t>
            </w: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w:t>
            </w: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against assets</w:t>
            </w:r>
          </w:p>
        </w:tc>
        <w:tc>
          <w:tcPr>
            <w:tcW w:w="2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3,454</w:t>
            </w:r>
          </w:p>
        </w:tc>
        <w:tc>
          <w:tcPr>
            <w:tcW w:w="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w:t>
            </w:r>
          </w:p>
        </w:tc>
        <w:tc>
          <w:tcPr>
            <w:tcW w:w="7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385</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w:t>
            </w: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At inception, the Company determines if an arrangement contains a lease and whether that lease meets the classification criteria of a finance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 The Company has elected to not record short-term leases with an original lease term of one year or less in the consolidated balance sheet. To the extent such leases contain renewal options that the Company intends to exercise, the related Right-of-Use (“ROU”) asset and lease liability are included in the consolidated balance sheet. Some of the Company’s lease arrangements contain lease components (e.g., minimum rent payments) and non-lease components (e.g., maintenance, labor charges, etc.). The Company generally accounts for the lease and non-lease components as a single lease component.</w:t>
      </w:r>
    </w:p>
    <w:p>
      <w:pPr>
        <w:spacing w:after="0" w:line="6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w:t>
      </w:r>
    </w:p>
    <w:p>
      <w:pPr>
        <w:spacing w:after="0" w:line="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“Right-of-use lease assets”, “Lease liabilities - short-term” and “Lease liabilities - long-term” on the consolidated balance sheets. These assets and liabilities are recognized at the commencement date based on the present value of remaining lease payments over the lease term using the Company’s secured incremental borrowing rates, adjusted for term and geographic location using country-based swap rates. As a result of the Company’s review of new and existing lease contracts, there were no instances where the Company could readily determine a rate implicit in the lease.</w:t>
      </w:r>
    </w:p>
    <w:p>
      <w:pPr>
        <w:spacing w:after="0" w:line="45"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Variable lease expense is recognized in the period in which the obligation for those payments is incurred. Depending upon the specific use of the ROU asset, lease expense is included in the “Cost of goods sold”, “Freight”, “Selling, general and administrative”, and “Research and development” line items on the consolidated statements of income. Lease income is not material to the results of operations for the years ended December 31, 2023 and 2022, respectively. Additional disclosure regarding Tredegar’s leases is included in Note 4.</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recognized during the period in which transactions enter into the determination of income for financial reporting purposes,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deferred income taxes being provided at enacted statutory tax rates on the differences between the financial reporting and tax bases of assets and liabilities (see Note 12). Tredegar’s policy is to accrue U.S. federal income taxes to the extent required under GAAP on unremitted earnings of all foreign subsidiaries where required. However, Tredegar only records U.S. federal income taxes on unremitted earnings of its foreign subsidiaries where Tredegar cannot take steps to eliminate any potential tax on future distributions from its foreign subsidiaries. Because of the accumulation of significant losses related to foreign currency translations at Terphane Limitada, there were no unrecorded deferred income tax liabilities associated with U.S. federal income taxes and foreign withholding taxes on Terphane Limitada’s undistributed earnings as of December 31, 2023 and December 31, 2022.</w:t>
      </w:r>
    </w:p>
    <w:p>
      <w:pPr>
        <w:spacing w:after="0" w:line="65"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 The benefit of an uncertain tax position is included in the accompanying financial statements when the Company determines that it is more likely than not that the position will be sustained, based on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160"/>
        <w:spacing w:after="0" w:line="282" w:lineRule="auto"/>
        <w:rPr>
          <w:sz w:val="20"/>
          <w:szCs w:val="20"/>
          <w:color w:val="auto"/>
        </w:rPr>
      </w:pPr>
      <w:r>
        <w:rPr>
          <w:rFonts w:ascii="Times New Roman" w:cs="Times New Roman" w:eastAsia="Times New Roman" w:hAnsi="Times New Roman"/>
          <w:sz w:val="18"/>
          <w:szCs w:val="18"/>
          <w:color w:val="auto"/>
        </w:rPr>
        <w:t>technical merits of the position, if the taxing authority examines the position and the dispute is litigated. This determination is made on the basis of all the facts, circumstances and information available as of the reporting date.</w:t>
      </w:r>
    </w:p>
    <w:p>
      <w:pPr>
        <w:spacing w:after="0" w:line="23"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Earnings Per Share. </w:t>
      </w:r>
      <w:r>
        <w:rPr>
          <w:rFonts w:ascii="Times New Roman" w:cs="Times New Roman" w:eastAsia="Times New Roman" w:hAnsi="Times New Roman"/>
          <w:sz w:val="17"/>
          <w:szCs w:val="17"/>
          <w:color w:val="auto"/>
        </w:rPr>
        <w:t>Basic earnings per share is computed using the weighted average number of shares of common stock outstanding. Diluted earnings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 share is computed using the weighted average common and potentially dilutive common equivalent shares outstanding, determined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80" w:type="dxa"/>
            <w:vAlign w:val="bottom"/>
            <w:tcBorders>
              <w:top w:val="single" w:sz="8" w:color="auto"/>
              <w:bottom w:val="single" w:sz="8" w:color="auto"/>
            </w:tcBorders>
            <w:shd w:val="clear" w:color="auto" w:fill="CCEEFF"/>
          </w:tcPr>
          <w:p>
            <w:pPr>
              <w:spacing w:after="0"/>
              <w:rPr>
                <w:sz w:val="22"/>
                <w:szCs w:val="22"/>
                <w:color w:val="auto"/>
              </w:rPr>
            </w:pPr>
          </w:p>
        </w:tc>
        <w:tc>
          <w:tcPr>
            <w:tcW w:w="196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34,133,078</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33,805,530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33,562,684</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attributable to stock options and restricted stock</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20,900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107,566</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34,133,078</w:t>
            </w: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33,826,430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33,670,250</w:t>
            </w:r>
          </w:p>
        </w:tc>
      </w:tr>
    </w:tbl>
    <w:p>
      <w:pPr>
        <w:spacing w:after="0" w:line="15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The Company had a net loss for the year ended December 31, 2023, so there is no dilutive impact for such shares. If the Company had reported net income for the year ended December 31, 2023, average out-of-the-money options to purchase shares that were excluded from the calculation of incremental shares attributable to stock options and restricted stock would have been 2,925,091. The average out-of-the-money options to purchase shares that were excluded from the calculation of incremental shares attributable to stock options and restricted stock were 2,760,983 and 1,582,222 for the years ended December 31, 2022 and 2021, respectively.</w:t>
      </w:r>
    </w:p>
    <w:p>
      <w:pPr>
        <w:spacing w:after="0" w:line="6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Employee Compensation Plans. </w:t>
      </w:r>
      <w:r>
        <w:rPr>
          <w:rFonts w:ascii="Times New Roman" w:cs="Times New Roman" w:eastAsia="Times New Roman" w:hAnsi="Times New Roman"/>
          <w:sz w:val="18"/>
          <w:szCs w:val="18"/>
          <w:color w:val="auto"/>
        </w:rPr>
        <w:t>The cost of all share-based payments is recognized using the calculated fair value at the grant date,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of any later modification, over the requisite service period under the graded-vesting method. See Note 11 for additional information.</w:t>
      </w:r>
    </w:p>
    <w:p>
      <w:pPr>
        <w:spacing w:after="0" w:line="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Tredegar uses derivative financial instruments for the purpose of hedging aluminum price volatility and currency exchange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exposures that exist as part of transactions associated with ongoing business operations. The Company’s derivative financial instruments are designated as and qualify as cash flow hedges and are recognized in the accompanying balance sheet at fair value. A change in the fair value of the derivative that is highly effective and that is designated and qualifies as a cash flow hedge is recorded in other comprehensive income. Gains and losses reported in other comprehensive income (loss) are reclassified to earnings in the periods in which earnings are affected by the variability of cash flows of the hedged transaction. Such gains and losses are reported in the same line as the underlying hedged item, and the cash flows related to financial instruments are classified in the consolidated statements of cash flows in a manner consistent with those of the transactions being hedged.</w:t>
      </w:r>
    </w:p>
    <w:p>
      <w:pPr>
        <w:spacing w:after="0" w:line="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Company’s policy requires that it formally document all relationships between hedging instruments and hedged items, as well as its risk management objective and strategy for undertaking various hedge transactions. The Company also uses regression analysis, unless the hedge qualifies for other methods of assessing effectiveness, to formally assess (both at the hedge’s inception and on an ongoing basis) whether the derivatives that are used in hedging transactions have been highly effective in offsetting changes in the fair value or cash flows of hedged items and whether those derivatives may be expected to remain highly effective in future periods. When it is determined that a derivative is not (or has ceased to be) highly effective as a hedge, the Company discontinues hedge accounting prospectively.</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policy, Tredegar does not engage in speculative or leveraged transactions, nor does it hold or issue financial instruments for trading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 of the utilization of derivative hedging instruments is included in Note 10.</w:t>
      </w:r>
    </w:p>
    <w:p>
      <w:pPr>
        <w:spacing w:after="0" w:line="8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Comprehensive income (loss) is defined as net income or loss as adjusted by other comprehensive income or loss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comprehensive income (loss) includes changes in foreign currency translation adjustments; unrealized gains and losses on derivative financial instruments; prior service costs and net gains or losses from pension and other postretirement benefit plans arising during the period; and amortization of these prior service costs and net gain or loss adjustments; and during the period, realized net actuarial loss for pension settlement all recorded net of deferred income taxes.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Foreign Currency</w:t>
            </w:r>
          </w:p>
        </w:tc>
        <w:tc>
          <w:tcPr>
            <w:tcW w:w="2040" w:type="dxa"/>
            <w:vAlign w:val="bottom"/>
            <w:tcBorders>
              <w:top w:val="single" w:sz="8" w:color="auto"/>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Derivative</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1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Total Accumulated Other</w:t>
            </w:r>
          </w:p>
        </w:tc>
        <w:tc>
          <w:tcPr>
            <w:tcW w:w="0" w:type="dxa"/>
            <w:vAlign w:val="bottom"/>
          </w:tcPr>
          <w:p>
            <w:pPr>
              <w:spacing w:after="0"/>
              <w:rPr>
                <w:sz w:val="1"/>
                <w:szCs w:val="1"/>
                <w:color w:val="auto"/>
              </w:rPr>
            </w:pPr>
          </w:p>
        </w:tc>
      </w:tr>
      <w:tr>
        <w:trPr>
          <w:trHeight w:val="180"/>
        </w:trPr>
        <w:tc>
          <w:tcPr>
            <w:tcW w:w="3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gridSpan w:val="2"/>
            <w:vMerge w:val="continue"/>
            <w:shd w:val="clear" w:color="auto" w:fill="CCEEFF"/>
          </w:tcPr>
          <w:p>
            <w:pPr>
              <w:spacing w:after="0"/>
              <w:rPr>
                <w:sz w:val="15"/>
                <w:szCs w:val="15"/>
                <w:color w:val="auto"/>
              </w:rPr>
            </w:pPr>
          </w:p>
        </w:tc>
        <w:tc>
          <w:tcPr>
            <w:tcW w:w="2040" w:type="dxa"/>
            <w:vAlign w:val="bottom"/>
            <w:gridSpan w:val="2"/>
            <w:vMerge w:val="continue"/>
            <w:shd w:val="clear" w:color="auto" w:fill="CCEEFF"/>
          </w:tcPr>
          <w:p>
            <w:pPr>
              <w:spacing w:after="0"/>
              <w:rPr>
                <w:sz w:val="15"/>
                <w:szCs w:val="15"/>
                <w:color w:val="auto"/>
              </w:rPr>
            </w:pPr>
          </w:p>
        </w:tc>
        <w:tc>
          <w:tcPr>
            <w:tcW w:w="1820" w:type="dxa"/>
            <w:vAlign w:val="bottom"/>
            <w:gridSpan w:val="2"/>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Postretirement Benefit</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Comprehensive Income</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(Loss)</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23,932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18,720</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13,186</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31,906</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10,641</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(86,079)</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11,794</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1,935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(2,977)</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(3,868)</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3,042</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8,817</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13,372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(7,580)</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101,323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93,743</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2,044</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(43,261)</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(41,217)</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(5,536)</w:t>
            </w:r>
          </w:p>
        </w:tc>
        <w:tc>
          <w:tcPr>
            <w:tcW w:w="240" w:type="dxa"/>
            <w:vAlign w:val="bottom"/>
          </w:tcPr>
          <w:p>
            <w:pPr>
              <w:spacing w:after="0"/>
              <w:rPr>
                <w:sz w:val="15"/>
                <w:szCs w:val="15"/>
                <w:color w:val="auto"/>
              </w:rPr>
            </w:pPr>
          </w:p>
        </w:tc>
        <w:tc>
          <w:tcPr>
            <w:tcW w:w="1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58,062</w:t>
            </w:r>
          </w:p>
        </w:tc>
        <w:tc>
          <w:tcPr>
            <w:tcW w:w="160" w:type="dxa"/>
            <w:vAlign w:val="bottom"/>
          </w:tcPr>
          <w:p>
            <w:pPr>
              <w:spacing w:after="0"/>
              <w:rPr>
                <w:sz w:val="15"/>
                <w:szCs w:val="15"/>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52,526</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3,042</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3,281</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59,575</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65,898</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(83,037)</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(81,697)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are included in the computation of net periodic pension costs, see Note 8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 in 2023:</w:t>
      </w:r>
    </w:p>
    <w:p>
      <w:pPr>
        <w:spacing w:after="0" w:line="10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July 2023, the Financial Accounting Standard Board (“FASB”) issued Accounting Standards Updated ("ASU") 2023-03 to amend various Securities and Exchange Commission (“SEC”) paragraphs in the Accounting Standards Codification (“ASC”) to primarily reflect the issuance of SEC Staff Accounting Bulletin No. 120. ASU No. 2023-03, “Presentation of Financial Statements (Topic 205), Income Statement—Reporting Comprehensive Income (Topic 220), Distinguishing Liabilities from Equity (Topic 480), Equity (Topic 505), and Compensation—Stock Compensation (Topic 718): Amendments to SEC Paragraphs Pursuant to SEC Staff Accounting Bulletin No. 120, SEC Staff Announcement at the March 24, 2022 Emerging Issues Task Force ("EITF") Meeting, and Staff Accounting Bulletin Topic 6.B, Accounting Series Release 280—General Revision of Regulation S-X: Income or Loss Applicable to Common Stock.” ASU 2023-03 amends the ASC for SEC updates pursuant to SEC Staff Accounting Bulletin No. 120; SEC Staff Announcement at the March 24, 2022 EITF Meeting; and Staff Accounting Bulletin Topic 6.B, Accounting Series Release 280 - General Revision of Regulation S-X: Income or Loss Applicable to Common Stock. These updates were immediately effective and did not have a material impact on the Company's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9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to amend various paragraphs in the ASC to primarily reflect the issuance of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66"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 and requirements, primarily through the enhanced disclosures about significant segment expenses.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This ASU is effective for fiscal years beginning after December 15, 2023 and interim period beginning after December 15, 2024, with early adoption permitted. The amendments in this ASU are to be applied retrospectively to all prior periods presented in the financial statements. The Company is currently evaluating the impact of this standard on our consolidated financial statements and related disclosures.</w:t>
      </w:r>
    </w:p>
    <w:p>
      <w:pPr>
        <w:spacing w:after="0" w:line="7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This ASU is effective for annual periods beginning after December 15, 2024, early adoption is permitted. The Company is currently evaluating the impact of this standard on our consolidated financial statements and related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2023 and 2022, accounts receivable and other receivables, net, include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4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67,183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83,667</w:t>
            </w:r>
          </w:p>
        </w:tc>
      </w:tr>
      <w:tr>
        <w:trPr>
          <w:trHeight w:val="22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3,056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23"/>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4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70,239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87,541</w:t>
            </w:r>
          </w:p>
        </w:tc>
      </w:tr>
      <w:tr>
        <w:trPr>
          <w:trHeight w:val="22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4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30"/>
        </w:trPr>
        <w:tc>
          <w:tcPr>
            <w:tcW w:w="4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4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67,938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84,544</w:t>
            </w:r>
          </w:p>
        </w:tc>
      </w:tr>
      <w:tr>
        <w:trPr>
          <w:trHeight w:val="851"/>
        </w:trPr>
        <w:tc>
          <w:tcPr>
            <w:tcW w:w="4400" w:type="dxa"/>
            <w:vAlign w:val="bottom"/>
          </w:tcPr>
          <w:p>
            <w:pPr>
              <w:spacing w:after="0"/>
              <w:rPr>
                <w:sz w:val="24"/>
                <w:szCs w:val="24"/>
                <w:color w:val="auto"/>
              </w:rPr>
            </w:pPr>
          </w:p>
        </w:tc>
        <w:tc>
          <w:tcPr>
            <w:tcW w:w="420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allowance for doubtful accounts for the three years ended December 31, 2023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21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882</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settlements</w:t>
            </w:r>
          </w:p>
        </w:tc>
        <w:tc>
          <w:tcPr>
            <w:tcW w:w="2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2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2,997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392"/>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0"/>
        </w:trPr>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8"/>
        </w:trPr>
        <w:tc>
          <w:tcPr>
            <w:tcW w:w="48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30"/>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29,821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34,686</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7,830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21,939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58,262</w:t>
            </w:r>
          </w:p>
        </w:tc>
      </w:tr>
      <w:tr>
        <w:trPr>
          <w:trHeight w:val="229"/>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2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22,447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w:t>
            </w:r>
          </w:p>
        </w:tc>
      </w:tr>
      <w:tr>
        <w:trPr>
          <w:trHeight w:val="230"/>
        </w:trPr>
        <w:tc>
          <w:tcPr>
            <w:tcW w:w="4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82,037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127,771</w:t>
            </w:r>
          </w:p>
        </w:tc>
      </w:tr>
    </w:tbl>
    <w:p>
      <w:pPr>
        <w:spacing w:after="0" w:line="15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Inventories stated on the LIFO basis amounted to $7.2 million at December 31, 2023 and $25.3 million at December 31, 2022, which were below replacement costs by $13.2 million at December 31, 2023 and $15.6 million at December 31, 2022. Inventories stated on the weighted average cost basis were $45.3 million and $62.9 million at December 31, 2023 and 2022, respectively, while inventories stated on the FIFO method amounted to $29.6 million and $39.5 million at December 31, 2023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Tredegar has various operating lease agreements with remaining terms up to 9 years, including leases of real estate, office equipment and vehicles. As of December 31, 2023 and 2022, the Company had no finance lease agreements. Some leases include options to purchase the leased asset, terminate the agreement or extend the term of the agreement for one or more years. These options are included in the lease term when it is reasonably certain that the option will be exercised.</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maturity analysis of the Company’s operating leases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Borders>
              <w:top w:val="single" w:sz="8" w:color="auto"/>
              <w:bottom w:val="single" w:sz="8" w:color="auto"/>
            </w:tcBorders>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Future Lease Payments</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r>
      <w:tr>
        <w:trPr>
          <w:trHeight w:val="223"/>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45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30"/>
        </w:trPr>
        <w:tc>
          <w:tcPr>
            <w:tcW w:w="45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4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13,049</w:t>
            </w:r>
          </w:p>
        </w:tc>
      </w:tr>
      <w:tr>
        <w:trPr>
          <w:trHeight w:val="850"/>
        </w:trPr>
        <w:tc>
          <w:tcPr>
            <w:tcW w:w="4560" w:type="dxa"/>
            <w:vAlign w:val="bottom"/>
          </w:tcPr>
          <w:p>
            <w:pPr>
              <w:spacing w:after="0"/>
              <w:rPr>
                <w:sz w:val="24"/>
                <w:szCs w:val="24"/>
                <w:color w:val="auto"/>
              </w:rPr>
            </w:pPr>
          </w:p>
        </w:tc>
        <w:tc>
          <w:tcPr>
            <w:tcW w:w="456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rPr>
              <w:t>53</w:t>
            </w:r>
          </w:p>
        </w:tc>
        <w:tc>
          <w:tcPr>
            <w:tcW w:w="212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5" w:name="page56"/>
    <w:bookmarkEnd w:id="55"/>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lease costs, related cash flow and other information for the years ended December 31, 2023 and 2022. These costs are primarily related to long-term operating leases, but also include amounts for variable leases and short-term leases.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2,882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94"/>
        </w:trPr>
        <w:tc>
          <w:tcPr>
            <w:tcW w:w="60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w:t>
            </w:r>
          </w:p>
        </w:tc>
        <w:tc>
          <w:tcPr>
            <w:tcW w:w="12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 years</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4.46 %</w:t>
            </w:r>
          </w:p>
        </w:tc>
        <w:tc>
          <w:tcPr>
            <w:tcW w:w="1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405"/>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IDENTIFIABLE INTANGIBLE ASSETS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reconciliation of goodwill at December 31, 2023 and 2022 is as follows: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jc w:val="right"/>
              <w:ind w:right="190"/>
              <w:spacing w:after="0" w:line="179" w:lineRule="exact"/>
              <w:rPr>
                <w:sz w:val="20"/>
                <w:szCs w:val="20"/>
                <w:color w:val="auto"/>
              </w:rPr>
            </w:pPr>
            <w:r>
              <w:rPr>
                <w:rFonts w:ascii="Times New Roman" w:cs="Times New Roman" w:eastAsia="Times New Roman" w:hAnsi="Times New Roman"/>
                <w:sz w:val="18"/>
                <w:szCs w:val="18"/>
                <w:b w:val="1"/>
                <w:bCs w:val="1"/>
                <w:color w:val="auto"/>
              </w:rPr>
              <w:t>Aluminum</w:t>
            </w:r>
          </w:p>
        </w:tc>
        <w:tc>
          <w:tcPr>
            <w:tcW w:w="220" w:type="dxa"/>
            <w:vAlign w:val="bottom"/>
          </w:tcPr>
          <w:p>
            <w:pPr>
              <w:spacing w:after="0"/>
              <w:rPr>
                <w:sz w:val="15"/>
                <w:szCs w:val="15"/>
                <w:color w:val="auto"/>
              </w:rPr>
            </w:pP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PE Films</w:t>
            </w:r>
            <w:r>
              <w:rPr>
                <w:rFonts w:ascii="Times New Roman" w:cs="Times New Roman" w:eastAsia="Times New Roman" w:hAnsi="Times New Roman"/>
                <w:sz w:val="23"/>
                <w:szCs w:val="23"/>
                <w:b w:val="1"/>
                <w:bCs w:val="1"/>
                <w:color w:val="auto"/>
                <w:w w:val="99"/>
                <w:vertAlign w:val="superscript"/>
              </w:rPr>
              <w:t>(a)</w:t>
            </w:r>
          </w:p>
        </w:tc>
        <w:tc>
          <w:tcPr>
            <w:tcW w:w="480" w:type="dxa"/>
            <w:vAlign w:val="bottom"/>
          </w:tcPr>
          <w:p>
            <w:pPr>
              <w:spacing w:after="0"/>
              <w:rPr>
                <w:sz w:val="15"/>
                <w:szCs w:val="15"/>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9"/>
              </w:rPr>
              <w:t>Extrusions</w:t>
            </w:r>
            <w:r>
              <w:rPr>
                <w:rFonts w:ascii="Times New Roman" w:cs="Times New Roman" w:eastAsia="Times New Roman" w:hAnsi="Times New Roman"/>
                <w:sz w:val="23"/>
                <w:szCs w:val="23"/>
                <w:b w:val="1"/>
                <w:bCs w:val="1"/>
                <w:color w:val="auto"/>
                <w:w w:val="99"/>
                <w:vertAlign w:val="superscript"/>
              </w:rPr>
              <w:t>(a)</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57,338</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6"/>
              </w:rPr>
              <w:t>70,608</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2022</w:t>
            </w:r>
          </w:p>
        </w:tc>
        <w:tc>
          <w:tcPr>
            <w:tcW w:w="12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13,270</w:t>
            </w:r>
          </w:p>
        </w:tc>
        <w:tc>
          <w:tcPr>
            <w:tcW w:w="22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57,338</w:t>
            </w:r>
          </w:p>
        </w:tc>
        <w:tc>
          <w:tcPr>
            <w:tcW w:w="480" w:type="dxa"/>
            <w:vAlign w:val="bottom"/>
          </w:tcPr>
          <w:p>
            <w:pPr>
              <w:spacing w:after="0"/>
              <w:rPr>
                <w:sz w:val="19"/>
                <w:szCs w:val="19"/>
                <w:color w:val="auto"/>
              </w:rPr>
            </w:pP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70,608</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(34,891)</w:t>
            </w: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(34,891)</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22,447</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35,717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hanging="214"/>
        <w:spacing w:after="0"/>
        <w:tabs>
          <w:tab w:leader="none" w:pos="2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of Aluminum Extrusions and PE Films is carried by the Futura and Surface Protection reporting units, respectively.</w:t>
      </w:r>
    </w:p>
    <w:p>
      <w:pPr>
        <w:spacing w:after="0" w:line="189"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reconciliation of identifiable intangibles at December 31, 2023 and 2022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Proprietary</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Trade Names</w:t>
            </w: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value at December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26,549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at December 31, 2022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value at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26,575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(3,687)</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at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6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Amortization expense over the next five years is expected to be as $1.9 million per year.</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Payrolls, related taxes and medical and other benefits</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6,261</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5,916</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2,602</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Workers’ compensation and disabilities</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2,178</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Group annuity contract premium liability</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2,000</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rebates</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1,891</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1,563</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utilities</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1,321</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1,236</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612</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6,103</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contract liability</w:t>
            </w: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483</w:t>
            </w: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440</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3,855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30"/>
        </w:trPr>
        <w:tc>
          <w:tcPr>
            <w:tcW w:w="100" w:type="dxa"/>
            <w:vAlign w:val="bottom"/>
            <w:tcBorders>
              <w:bottom w:val="single" w:sz="8" w:color="auto"/>
            </w:tcBorders>
            <w:shd w:val="clear" w:color="auto" w:fill="CCEEFF"/>
          </w:tcPr>
          <w:p>
            <w:pPr>
              <w:spacing w:after="0"/>
              <w:rPr>
                <w:sz w:val="20"/>
                <w:szCs w:val="20"/>
                <w:color w:val="auto"/>
              </w:rPr>
            </w:pPr>
          </w:p>
        </w:tc>
        <w:tc>
          <w:tcPr>
            <w:tcW w:w="4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24,442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6" w:name="page57"/>
    <w:bookmarkEnd w:id="56"/>
    <w:p>
      <w:pPr>
        <w:ind w:right="8060" w:firstLine="8"/>
        <w:spacing w:after="0" w:line="354"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CREDIT AGREEMENTS </w:t>
      </w:r>
      <w:r>
        <w:rPr>
          <w:rFonts w:ascii="Times New Roman" w:cs="Times New Roman" w:eastAsia="Times New Roman" w:hAnsi="Times New Roman"/>
          <w:sz w:val="18"/>
          <w:szCs w:val="18"/>
          <w:i w:val="1"/>
          <w:iCs w:val="1"/>
          <w:u w:val="single" w:color="auto"/>
          <w:color w:val="auto"/>
        </w:rPr>
        <w:t>ABL Facility</w:t>
      </w:r>
    </w:p>
    <w:p>
      <w:pPr>
        <w:spacing w:after="0" w:line="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On August 3, 2023, the Company entered into Amendment No. 2 to the Second Amended and Restated Credit Agreement (collectively the “Prior Credit Agreement”), which amended the financial covenants and decreased aggregate borrowings from $375 million to $200 million.</w:t>
      </w:r>
    </w:p>
    <w:p>
      <w:pPr>
        <w:spacing w:after="0" w:line="4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December 27, 2023, the Company entered into Amendment No. 3 (the “ABL Facility”) to the Prior Credit Agreement, which provides the Company with $180 million senior secured asset-based revolving credit facility that will expire on June 30, 2026.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March 31, 2025 or the date the Company receives the proceeds from the sale of Terphane (the “ABL Adjustment Date”), the $180 million ABL Facility will be reduced to $125 million. As of December 31, 2023, availability under the ABL Facility was $22.9 million, after reducing the availability by the aggregate outstanding borrowings of $126.3 million, standby letters of credit of $13.1 million, and the Minimum Liquidity (as defined in the ABL Facility) financial covenant. The Company incurred $2.6 million of debt issuance costs in conjunction with the ABL Facility, which are being amortized on a straight-line basis over the remaining term of the ABL Facility.</w:t>
      </w:r>
    </w:p>
    <w:p>
      <w:pPr>
        <w:spacing w:after="0" w:line="5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40" w:lineRule="exact"/>
        <w:rPr>
          <w:sz w:val="20"/>
          <w:szCs w:val="20"/>
          <w:color w:val="auto"/>
        </w:rPr>
      </w:pPr>
    </w:p>
    <w:p>
      <w:pPr>
        <w:ind w:left="660" w:right="120" w:hanging="328"/>
        <w:spacing w:after="0" w:line="276" w:lineRule="auto"/>
        <w:tabs>
          <w:tab w:leader="none" w:pos="6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Alternate Base Rate (“ABR”) plus 2.50% before the ABL Adjustment Date and the applicable ABR Spread (as defined in the ABL Facility) after the ABL Adjustment Date are determined in accordance with an excess availability-based pricing grid. ABR is defined, in part, as the greater of</w:t>
      </w:r>
    </w:p>
    <w:p>
      <w:pPr>
        <w:ind w:left="66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Prime Rate in effect on such day, (b) the Federal Reserve Bank of New York Rate in effect on such day plus ½ of 1% and (c) the Adjusted Term SOFR Rate (defined below) for a one-month period plus 1%; or</w:t>
      </w:r>
    </w:p>
    <w:p>
      <w:pPr>
        <w:spacing w:after="0" w:line="59" w:lineRule="exact"/>
        <w:rPr>
          <w:rFonts w:ascii="Times New Roman" w:cs="Times New Roman" w:eastAsia="Times New Roman" w:hAnsi="Times New Roman"/>
          <w:sz w:val="17"/>
          <w:szCs w:val="17"/>
          <w:color w:val="auto"/>
        </w:rPr>
      </w:pPr>
    </w:p>
    <w:p>
      <w:pPr>
        <w:jc w:val="both"/>
        <w:ind w:left="660" w:right="14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SOFR Rate plus 3.50% before the ABL Adjustment Date and the applicable Term Benchmark Spread (as defined in the ABL Facility) are determined in accordance with an excess availability-based pricing grid after the ABL Adjustment Date. Adjusted Term SOFR Rate is defined as the Term SOFR Rate plus 0.10%, subject to an initial Floor (as defined in the ABL Facility) of 0%.</w:t>
      </w:r>
    </w:p>
    <w:p>
      <w:pPr>
        <w:spacing w:after="0" w:line="41"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Interest rate indices for select non-U.S. dollar borrowings, including borrowings denominated in Euro, Pounds Sterling, Swiss Francs and Japanese Yen, remain consistent with the terms of the Prior Credit Agreement.</w:t>
      </w:r>
    </w:p>
    <w:p>
      <w:pPr>
        <w:spacing w:after="0" w:line="40"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Based upon the quarterly average of daily availability under the ABL Facility, the interest rate pricing grid applicable after the ABL Adjustment Date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0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20" w:type="dxa"/>
            <w:vAlign w:val="bottom"/>
            <w:tcBorders>
              <w:top w:val="single" w:sz="8" w:color="auto"/>
            </w:tcBorders>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ABR</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63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63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225.0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 66% but &gt; 33% of $125 million aggregate commitment</w:t>
            </w: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7"/>
        </w:trPr>
        <w:tc>
          <w:tcPr>
            <w:tcW w:w="63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 33% of $125 million aggregate commitment</w:t>
            </w:r>
          </w:p>
        </w:tc>
        <w:tc>
          <w:tcPr>
            <w:tcW w:w="2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275.0</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ind w:left="20"/>
        <w:spacing w:after="0"/>
        <w:rPr>
          <w:sz w:val="20"/>
          <w:szCs w:val="20"/>
          <w:color w:val="auto"/>
        </w:rPr>
      </w:pPr>
      <w:r>
        <w:rPr>
          <w:rFonts w:ascii="Times New Roman" w:cs="Times New Roman" w:eastAsia="Times New Roman" w:hAnsi="Times New Roman"/>
          <w:sz w:val="18"/>
          <w:szCs w:val="18"/>
          <w:color w:val="auto"/>
        </w:rPr>
        <w:t>* The Commitment Fee before the ABL Adjustment Date and after the ABL Adjustment Date remain the same as reflected in this table.</w:t>
      </w:r>
    </w:p>
    <w:p>
      <w:pPr>
        <w:spacing w:after="0" w:line="1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8"/>
          <w:szCs w:val="18"/>
          <w:color w:val="auto"/>
        </w:rPr>
        <w:t>The financial covenants in the ABL Facility, which are reported to lenders on a monthly basis, include:</w:t>
      </w:r>
    </w:p>
    <w:p>
      <w:pPr>
        <w:spacing w:after="0" w:line="90" w:lineRule="exact"/>
        <w:rPr>
          <w:sz w:val="20"/>
          <w:szCs w:val="20"/>
          <w:color w:val="auto"/>
        </w:rPr>
      </w:pPr>
    </w:p>
    <w:p>
      <w:pPr>
        <w:ind w:left="660" w:right="4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ABL Adjustment Date, the Company is required to maintain (i) minimum Credit EBITDA (as defined in the ABL Facility), as of the end of each fiscal month for the 12-month period then ended (presented below) and (ii) a Minimum Liquidity (as defined in the ABL Facility) of $10.0 million.</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2640" w:type="dxa"/>
            <w:vAlign w:val="bottom"/>
            <w:tcBorders>
              <w:top w:val="single" w:sz="8" w:color="auto"/>
            </w:tcBorders>
          </w:tcPr>
          <w:p>
            <w:pPr>
              <w:spacing w:after="0"/>
              <w:rPr>
                <w:sz w:val="22"/>
                <w:szCs w:val="22"/>
                <w:color w:val="auto"/>
              </w:rPr>
            </w:pPr>
          </w:p>
        </w:tc>
        <w:tc>
          <w:tcPr>
            <w:tcW w:w="7720" w:type="dxa"/>
            <w:vAlign w:val="bottom"/>
            <w:tcBorders>
              <w:top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Minimum Credit EBITDA (In thousands)</w:t>
            </w:r>
          </w:p>
        </w:tc>
        <w:tc>
          <w:tcPr>
            <w:tcW w:w="820" w:type="dxa"/>
            <w:vAlign w:val="bottom"/>
            <w:tcBorders>
              <w:top w:val="single" w:sz="8" w:color="auto"/>
            </w:tcBorders>
          </w:tcPr>
          <w:p>
            <w:pPr>
              <w:spacing w:after="0"/>
              <w:rPr>
                <w:sz w:val="22"/>
                <w:szCs w:val="22"/>
                <w:color w:val="auto"/>
              </w:rPr>
            </w:pP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7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77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March 2024</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May 2024</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7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r>
      <w:tr>
        <w:trPr>
          <w:trHeight w:val="22"/>
        </w:trPr>
        <w:tc>
          <w:tcPr>
            <w:tcW w:w="26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7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March 2025</w:t>
            </w:r>
          </w:p>
        </w:tc>
        <w:tc>
          <w:tcPr>
            <w:tcW w:w="7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29,980</w:t>
            </w:r>
          </w:p>
        </w:tc>
      </w:tr>
      <w:tr>
        <w:trPr>
          <w:trHeight w:val="29"/>
        </w:trPr>
        <w:tc>
          <w:tcPr>
            <w:tcW w:w="264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w:t>
      </w:r>
    </w:p>
    <w:p>
      <w:pPr>
        <w:spacing w:after="0" w:line="5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financial covenants, the ABL Facility contains restrictive covenants, including covenants that restrict the Company’s ability to pay dividends and repurchase shares of its common stock.</w:t>
      </w:r>
    </w:p>
    <w:p>
      <w:pPr>
        <w:spacing w:after="0" w:line="4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If at any time the availability under the ABL facility is less than 10% (but on and after the ABL Adjustment Date, 20%) of the maximum aggregate principal amount in effect at such time or an Event of Default occurs, the Company’s current monthly reporting requirements to lenders changes to a weekly cadence until the Event of Default is waived, cured or the availability under the ABL facility is above 10% (but on and after the ABL Adjustment Date, 20%) of the maximum aggregate principal amount for 30 consecutive days.</w:t>
      </w:r>
    </w:p>
    <w:p>
      <w:pPr>
        <w:spacing w:after="0" w:line="45" w:lineRule="exact"/>
        <w:rPr>
          <w:sz w:val="20"/>
          <w:szCs w:val="20"/>
          <w:color w:val="auto"/>
        </w:rPr>
      </w:pPr>
    </w:p>
    <w:p>
      <w:pPr>
        <w:ind w:right="660" w:firstLine="405"/>
        <w:spacing w:after="0" w:line="261"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w:t>
      </w:r>
    </w:p>
    <w:p>
      <w:pPr>
        <w:ind w:right="80"/>
        <w:spacing w:after="0" w:line="253" w:lineRule="auto"/>
        <w:rPr>
          <w:sz w:val="20"/>
          <w:szCs w:val="20"/>
          <w:color w:val="auto"/>
        </w:rPr>
      </w:pPr>
      <w:r>
        <w:rPr>
          <w:rFonts w:ascii="Times New Roman" w:cs="Times New Roman" w:eastAsia="Times New Roman" w:hAnsi="Times New Roman"/>
          <w:sz w:val="18"/>
          <w:szCs w:val="18"/>
          <w:color w:val="auto"/>
        </w:rPr>
        <w:t>Adverse Effect (as defined in the ABL Facility) has occurred since December 31, 2022). In the event that the Company cannot certify that all conditions to the borrowing have been met, the lenders can restrict the Company’s future borrowings under the ABL Facility. Because a Cash Dominion Period is currently in effect and the Company is required to represent that no Material Adverse Effect has occurred as a condition to borrowing, the outstanding debt under the ABL Facility (all contractual payments due on June 30, 2026) is classified as a current liability in the consolidated balance sheets.</w:t>
      </w:r>
    </w:p>
    <w:p>
      <w:pPr>
        <w:spacing w:after="0" w:line="6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December 31, 2023, the Company was in compliance with all debt covenants.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Terphane Brazil Loan</w:t>
      </w:r>
    </w:p>
    <w:p>
      <w:pPr>
        <w:spacing w:after="0" w:line="92"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On October 26, 2023, Flexible Packaging Film's business unit in Brazil (“Terphane Ltda.”), the Company’s wholly owned subsidiary in Brazil, borrowed $20 million secured by certain of its assets (“Terphane Brazil Loan”). This U.S. Dollar borrowing matures on October 30, 2028, with interest payable quarterly at an annual floating interest rate of the Secured Overnight Financing Rate (“SOFR”) plus 5.99%. The SOFR rate was 5.36% as of December 31, 2023. Quarterly principal payments of $1.7 million begin starting in year 3 of the loan. There are no prepayment penalties. The Company expects that the Terphane Brazil Loan will be repaid (and collateral released) upon the closing of the Contingent Terphane Sale. On October 26, 2023, the Company borrowed $20 million from Terphane Brazil (the “Intercompany Loan”) at the same interest rate as the Terphane Brazil Loan, thereby transferring the funds to the U.S. The Company will repay the Intercompany Loan in conjunction with the closing of the Contingent Terphane Sale.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PLANS AND OTHER POSTRETIREMENT BENEFITS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The plan for salaried and hourly employees was based on a formula using the participant’s years of service and compensation or using the participant’s years of service and a dollar amount. The plan is closed to new participants and pay for active plan participants for benefit calculations was frozen as of December 31, 2007.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In connection therewith, on February 9, 2022, the Company contributed $50 million to the pension plan.</w:t>
      </w:r>
    </w:p>
    <w:p>
      <w:pPr>
        <w:spacing w:after="0" w:line="5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remeasured the pension plan, which resulted in a pre-tax pension settlement loss in the consolidated results of operation of $25.6 million. The remeasurement of the pension benefit obligation and plan assets was triggered by $64.5 million of lump sum distributions from the pension plan assets which exceeded the pension plan's service and interest cost.</w:t>
      </w:r>
    </w:p>
    <w:p>
      <w:pPr>
        <w:spacing w:after="0" w:line="5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September 27, 2023, the Company borrowed $30 million under the Prior Credit Agreement in anticipation of the final funding expected for terminating its defined benefit pension plan obligation. On October 31, 2023, the Company used this cash to contribute $27.7 million to fully fund the pension plan with the amount necessary to purchase from Massachusetts Mutual Life Insurance Company a nonparticipating single premium group annuity contract for $157.5 million. On November 3, 2023, the pension plan termination and settlement process was completed, and the Company’s relevant pension plan obligation was transferred to Massachusetts Mutual Life Insurance Company. This completed the pension plan termination process that began in February 2022. As a result of the routine administrative process to transition the pension plan, the Company recognized a $2.0 million charge to adjust the initial purchase price of the nonparticipating single premium group annuity contract. During the fourth quarter of 2023, the Company recognized a pre-tax pension settlement loss of $66.7 million.</w:t>
      </w:r>
    </w:p>
    <w:p>
      <w:pPr>
        <w:spacing w:after="0" w:line="70" w:lineRule="exact"/>
        <w:rPr>
          <w:sz w:val="20"/>
          <w:szCs w:val="20"/>
          <w:color w:val="auto"/>
        </w:rPr>
      </w:pPr>
    </w:p>
    <w:p>
      <w:pPr>
        <w:ind w:right="80" w:firstLine="405"/>
        <w:spacing w:after="0" w:line="277" w:lineRule="auto"/>
        <w:rPr>
          <w:sz w:val="20"/>
          <w:szCs w:val="20"/>
          <w:color w:val="auto"/>
        </w:rPr>
      </w:pPr>
      <w:r>
        <w:rPr>
          <w:rFonts w:ascii="Times New Roman" w:cs="Times New Roman" w:eastAsia="Times New Roman" w:hAnsi="Times New Roman"/>
          <w:sz w:val="17"/>
          <w:szCs w:val="17"/>
          <w:color w:val="auto"/>
        </w:rPr>
        <w:t>Tredegar also has a non-qualified supplemental pension plan covering certain employees. Effective December 31, 2005, further participation in this plan was terminated and benefit accruals for existing participants were frozen. The plan was designed to restore all or a part of the pension benefits that would have been payable to designated participants from the principal pension plans if it were not for limitations imposed by income tax regulations. The projected benefit obligation relating to this unfunded plan was $1.6 million and $1.7 million at December 31, 2023 and December 31, 2022, respectively. Pension expense recognized for this plan was $0.1 million in 2023, 2022 and 2021. This information has been included in the pension benefit tables below.</w:t>
      </w:r>
    </w:p>
    <w:p>
      <w:pPr>
        <w:spacing w:after="0" w:line="33"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In addition to providing pension benefits, the Company provides postretirement life insurance and health care benefits for certain groups of employees. Tredegar and retirees share in the cost of postretirement health care benefits, with employees hired on or before January 1, 1993, receiving a fixed subsidy to cover a portion of their health care premiums. The Company eliminated prescription drug coverage for Medicare-eligible retirees as of January 1, 2006. Consequently, Tredegar is not eligible for any federal subsidies.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9" w:name="page60"/>
    <w:bookmarkEnd w:id="59"/>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changes in benefit obligations and plan assets in 2023 and 2022, and reconcile the funded status to prepaid or accrued cost at December 31,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 Post-</w:t>
            </w:r>
          </w:p>
        </w:tc>
        <w:tc>
          <w:tcPr>
            <w:tcW w:w="920" w:type="dxa"/>
            <w:vAlign w:val="bottom"/>
            <w:tcBorders>
              <w:top w:val="single" w:sz="8" w:color="auto"/>
            </w:tcBorders>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Pension Benefits</w:t>
            </w:r>
          </w:p>
        </w:tc>
        <w:tc>
          <w:tcPr>
            <w:tcW w:w="3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Retirement Benefits</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248,114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316,169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5,726</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9,623</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8,945</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actuarial (gains) losses related to the following: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Discount rate change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(10,751)</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(61,519)</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9"/>
        </w:trPr>
        <w:tc>
          <w:tcPr>
            <w:tcW w:w="5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(6,459)</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1,513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(16,957)</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(16,994)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0"/>
        </w:trPr>
        <w:tc>
          <w:tcPr>
            <w:tcW w:w="5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Settlement payments and annuity purchase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(221,970)</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248,114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5,712</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assets at fair value,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218,119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244,612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(7,053)</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(59,683)</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27,861</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50,184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(16,957)</w:t>
            </w: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(16,994)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5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Settlement payments and annuity purchase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(221,970)</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assets at fair value,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218,119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Funded status of the plans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(29,995)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(5,712)</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489</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5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1,420</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29,815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5,223</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3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29,995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5,712</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86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58</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assumptions used in accounting for the pension and other post-retirement benefits, and the components of net periodic benefit cost:</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3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Other Post-</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Pension Benefits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Retirement Benefits</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178"/>
        </w:trPr>
        <w:tc>
          <w:tcPr>
            <w:tcW w:w="318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determine benefit obligations:</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4.89 %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2.90 %</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Expected long-term return on plan</w:t>
            </w:r>
          </w:p>
        </w:tc>
        <w:tc>
          <w:tcPr>
            <w:tcW w:w="2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280" w:type="dxa"/>
            <w:vAlign w:val="bottom"/>
            <w:shd w:val="clear" w:color="auto" w:fill="CCEEFF"/>
          </w:tcPr>
          <w:p>
            <w:pPr>
              <w:spacing w:after="0"/>
              <w:rPr>
                <w:sz w:val="20"/>
                <w:szCs w:val="20"/>
                <w:color w:val="auto"/>
              </w:rPr>
            </w:pP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3.05 %</w:t>
            </w:r>
          </w:p>
        </w:tc>
        <w:tc>
          <w:tcPr>
            <w:tcW w:w="3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n/a</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84"/>
        </w:trPr>
        <w:tc>
          <w:tcPr>
            <w:tcW w:w="31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determine net periodic benefit cost:</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Discount rate</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5.07%/5.37%</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184"/>
        </w:trPr>
        <w:tc>
          <w:tcPr>
            <w:tcW w:w="31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Expected long-term return on plan</w:t>
            </w:r>
          </w:p>
        </w:tc>
        <w:tc>
          <w:tcPr>
            <w:tcW w:w="280" w:type="dxa"/>
            <w:vAlign w:val="bottom"/>
          </w:tcPr>
          <w:p>
            <w:pPr>
              <w:spacing w:after="0"/>
              <w:rPr>
                <w:sz w:val="16"/>
                <w:szCs w:val="16"/>
                <w:color w:val="auto"/>
              </w:rPr>
            </w:pPr>
          </w:p>
        </w:tc>
        <w:tc>
          <w:tcPr>
            <w:tcW w:w="12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280" w:type="dxa"/>
            <w:vAlign w:val="bottom"/>
          </w:tcPr>
          <w:p>
            <w:pPr>
              <w:spacing w:after="0"/>
              <w:rPr>
                <w:sz w:val="20"/>
                <w:szCs w:val="20"/>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5.00 %</w:t>
            </w:r>
          </w:p>
        </w:tc>
        <w:tc>
          <w:tcPr>
            <w:tcW w:w="3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n/a</w:t>
            </w:r>
          </w:p>
        </w:tc>
        <w:tc>
          <w:tcPr>
            <w:tcW w:w="300" w:type="dxa"/>
            <w:vAlign w:val="bottom"/>
          </w:tcPr>
          <w:p>
            <w:pPr>
              <w:spacing w:after="0"/>
              <w:rPr>
                <w:sz w:val="20"/>
                <w:szCs w:val="20"/>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9,623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8,945</w:t>
            </w:r>
          </w:p>
        </w:tc>
        <w:tc>
          <w:tcPr>
            <w:tcW w:w="28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8,398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(8,109)</w:t>
            </w:r>
          </w:p>
        </w:tc>
        <w:tc>
          <w:tcPr>
            <w:tcW w:w="3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(8,174)</w:t>
            </w:r>
          </w:p>
        </w:tc>
        <w:tc>
          <w:tcPr>
            <w:tcW w:w="280" w:type="dxa"/>
            <w:vAlign w:val="bottom"/>
          </w:tcPr>
          <w:p>
            <w:pPr>
              <w:spacing w:after="0"/>
              <w:rPr>
                <w:sz w:val="19"/>
                <w:szCs w:val="19"/>
                <w:color w:val="auto"/>
              </w:rPr>
            </w:pPr>
          </w:p>
        </w:tc>
        <w:tc>
          <w:tcPr>
            <w:tcW w:w="104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(11,316)</w:t>
            </w:r>
          </w:p>
        </w:tc>
        <w:tc>
          <w:tcPr>
            <w:tcW w:w="34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2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9,245</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(213)</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gains or losses</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13,746</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17,003</w:t>
            </w: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10,759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14,517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14,085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settlement loss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92,291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benefit cost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103,050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14,517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14,085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ind w:left="400" w:right="380" w:hanging="253"/>
        <w:spacing w:after="0" w:line="232" w:lineRule="auto"/>
        <w:tabs>
          <w:tab w:leader="none" w:pos="37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pension lump sum distributions in August 2023, a discount rate of 5.07% was used to determine the net periodic benefit cost. Subsequent to August 2023, a discount rate of 5.37% was used to determine the net periodic benefit cost until the Company purchased a nonparticipating single premium group annuity contract in October 2023.</w:t>
      </w:r>
    </w:p>
    <w:p>
      <w:pPr>
        <w:spacing w:after="0" w:line="17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periodic benefit cost is determined using assumptions at the beginning of each year. Funded status is determined using assumptions at the end of each year. The amount of the accumulated benefit obligation is the same as the projected benefit obligation. At December 31, 2023, the effect of a 1% change in the health care cost trend rate assumptions would not impact the post-retirement obligation.</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benefit payments over the next five years and in the aggregate for 2028—2032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150"/>
              <w:spacing w:after="0" w:line="202" w:lineRule="exact"/>
              <w:rPr>
                <w:sz w:val="20"/>
                <w:szCs w:val="20"/>
                <w:color w:val="auto"/>
              </w:rPr>
            </w:pPr>
            <w:r>
              <w:rPr>
                <w:rFonts w:ascii="Times New Roman" w:cs="Times New Roman" w:eastAsia="Times New Roman" w:hAnsi="Times New Roman"/>
                <w:sz w:val="18"/>
                <w:szCs w:val="18"/>
                <w:color w:val="auto"/>
                <w:w w:val="99"/>
              </w:rPr>
              <w:t>Other Post-</w:t>
            </w:r>
          </w:p>
        </w:tc>
      </w:tr>
      <w:tr>
        <w:trPr>
          <w:trHeight w:val="184"/>
        </w:trPr>
        <w:tc>
          <w:tcPr>
            <w:tcW w:w="44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Retirement</w:t>
            </w: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Pension Benefits</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7"/>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3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pre-tax amounts recorded in 2023, 2022 and 2021 in accumulated other comprehensive income (loss) consist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top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Pension Benefits</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3320" w:type="dxa"/>
            <w:vAlign w:val="bottom"/>
            <w:tcBorders>
              <w:top w:val="single" w:sz="8" w:color="auto"/>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color w:val="auto"/>
              </w:rPr>
              <w:t>Other Post-Retirement Benefits</w:t>
            </w:r>
          </w:p>
        </w:tc>
      </w:tr>
      <w:tr>
        <w:trPr>
          <w:trHeight w:val="223"/>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415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103,998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109,893</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bl>
    <w:p>
      <w:pPr>
        <w:spacing w:after="0" w:line="15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amounts in accumulated other comprehensive income, before related deferred income taxes, which are expected to be recognized as components of net periodic cost during 2024 are approximately $0.1 million of benefit for other post-retirement plans.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There were no plan assets as of December 31, 2023. The percentage composition of assets held by the pension plan at December 31, 2022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4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Composition of Plan Assets</w:t>
            </w:r>
          </w:p>
        </w:tc>
      </w:tr>
      <w:tr>
        <w:trPr>
          <w:trHeight w:val="234"/>
        </w:trPr>
        <w:tc>
          <w:tcPr>
            <w:tcW w:w="814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at December 31,</w:t>
            </w:r>
          </w:p>
        </w:tc>
      </w:tr>
      <w:tr>
        <w:trPr>
          <w:trHeight w:val="223"/>
        </w:trPr>
        <w:tc>
          <w:tcPr>
            <w:tcW w:w="81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w:t>
            </w:r>
          </w:p>
        </w:tc>
        <w:tc>
          <w:tcPr>
            <w:tcW w:w="296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income mutual fund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equity and hedge funds</w:t>
            </w:r>
          </w:p>
        </w:tc>
        <w:tc>
          <w:tcPr>
            <w:tcW w:w="2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Collective investment trust</w:t>
            </w:r>
          </w:p>
        </w:tc>
        <w:tc>
          <w:tcPr>
            <w:tcW w:w="2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8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17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Following the announcement to terminate and settle the pension plan in 2022, the Company contributed $50 million to the pension plan and implemented (through consultation with its investment advisors) a liability-matching bond portfolio investment strategy (including a derivative overlay) that hedged the estimated settlement funding gap, which was approximately $24 million (before plan administration costs) at that time. The overall objective of this hedging program was to minimize the volatility of the estimated settlement funding gap such that, as applicable interest rates moved up or down causing a decrease or increase in the estimated value of the settlement liability, the value of the matching bond portfolio and derivative overlay decreased or increased by a similar amount. Accordingly, the expected long-term rate return of 3.05% used in 2022 and 4.99% used in 2023 contemplated the liability-driven investment strategy.</w:t>
      </w:r>
    </w:p>
    <w:p>
      <w:pPr>
        <w:spacing w:after="0" w:line="5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 lower expected return on plan assets increased the amount of expense and vice versa. Decreases in the level of actual plan assets would also serve to increase the amount of pension expense. The total return on plan assets (net of fees and plan expenses), which was primarily affected by the change in fair value of plan assets, current year contributions and current year payments to participants, was approximately negative 15.1% in 2022 and positive 10.4% in 2021.</w:t>
      </w:r>
    </w:p>
    <w:p>
      <w:pPr>
        <w:spacing w:after="0" w:line="5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Estimates of the fair value of assets held by the Company’s pension plan were provided by unaffiliated third parties. Investments in collective investment trusts, private equity, hedge funds and certain international equity securities were measured at net asset value, which was a practical expedient for measuring fair value. These assets were therefore excluded from the fair value hierarchy for each of the year presented. At December 31, 2022, the pension plan assets are categorized by level within the fair value measurement hierarchy as follows:</w:t>
      </w:r>
    </w:p>
    <w:tbl>
      <w:tblPr>
        <w:tblLayout w:type="fixed"/>
        <w:tblInd w:w="0" w:type="dxa"/>
        <w:tblCellMar>
          <w:top w:w="0" w:type="dxa"/>
          <w:left w:w="0" w:type="dxa"/>
          <w:bottom w:w="0" w:type="dxa"/>
          <w:right w:w="0" w:type="dxa"/>
        </w:tblCellMar>
      </w:tblPr>
      <w:tr>
        <w:trPr>
          <w:trHeight w:val="191"/>
        </w:trPr>
        <w:tc>
          <w:tcPr>
            <w:tcW w:w="4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8"/>
              </w:rPr>
              <w:t>Significant</w:t>
            </w: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in Active</w:t>
            </w:r>
          </w:p>
        </w:tc>
        <w:tc>
          <w:tcPr>
            <w:tcW w:w="320" w:type="dxa"/>
            <w:vAlign w:val="bottom"/>
          </w:tcPr>
          <w:p>
            <w:pPr>
              <w:spacing w:after="0"/>
              <w:rPr>
                <w:sz w:val="16"/>
                <w:szCs w:val="16"/>
                <w:color w:val="auto"/>
              </w:rPr>
            </w:pPr>
          </w:p>
        </w:tc>
        <w:tc>
          <w:tcPr>
            <w:tcW w:w="132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6"/>
                <w:szCs w:val="16"/>
                <w:color w:val="auto"/>
              </w:rPr>
            </w:pPr>
          </w:p>
        </w:tc>
        <w:tc>
          <w:tcPr>
            <w:tcW w:w="13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Markets for</w:t>
            </w:r>
          </w:p>
        </w:tc>
        <w:tc>
          <w:tcPr>
            <w:tcW w:w="32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2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89"/>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6"/>
                <w:szCs w:val="16"/>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6"/>
                <w:szCs w:val="16"/>
                <w:color w:val="auto"/>
              </w:rPr>
            </w:pPr>
          </w:p>
        </w:tc>
        <w:tc>
          <w:tcPr>
            <w:tcW w:w="14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Identical Assets</w:t>
            </w:r>
          </w:p>
        </w:tc>
        <w:tc>
          <w:tcPr>
            <w:tcW w:w="320" w:type="dxa"/>
            <w:vAlign w:val="bottom"/>
          </w:tcPr>
          <w:p>
            <w:pPr>
              <w:spacing w:after="0"/>
              <w:rPr>
                <w:sz w:val="16"/>
                <w:szCs w:val="16"/>
                <w:color w:val="auto"/>
              </w:rPr>
            </w:pPr>
          </w:p>
        </w:tc>
        <w:tc>
          <w:tcPr>
            <w:tcW w:w="132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260" w:type="dxa"/>
            <w:vAlign w:val="bottom"/>
          </w:tcPr>
          <w:p>
            <w:pPr>
              <w:spacing w:after="0"/>
              <w:rPr>
                <w:sz w:val="16"/>
                <w:szCs w:val="16"/>
                <w:color w:val="auto"/>
              </w:rPr>
            </w:pPr>
          </w:p>
        </w:tc>
        <w:tc>
          <w:tcPr>
            <w:tcW w:w="13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(a)</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mutual fund</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30,284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Private equity and hedge funds</w:t>
            </w:r>
            <w:r>
              <w:rPr>
                <w:rFonts w:ascii="Times New Roman" w:cs="Times New Roman" w:eastAsia="Times New Roman" w:hAnsi="Times New Roman"/>
                <w:sz w:val="23"/>
                <w:szCs w:val="23"/>
                <w:color w:val="auto"/>
                <w:vertAlign w:val="superscript"/>
              </w:rPr>
              <w:t>(b)</w:t>
            </w: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55,080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Collective investment trust</w:t>
            </w:r>
            <w:r>
              <w:rPr>
                <w:rFonts w:ascii="Times New Roman" w:cs="Times New Roman" w:eastAsia="Times New Roman" w:hAnsi="Times New Roman"/>
                <w:sz w:val="23"/>
                <w:szCs w:val="23"/>
                <w:color w:val="auto"/>
                <w:vertAlign w:val="superscript"/>
              </w:rPr>
              <w:t>(c)</w:t>
            </w: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Private equity and hedge funds</w:t>
            </w: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measured at net asset value</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sold and interest receivable</w:t>
            </w: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plan assets, December 31, 2022</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218,119</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60" w:right="260" w:hanging="234"/>
        <w:spacing w:after="0" w:line="218" w:lineRule="auto"/>
        <w:tabs>
          <w:tab w:leader="none" w:pos="23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category represents investments in cash and cash equivalents, which includes: 1.) cash held in the plan used for investments in U.S. Treasury futures which were entered into to minimize the volatility of the estimated settlement funding gap; and 2.) short term money market fund in which the amortized cost approximates fair value. These investments were highly liquid and therefore were classified as Level 1 securities.</w:t>
      </w:r>
    </w:p>
    <w:p>
      <w:pPr>
        <w:spacing w:after="0" w:line="2" w:lineRule="exact"/>
        <w:rPr>
          <w:rFonts w:ascii="Times New Roman" w:cs="Times New Roman" w:eastAsia="Times New Roman" w:hAnsi="Times New Roman"/>
          <w:sz w:val="16"/>
          <w:szCs w:val="16"/>
          <w:color w:val="auto"/>
        </w:rPr>
      </w:pPr>
    </w:p>
    <w:p>
      <w:pPr>
        <w:ind w:left="260" w:right="280" w:hanging="234"/>
        <w:spacing w:after="0" w:line="211" w:lineRule="auto"/>
        <w:tabs>
          <w:tab w:leader="none" w:pos="24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fair market value of the Company’s ownership in private equity and hedge funds which were probable of being sold for an amount different from the net asset value per share in connection with the expected termination of the pension plan.</w:t>
      </w:r>
    </w:p>
    <w:p>
      <w:pPr>
        <w:ind w:left="260" w:right="20" w:hanging="234"/>
        <w:spacing w:after="0" w:line="211" w:lineRule="auto"/>
        <w:tabs>
          <w:tab w:leader="none" w:pos="23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collective investment trust contains liability hedging fixed income investments and were valued at the net asset value of the collective investment trust. The net asset value was used as a practical expedient to estimate fair value. The net asset value was based on the fair value of the underlying investments held by the fund less its liabilities.</w:t>
      </w:r>
    </w:p>
    <w:p>
      <w:pPr>
        <w:ind w:left="260" w:hanging="234"/>
        <w:spacing w:after="0"/>
        <w:tabs>
          <w:tab w:leader="none" w:pos="2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investments in certain commodity funds measured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9. OTHER INCOME (EXPENSE), NET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Gain on investment in kaléo</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0" w:type="dxa"/>
            <w:vAlign w:val="bottom"/>
          </w:tcPr>
          <w:p>
            <w:pPr>
              <w:spacing w:after="0"/>
              <w:rPr>
                <w:sz w:val="1"/>
                <w:szCs w:val="1"/>
                <w:color w:val="auto"/>
              </w:rPr>
            </w:pPr>
          </w:p>
        </w:tc>
      </w:tr>
      <w:tr>
        <w:trPr>
          <w:trHeight w:val="176"/>
        </w:trPr>
        <w:tc>
          <w:tcPr>
            <w:tcW w:w="6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 non-income taxes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resulting from a favorable decision by Brazil’s Supreme Court regarding the calculation of</w:t>
            </w:r>
          </w:p>
        </w:tc>
        <w:tc>
          <w:tcPr>
            <w:tcW w:w="380" w:type="dxa"/>
            <w:vAlign w:val="bottom"/>
          </w:tcPr>
          <w:p>
            <w:pPr>
              <w:spacing w:after="0"/>
              <w:rPr>
                <w:sz w:val="16"/>
                <w:szCs w:val="16"/>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such tax</w:t>
            </w: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expense</w:t>
            </w:r>
            <w:r>
              <w:rPr>
                <w:rFonts w:ascii="Times New Roman" w:cs="Times New Roman" w:eastAsia="Times New Roman" w:hAnsi="Times New Roman"/>
                <w:sz w:val="23"/>
                <w:szCs w:val="23"/>
                <w:color w:val="auto"/>
                <w:vertAlign w:val="superscript"/>
              </w:rPr>
              <w:t>(c)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2"/>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60" w:right="100" w:hanging="334"/>
        <w:spacing w:after="0" w:line="223" w:lineRule="auto"/>
        <w:tabs>
          <w:tab w:leader="none" w:pos="25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2023 and May 2022, additional cash consideration of $0.3 million and $1.4 million, respectively was received related to customary post-closing adjustments. The gain in 2021 includes a $0.3 million dividend received from kaléo in the first quarter of 2021.</w:t>
      </w:r>
    </w:p>
    <w:p>
      <w:pPr>
        <w:ind w:left="360" w:right="140" w:hanging="334"/>
        <w:spacing w:after="0" w:line="211" w:lineRule="auto"/>
        <w:tabs>
          <w:tab w:leader="none" w:pos="26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operating under COVID-19 conditions include employee overtime expenses associated with absenteeism, personal protective equipment supplies and facility maintenance.</w:t>
      </w:r>
    </w:p>
    <w:p>
      <w:pPr>
        <w:ind w:left="240" w:hanging="214"/>
        <w:spacing w:after="0"/>
        <w:tabs>
          <w:tab w:leader="none" w:pos="2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 for more information.</w:t>
      </w:r>
    </w:p>
    <w:p>
      <w:pPr>
        <w:spacing w:after="0" w:line="172"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On December 27, 2021, the Company completed the sale of its investment interests in kaleo, Inc. (“kaléo”) (Series A-3 Preferred Stock, Series B Preferred Stock and common stock) that, taken together, represented on a fully diluted basis an approximate 18% interest in kaléo. Tredegar received closing cash proceeds of $47.1 million.</w:t>
      </w:r>
    </w:p>
    <w:p>
      <w:pPr>
        <w:spacing w:after="0" w:line="54" w:lineRule="exact"/>
        <w:rPr>
          <w:sz w:val="20"/>
          <w:szCs w:val="20"/>
          <w:color w:val="auto"/>
        </w:rPr>
      </w:pPr>
    </w:p>
    <w:p>
      <w:pPr>
        <w:ind w:right="180" w:firstLine="405"/>
        <w:spacing w:after="0" w:line="281" w:lineRule="auto"/>
        <w:rPr>
          <w:sz w:val="20"/>
          <w:szCs w:val="20"/>
          <w:color w:val="auto"/>
        </w:rPr>
      </w:pPr>
      <w:r>
        <w:rPr>
          <w:rFonts w:ascii="Times New Roman" w:cs="Times New Roman" w:eastAsia="Times New Roman" w:hAnsi="Times New Roman"/>
          <w:sz w:val="17"/>
          <w:szCs w:val="17"/>
          <w:color w:val="auto"/>
        </w:rPr>
        <w:t>In May 2021, the Brazil Supreme Court ruled in a leading case related to the amount of Brazilian value-added tax to exclude from the calculation of unemployment/social security insurance non-income taxes (“PIS/COFINS”). As a result, in the second quarter of 2021, the Company recorded a pre-tax gain of $8.5 million for certain excess PIS/COFINS paid from 2003 to 2021, that included applicable interest, which the Company applied to required Brazilian federal tax payments during 2021. The pre-tax gain was recorded in “Other income (expense), net” in the consolidated statements of income.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 as part of ongoing business operations (primarily in Flexible Packaging Films). These derivative financial instruments are designated as and qualify as cash flow hedges and are recognized in the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and the notional amount of aluminum futures contracts that hedged future purchases of aluminum to meet fixed-price forward sales contract obligations was $7.7 million (5.6 million pounds of aluminum) at December 31, 2023 and $30.7 million (20.3 million pounds of aluminum) at December 31, 2022.</w:t>
      </w:r>
    </w:p>
    <w:p>
      <w:pPr>
        <w:spacing w:after="0" w:line="6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derivative contract fair values (Level 2) in the consolidated balance sheets as of December 31,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December 31, 2023</w:t>
            </w:r>
          </w:p>
        </w:tc>
        <w:tc>
          <w:tcPr>
            <w:tcW w:w="288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6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5"/>
                <w:szCs w:val="15"/>
                <w:color w:val="auto"/>
              </w:rPr>
            </w:pPr>
          </w:p>
        </w:tc>
        <w:tc>
          <w:tcPr>
            <w:tcW w:w="16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&amp;</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&amp;</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1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6"/>
                <w:szCs w:val="16"/>
                <w:color w:val="auto"/>
              </w:rPr>
            </w:pP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(liability)</w:t>
            </w:r>
          </w:p>
        </w:tc>
        <w:tc>
          <w:tcPr>
            <w:tcW w:w="1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864"/>
        </w:trPr>
        <w:tc>
          <w:tcPr>
            <w:tcW w:w="5380" w:type="dxa"/>
            <w:vAlign w:val="bottom"/>
          </w:tcPr>
          <w:p>
            <w:pPr>
              <w:spacing w:after="0"/>
              <w:rPr>
                <w:sz w:val="24"/>
                <w:szCs w:val="24"/>
                <w:color w:val="auto"/>
              </w:rPr>
            </w:pPr>
          </w:p>
        </w:tc>
        <w:tc>
          <w:tcPr>
            <w:tcW w:w="16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4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Terphane Ltda. of its sales and raw materials quoted or priced in U.S. Dollars and its variable conversion, fixed conversion and sales, general and administrative costs (before depreciation and amortization) quoted or priced in Brazilian Real is annual net costs of R$139 million Brazilian Real ("R$").</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Terphane Ltda. has the following outstanding foreign exchange average forward rate contracts to purchase Brazilian Real and sell U.S. Dollars: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0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 Forward Rate</w:t>
            </w:r>
          </w:p>
        </w:tc>
        <w:tc>
          <w:tcPr>
            <w:tcW w:w="25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9"/>
              </w:rPr>
              <w:t>Estimated % of Terphane</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8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Ltda. R$ Operating Cost</w:t>
            </w:r>
          </w:p>
        </w:tc>
        <w:tc>
          <w:tcPr>
            <w:tcW w:w="0" w:type="dxa"/>
            <w:vAlign w:val="bottom"/>
          </w:tcPr>
          <w:p>
            <w:pPr>
              <w:spacing w:after="0"/>
              <w:rPr>
                <w:sz w:val="1"/>
                <w:szCs w:val="1"/>
                <w:color w:val="auto"/>
              </w:rPr>
            </w:pPr>
          </w:p>
        </w:tc>
      </w:tr>
      <w:tr>
        <w:trPr>
          <w:trHeight w:val="24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Contracted on USD/BRL</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R$ Equivalent Amount (000s)</w:t>
            </w: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Applicable Month</w:t>
            </w:r>
          </w:p>
        </w:tc>
        <w:tc>
          <w:tcPr>
            <w:tcW w:w="23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$1,784</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5.2993</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R$9,454</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Jan-24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5.3188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R$9,393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$1,781</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5.3346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R$9,501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5.3373</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R$9,751</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$1,798</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5.3588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R$9,635</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May-24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5.3708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R$9,732</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Jun-24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$1,804</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5.3848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R$9,714</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Jul-24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$1,806</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5.4014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R$9,755</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Aug-24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5.4107</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R$10,048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5.4225</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R$10,037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5.4403</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R$9,994</w:t>
            </w:r>
          </w:p>
        </w:tc>
        <w:tc>
          <w:tcPr>
            <w:tcW w:w="19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Nov-24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$1,801</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5.4580</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R$9,830</w:t>
            </w:r>
          </w:p>
        </w:tc>
        <w:tc>
          <w:tcPr>
            <w:tcW w:w="1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Dec-24</w:t>
            </w:r>
          </w:p>
        </w:tc>
        <w:tc>
          <w:tcPr>
            <w:tcW w:w="2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$21,724</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5.3786</w:t>
            </w:r>
          </w:p>
        </w:tc>
        <w:tc>
          <w:tcPr>
            <w:tcW w:w="254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R$116,844</w:t>
            </w:r>
          </w:p>
        </w:tc>
        <w:tc>
          <w:tcPr>
            <w:tcW w:w="1900" w:type="dxa"/>
            <w:vAlign w:val="bottom"/>
            <w:tcBorders>
              <w:bottom w:val="single" w:sz="8" w:color="auto"/>
            </w:tcBorders>
            <w:shd w:val="clear" w:color="auto" w:fill="CCEEFF"/>
          </w:tcPr>
          <w:p>
            <w:pPr>
              <w:spacing w:after="0"/>
              <w:rPr>
                <w:sz w:val="20"/>
                <w:szCs w:val="20"/>
                <w:color w:val="auto"/>
              </w:rPr>
            </w:pP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20" w:firstLine="405"/>
        <w:spacing w:after="0" w:line="289" w:lineRule="auto"/>
        <w:rPr>
          <w:sz w:val="20"/>
          <w:szCs w:val="20"/>
          <w:color w:val="auto"/>
        </w:rPr>
      </w:pPr>
      <w:r>
        <w:rPr>
          <w:rFonts w:ascii="Times New Roman" w:cs="Times New Roman" w:eastAsia="Times New Roman" w:hAnsi="Times New Roman"/>
          <w:sz w:val="17"/>
          <w:szCs w:val="17"/>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consolidated statements of income.</w:t>
      </w:r>
    </w:p>
    <w:p>
      <w:pPr>
        <w:spacing w:after="0" w:line="3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consolidated balance sheets as of December 31,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December 31, 2023</w:t>
            </w:r>
          </w:p>
        </w:tc>
        <w:tc>
          <w:tcPr>
            <w:tcW w:w="288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5"/>
                <w:szCs w:val="15"/>
                <w:color w:val="auto"/>
              </w:rPr>
            </w:pPr>
          </w:p>
        </w:tc>
        <w:tc>
          <w:tcPr>
            <w:tcW w:w="17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0"/>
              <w:spacing w:after="0" w:line="177"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100" w:type="dxa"/>
            <w:vAlign w:val="bottom"/>
          </w:tcPr>
          <w:p>
            <w:pPr>
              <w:spacing w:after="0"/>
              <w:rPr>
                <w:sz w:val="16"/>
                <w:szCs w:val="16"/>
                <w:color w:val="auto"/>
              </w:rPr>
            </w:pP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(liability)</w:t>
            </w:r>
          </w:p>
        </w:tc>
        <w:tc>
          <w:tcPr>
            <w:tcW w:w="17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1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4" w:name="page65"/>
    <w:bookmarkEnd w:id="64"/>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years ended December 31, 2023, 2022, and 2021 is summarized in the tables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240" w:type="dxa"/>
            <w:vAlign w:val="bottom"/>
            <w:tcBorders>
              <w:top w:val="single" w:sz="8" w:color="auto"/>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9"/>
              </w:rPr>
              <w:t>Aluminum Futures Contracts</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3"/>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w:t>
            </w: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184"/>
        </w:trPr>
        <w:tc>
          <w:tcPr>
            <w:tcW w:w="7540" w:type="dxa"/>
            <w:vAlign w:val="bottom"/>
            <w:gridSpan w:val="5"/>
          </w:tcPr>
          <w:p>
            <w:pPr>
              <w:ind w:left="2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into net income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center"/>
              <w:ind w:right="310"/>
              <w:spacing w:after="0" w:line="184" w:lineRule="exact"/>
              <w:rPr>
                <w:sz w:val="20"/>
                <w:szCs w:val="20"/>
                <w:color w:val="auto"/>
              </w:rPr>
            </w:pPr>
            <w:r>
              <w:rPr>
                <w:rFonts w:ascii="Times New Roman" w:cs="Times New Roman" w:eastAsia="Times New Roman" w:hAnsi="Times New Roman"/>
                <w:sz w:val="18"/>
                <w:szCs w:val="18"/>
                <w:color w:val="auto"/>
                <w:w w:val="98"/>
              </w:rPr>
              <w:t>Cost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230"/>
              <w:spacing w:after="0" w:line="184" w:lineRule="exact"/>
              <w:rPr>
                <w:sz w:val="20"/>
                <w:szCs w:val="20"/>
                <w:color w:val="auto"/>
              </w:rPr>
            </w:pPr>
            <w:r>
              <w:rPr>
                <w:rFonts w:ascii="Times New Roman" w:cs="Times New Roman" w:eastAsia="Times New Roman" w:hAnsi="Times New Roman"/>
                <w:sz w:val="18"/>
                <w:szCs w:val="18"/>
                <w:color w:val="auto"/>
              </w:rPr>
              <w:t>Cost of</w:t>
            </w:r>
          </w:p>
        </w:tc>
        <w:tc>
          <w:tcPr>
            <w:tcW w:w="180" w:type="dxa"/>
            <w:vAlign w:val="bottom"/>
          </w:tcPr>
          <w:p>
            <w:pPr>
              <w:spacing w:after="0"/>
              <w:rPr>
                <w:sz w:val="16"/>
                <w:szCs w:val="16"/>
                <w:color w:val="auto"/>
              </w:rPr>
            </w:pPr>
          </w:p>
        </w:tc>
        <w:tc>
          <w:tcPr>
            <w:tcW w:w="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8"/>
              </w:rPr>
              <w:t>Cost of</w:t>
            </w: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120" w:type="dxa"/>
            <w:vAlign w:val="bottom"/>
          </w:tcPr>
          <w:p>
            <w:pPr>
              <w:spacing w:after="0"/>
              <w:rPr>
                <w:sz w:val="20"/>
                <w:szCs w:val="20"/>
                <w:color w:val="auto"/>
              </w:rPr>
            </w:pPr>
          </w:p>
        </w:tc>
        <w:tc>
          <w:tcPr>
            <w:tcW w:w="10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goods sold</w:t>
            </w:r>
          </w:p>
        </w:tc>
        <w:tc>
          <w:tcPr>
            <w:tcW w:w="18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goods sold</w:t>
            </w:r>
          </w:p>
        </w:tc>
        <w:tc>
          <w:tcPr>
            <w:tcW w:w="0" w:type="dxa"/>
            <w:vAlign w:val="bottom"/>
          </w:tcPr>
          <w:p>
            <w:pPr>
              <w:spacing w:after="0"/>
              <w:rPr>
                <w:sz w:val="1"/>
                <w:szCs w:val="1"/>
                <w:color w:val="auto"/>
              </w:rPr>
            </w:pPr>
          </w:p>
        </w:tc>
      </w:tr>
      <w:tr>
        <w:trPr>
          <w:trHeight w:val="184"/>
        </w:trPr>
        <w:tc>
          <w:tcPr>
            <w:tcW w:w="7540" w:type="dxa"/>
            <w:vAlign w:val="bottom"/>
            <w:gridSpan w:val="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Amount of pre-tax gain (loss) reclassified from accumulated other comprehensive income to net income</w:t>
            </w:r>
          </w:p>
        </w:tc>
        <w:tc>
          <w:tcPr>
            <w:tcW w:w="4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4,508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gridSpan w:val="2"/>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4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Amount of pre-tax gain (loss) recognized in other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4,196</w:t>
            </w: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176"/>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4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Cost of</w:t>
            </w:r>
          </w:p>
        </w:tc>
        <w:tc>
          <w:tcPr>
            <w:tcW w:w="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Cost of</w:t>
            </w:r>
          </w:p>
        </w:tc>
        <w:tc>
          <w:tcPr>
            <w:tcW w:w="18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into net income (effective portion)</w:t>
            </w:r>
          </w:p>
        </w:tc>
        <w:tc>
          <w:tcPr>
            <w:tcW w:w="140" w:type="dxa"/>
            <w:vAlign w:val="bottom"/>
          </w:tcPr>
          <w:p>
            <w:pPr>
              <w:spacing w:after="0"/>
              <w:rPr>
                <w:sz w:val="20"/>
                <w:szCs w:val="20"/>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goods sold</w:t>
            </w: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admin</w:t>
            </w:r>
          </w:p>
        </w:tc>
        <w:tc>
          <w:tcPr>
            <w:tcW w:w="13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goods sold</w:t>
            </w: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admin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goods sold</w:t>
            </w:r>
          </w:p>
        </w:tc>
        <w:tc>
          <w:tcPr>
            <w:tcW w:w="18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Amount of pre-tax gain (loss) reclassified from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income to net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61 $</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3,011</w:t>
            </w: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As of December 31, 2023, the Company expects $0.8 million of unrealized after-tax net gains on aluminum and foreign currency derivative contracts reported in accumulated other comprehensive income (loss) to be reclassified to earnings within the next 12 months. For the years ended December 31, 2023, 2022 and 2021, net gains or losses realized, from previously unrealized net gains or losses on hedges that had been discontinued, were not material.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OPTION AND STOCK AWARD PLANS</w:t>
      </w:r>
    </w:p>
    <w:p>
      <w:pPr>
        <w:spacing w:after="0" w:line="9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one stock-based compensation plan that permits the grants of stock options, stock appreciation rights (“SARs”), stock, restricted stock, and stock unit awards. Awards available for grant totaled 342,709 shares at December 31, 2023. Stock options may be granted to purchase a specified number of shares of common stock at a price no lower than the fair market value on the date of grant and for a term not to exceed 10 years. Stock options granted by the Company in 2021 vest after 2 years and have a 7-year life or vest after 3 years and have a 5-year life. Stock options exercisable totaled 3,019,333 and 2,719,919 shares at December 31, 2023 and 2022, respectively.</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2023, 2022 and 2021, and changes during those years,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8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169"/>
        </w:trPr>
        <w:tc>
          <w:tcPr>
            <w:tcW w:w="3880" w:type="dxa"/>
            <w:vAlign w:val="bottom"/>
          </w:tcPr>
          <w:p>
            <w:pPr>
              <w:spacing w:after="0"/>
              <w:rPr>
                <w:sz w:val="14"/>
                <w:szCs w:val="14"/>
                <w:color w:val="auto"/>
              </w:rPr>
            </w:pPr>
          </w:p>
        </w:tc>
        <w:tc>
          <w:tcPr>
            <w:tcW w:w="2480" w:type="dxa"/>
            <w:vAlign w:val="bottom"/>
          </w:tcPr>
          <w:p>
            <w:pPr>
              <w:jc w:val="center"/>
              <w:ind w:left="930"/>
              <w:spacing w:after="0" w:line="169" w:lineRule="exact"/>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Weighted</w:t>
            </w:r>
          </w:p>
        </w:tc>
      </w:tr>
      <w:tr>
        <w:trPr>
          <w:trHeight w:val="243"/>
        </w:trPr>
        <w:tc>
          <w:tcPr>
            <w:tcW w:w="38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8"/>
              </w:rPr>
              <w:t>Options</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5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2,827,438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388,822</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(22,611)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(67,705)</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3,125,944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(17,203)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3,108,741</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(89,408)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13.78</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3,019,333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w:t>
            </w:r>
          </w:p>
        </w:tc>
      </w:tr>
      <w:tr>
        <w:trPr>
          <w:trHeight w:val="850"/>
        </w:trPr>
        <w:tc>
          <w:tcPr>
            <w:tcW w:w="3880" w:type="dxa"/>
            <w:vAlign w:val="bottom"/>
          </w:tcPr>
          <w:p>
            <w:pPr>
              <w:spacing w:after="0"/>
              <w:rPr>
                <w:sz w:val="24"/>
                <w:szCs w:val="24"/>
                <w:color w:val="auto"/>
              </w:rPr>
            </w:pPr>
          </w:p>
        </w:tc>
        <w:tc>
          <w:tcPr>
            <w:tcW w:w="24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63</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No options were granted in 2023 nor 2022. The assumptions used in the Black-Scholes options-pricing model for valuing Tredegar stock options originally granted in 2021, and the related estimated fair values at the date of grant, were as follows: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8460" w:type="dxa"/>
            <w:vAlign w:val="bottom"/>
            <w:tcBorders>
              <w:top w:val="single" w:sz="8" w:color="auto"/>
              <w:bottom w:val="single" w:sz="8" w:color="auto"/>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volatility percentage</w:t>
            </w:r>
          </w:p>
        </w:tc>
        <w:tc>
          <w:tcPr>
            <w:tcW w:w="1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period (years)</w:t>
            </w:r>
          </w:p>
        </w:tc>
        <w:tc>
          <w:tcPr>
            <w:tcW w:w="1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at date of grant (also weighted average market price at date of grant)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16.37</w:t>
            </w:r>
          </w:p>
        </w:tc>
      </w:tr>
      <w:tr>
        <w:trPr>
          <w:trHeight w:val="32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weighted average fair value of options per share at date of grant</w:t>
            </w:r>
          </w:p>
        </w:tc>
        <w:tc>
          <w:tcPr>
            <w:tcW w:w="1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5.57</w:t>
            </w:r>
          </w:p>
        </w:tc>
      </w:tr>
      <w:tr>
        <w:trPr>
          <w:trHeight w:val="237"/>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estimated fair value of stock options granted (in thousands)</w:t>
            </w: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2,165</w:t>
            </w:r>
          </w:p>
        </w:tc>
      </w:tr>
    </w:tbl>
    <w:p>
      <w:pPr>
        <w:spacing w:after="0" w:line="17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dividend yield is the actual dividend yield on Tredegar’s common stock at the date of grant, which the Company believes is a reasonable estimate of the expected yield during the holding period. The expected volatility is based on the historical volatility of Tredegar’s common stock using a sequential period of historical data equal to the expected holding period of the option. The Company has no reason to believe that future volatility for this period is likely to differ from the past. The assumed risk-free interest rate is based on observed interest rates for U.S. Treasury debt securities appropriate for the expected holding period.</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stock options outstanding and exercisable at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780" w:type="dxa"/>
            <w:vAlign w:val="bottom"/>
            <w:tcBorders>
              <w:top w:val="single" w:sz="8" w:color="auto"/>
              <w:bottom w:val="single" w:sz="8" w:color="auto"/>
              <w:right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4060" w:type="dxa"/>
            <w:vAlign w:val="bottom"/>
            <w:tcBorders>
              <w:top w:val="single" w:sz="8" w:color="auto"/>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Options Exercisable at December 31, 2023</w:t>
            </w:r>
          </w:p>
        </w:tc>
      </w:tr>
      <w:tr>
        <w:trPr>
          <w:trHeight w:val="237"/>
        </w:trPr>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Weighted Average</w:t>
            </w:r>
          </w:p>
        </w:tc>
        <w:tc>
          <w:tcPr>
            <w:tcW w:w="2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1"/>
        </w:trPr>
        <w:tc>
          <w:tcPr>
            <w:tcW w:w="800" w:type="dxa"/>
            <w:vAlign w:val="bottom"/>
          </w:tcPr>
          <w:p>
            <w:pPr>
              <w:spacing w:after="0"/>
              <w:rPr>
                <w:sz w:val="24"/>
                <w:szCs w:val="24"/>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Range of</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Remaining</w:t>
            </w:r>
          </w:p>
        </w:tc>
        <w:tc>
          <w:tcPr>
            <w:tcW w:w="22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Exercise</w:t>
            </w:r>
          </w:p>
        </w:tc>
        <w:tc>
          <w:tcPr>
            <w:tcW w:w="260" w:type="dxa"/>
            <w:vAlign w:val="bottom"/>
          </w:tcPr>
          <w:p>
            <w:pPr>
              <w:spacing w:after="0"/>
              <w:rPr>
                <w:sz w:val="24"/>
                <w:szCs w:val="24"/>
                <w:color w:val="auto"/>
              </w:rPr>
            </w:pPr>
          </w:p>
        </w:tc>
        <w:tc>
          <w:tcPr>
            <w:tcW w:w="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2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r>
      <w:tr>
        <w:trPr>
          <w:trHeight w:val="243"/>
        </w:trPr>
        <w:tc>
          <w:tcPr>
            <w:tcW w:w="174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Price</w:t>
            </w:r>
          </w:p>
        </w:tc>
        <w:tc>
          <w:tcPr>
            <w:tcW w:w="124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Intrinsic Value</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Exercise Price</w:t>
            </w: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23"/>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10.75</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16.37</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2,939,509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years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25.94</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79,824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79,824</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19.90</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9"/>
              </w:rPr>
              <w:t>Total</w:t>
            </w:r>
          </w:p>
        </w:tc>
        <w:tc>
          <w:tcPr>
            <w:tcW w:w="9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3,019,333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years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3,019,333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$0.2 million in 2021. There were no stock options exercised in 2023 and 2022. The grant-date fair value of stock option-based awards vested in 2023, 2022 and 2021 was $2.2 million, $5.4 million, and $3.5 million, respectively. As of December 31, 2023, there was no unrecognized compensation cost related to stock option-based awards.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Restricted stock grants ordinarily vest three years from the date of grant based upon continued employment. The fair value of restricted stock awards is estimated as of the grant date using the closing stock price on that date. Stock unit awards vest upon the achievement of certain performance targets. The following table summarizes additional information about unvested restricted stock outstanding at December 31, 2023, 2022 and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4180" w:type="dxa"/>
            <w:vAlign w:val="bottom"/>
            <w:tcBorders>
              <w:top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Maximum Unvested Restricted Stock Units Issuable</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1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Upon Satisfaction of Certain Performance Criteria</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15"/>
                <w:szCs w:val="15"/>
                <w:color w:val="auto"/>
              </w:rPr>
            </w:pPr>
          </w:p>
        </w:tc>
        <w:tc>
          <w:tcPr>
            <w:tcW w:w="1420" w:type="dxa"/>
            <w:vAlign w:val="bottom"/>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w w:val="96"/>
              </w:rPr>
              <w:t>Weighted Avg.</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rPr>
              <w:t>Grant Date</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5"/>
                <w:szCs w:val="15"/>
                <w:color w:val="auto"/>
              </w:rPr>
            </w:pPr>
          </w:p>
        </w:tc>
        <w:tc>
          <w:tcPr>
            <w:tcW w:w="1420" w:type="dxa"/>
            <w:vAlign w:val="bottom"/>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w w:val="96"/>
              </w:rPr>
              <w:t>Weighted Avg.</w:t>
            </w:r>
          </w:p>
        </w:tc>
        <w:tc>
          <w:tcPr>
            <w:tcW w:w="220" w:type="dxa"/>
            <w:vAlign w:val="bottom"/>
          </w:tcPr>
          <w:p>
            <w:pPr>
              <w:spacing w:after="0"/>
              <w:rPr>
                <w:sz w:val="15"/>
                <w:szCs w:val="15"/>
                <w:color w:val="auto"/>
              </w:rPr>
            </w:pPr>
          </w:p>
        </w:tc>
        <w:tc>
          <w:tcPr>
            <w:tcW w:w="126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220" w:type="dxa"/>
            <w:vAlign w:val="bottom"/>
          </w:tcPr>
          <w:p>
            <w:pPr>
              <w:spacing w:after="0"/>
              <w:rPr>
                <w:sz w:val="15"/>
                <w:szCs w:val="15"/>
                <w:color w:val="auto"/>
              </w:rPr>
            </w:pPr>
          </w:p>
        </w:tc>
        <w:tc>
          <w:tcPr>
            <w:tcW w:w="126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Fair Value/Share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Fair Value/Share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234,979</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3,919</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200,073</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14,669</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335,800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5,473</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50,718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301,969</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474,978</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6,564</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454,623</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7.67</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3,487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(167,077)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11.29</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(1,886)</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(26,445)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11.60</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736,079</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7,861</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2023, the unrecognized compensation cost related to non-vested restricted stock awards was $3.6 million. This cost is expected to be recognized over the remaining weighted average period of 1.9 years.</w:t>
      </w:r>
    </w:p>
    <w:p>
      <w:pPr>
        <w:spacing w:after="0" w:line="2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SARs granted by the Company in 2021 vest after 2 years and have a 7-year life. There were no SARs granted in 2023 or 2022. SARs may be settled in cash upon exercise and therefore are classified as liabilities and included in accrued expenses in the consolidated balance sheet. The fair value of these liability awards is remeasured at each reporting period until the date of settlement. Increases and decreases in stock-based compensation expense are recognized over the vesting period, or immediately, for vested awards.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SARs outstanding at December 31, 2023, 2022 and 2021, and changes during those years,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06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169"/>
        </w:trPr>
        <w:tc>
          <w:tcPr>
            <w:tcW w:w="4020" w:type="dxa"/>
            <w:vAlign w:val="bottom"/>
          </w:tcPr>
          <w:p>
            <w:pPr>
              <w:spacing w:after="0"/>
              <w:rPr>
                <w:sz w:val="14"/>
                <w:szCs w:val="14"/>
                <w:color w:val="auto"/>
              </w:rPr>
            </w:pPr>
          </w:p>
        </w:tc>
        <w:tc>
          <w:tcPr>
            <w:tcW w:w="25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Weighted</w:t>
            </w:r>
          </w:p>
        </w:tc>
      </w:tr>
      <w:tr>
        <w:trPr>
          <w:trHeight w:val="243"/>
        </w:trPr>
        <w:tc>
          <w:tcPr>
            <w:tcW w:w="40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SARs</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Range</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376,440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164,464</w:t>
            </w:r>
          </w:p>
        </w:tc>
        <w:tc>
          <w:tcPr>
            <w:tcW w:w="3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16.37</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30"/>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(9,260)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521,601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9"/>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(22,914)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498,687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(53,969)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444,718</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10.75</w:t>
            </w:r>
          </w:p>
        </w:tc>
        <w:tc>
          <w:tcPr>
            <w:tcW w:w="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w:t>
            </w:r>
          </w:p>
        </w:tc>
      </w:tr>
    </w:tbl>
    <w:p>
      <w:pPr>
        <w:spacing w:after="0" w:line="157"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The grant-date fair value of SARs awards vested in 2022 and 2021 was $0.5 million and $0.1 million, respectively. The grant-date fair value of SARs awards vested in 2023 was immaterial. As of December 31, 2023, there was no unrecognized compensation cost related to SARs.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(loss) before income taxes and income tax expense (benefit)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(175,510)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3,259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w:t>
            </w:r>
          </w:p>
        </w:tc>
      </w:tr>
      <w:tr>
        <w:trPr>
          <w:trHeight w:val="229"/>
        </w:trPr>
        <w:tc>
          <w:tcPr>
            <w:tcW w:w="4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15,480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29,585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44,336</w:t>
            </w:r>
          </w:p>
        </w:tc>
      </w:tr>
      <w:tr>
        <w:trPr>
          <w:trHeight w:val="230"/>
        </w:trPr>
        <w:tc>
          <w:tcPr>
            <w:tcW w:w="4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(160,030)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32,844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67,110</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9"/>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4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3,071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w:t>
            </w:r>
          </w:p>
        </w:tc>
      </w:tr>
      <w:tr>
        <w:trPr>
          <w:trHeight w:val="223"/>
        </w:trPr>
        <w:tc>
          <w:tcPr>
            <w:tcW w:w="4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(57,220)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4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3"/>
        </w:trPr>
        <w:tc>
          <w:tcPr>
            <w:tcW w:w="4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(56,098)</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w:t>
            </w:r>
          </w:p>
        </w:tc>
      </w:tr>
      <w:tr>
        <w:trPr>
          <w:trHeight w:val="230"/>
        </w:trPr>
        <w:tc>
          <w:tcPr>
            <w:tcW w:w="4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(54,125)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4,389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w:t>
            </w: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differences between the U.S. federal statutory rate and the effective income tax rate are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4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(33,622)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6,882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14,116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Stranded taxes released with termination of pension</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(21,912)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related to prior year tax provision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Brazilian tax incentive</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(7,019)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(766)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(928)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Prodepe tax incentive</w:t>
            </w:r>
          </w:p>
        </w:tc>
        <w:tc>
          <w:tcPr>
            <w:tcW w:w="2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2,858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933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variation on intercompany loans</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1,374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received deduction net of foreign withholding tax</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contingency accruals and tax settlements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federal valuation allowance</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(5,415)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other</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differences</w:t>
            </w:r>
          </w:p>
        </w:tc>
        <w:tc>
          <w:tcPr>
            <w:tcW w:w="2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8,269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on foreign branch income</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2,720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(5,667)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 (benefit) at effective income tax rate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(54,125)</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9,284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57"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Provision (benefit) for income taxes for the year ended December 31, 2023 was $(54.1) million compared to $4.4 million for the year ended December 31, 2022. The effective tax rates for the years ended December 31, 2023 and 2022 were 33.8% and 13.4%, respectively. The change in effective tax rate is primarily attributed to tax benefits previously recorded in other comprehensive income (loss) that were released as a result of the pension plan termination, partially offset by a reduction in Brazilian tax incentives as a percentage of income. The stranded taxes released with the termination of the pension plan represent the effect of the change in federal and state tax rates on pension-related deferred tax items initially recorded in other comprehensive income. The related stranded taxes were released in full in 2023.</w:t>
      </w:r>
    </w:p>
    <w:p>
      <w:pPr>
        <w:spacing w:after="0" w:line="6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 in 2022 was impacted by a large discrete benefit recorded in the first quarter of 2022, resulting from the implementation of new U.S. tax regulations associated with foreign tax credits published by the U.S. Treasury and Internal Revenue Service (“IRS”) on January 4, 2022. These regulations overhauled various components of the foreign tax credit regime including the determination of creditable foreign taxes and limit the amount of foreign taxes that are creditable against U.S. income taxes. As the result of these regulations, future Brazilian income tax under Brazil tax law in place at that time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8" w:name="page69"/>
    <w:bookmarkEnd w:id="68"/>
    <w:p>
      <w:pPr>
        <w:ind w:right="60"/>
        <w:spacing w:after="0" w:line="258" w:lineRule="auto"/>
        <w:rPr>
          <w:sz w:val="20"/>
          <w:szCs w:val="20"/>
          <w:color w:val="auto"/>
        </w:rPr>
      </w:pPr>
      <w:r>
        <w:rPr>
          <w:rFonts w:ascii="Times New Roman" w:cs="Times New Roman" w:eastAsia="Times New Roman" w:hAnsi="Times New Roman"/>
          <w:sz w:val="18"/>
          <w:szCs w:val="18"/>
          <w:color w:val="auto"/>
        </w:rPr>
        <w:t>would have been deductible, but not creditable, in the U.S. The accounting rules require a reduction of the U.S. deferred tax liability previously established related to anticipated future income from Brazil. The IRS released guidance in 2023 that provides temporary relief for tax years after 2021 from the regulations published by the U.S. Treasury and Internal Revenue Service on January 4, 2022. As a result of the IRS guidance released in 2023, the reduction in the first quarter of 2022 of the U.S. deferred tax liability previously established related to anticipated future income from Brazil was reversed in 2023.</w:t>
      </w:r>
    </w:p>
    <w:p>
      <w:pPr>
        <w:spacing w:after="0" w:line="4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effective tax rate in 2021 was impacted by the strong earnings of Terphane Ltda, which are included in Tredegar’s U.S. consolidated tax return and, the tax impact of the local statutory tax rates of Tredegar’s foreign subsidiaries being higher than the current U.S. tax rate of 21%, the benefit of tax incentives in Brazil and the release of the valuation allowance for capital loss carryforwards.</w:t>
      </w:r>
    </w:p>
    <w:p>
      <w:pPr>
        <w:spacing w:after="0" w:line="5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Tredegar accrues U.S. federal income taxes on unremitted earnings of all foreign subsidiaries where required. However; Tredegar will only record U.S. federal income taxes on unremitted earnings of its foreign subsidiaries where Tredegar cannot take steps to eliminate any potential tax on future distributions from its foreign subsidiaries. Because of the accumulation of significant losses related to foreign currency translations at Terphane Ltda., there were no deferred income tax liabilities associated with the U.S. federal income taxes and foreign withholding taxes on Terphane Ltda.’s undistributed earnings as of December 31, 2023 and 2022.</w:t>
      </w:r>
    </w:p>
    <w:p>
      <w:pPr>
        <w:spacing w:after="0" w:line="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Brazilian federal statutory income tax rate is a composite of 34.0% (25.0% of income tax and 9.0% of social contribution on income). Terphane’s manufacturing facility in Brazil is the beneficiary of certain income tax incentives that allow for a reduction in the statutory Brazilian federal income tax rate levied on the operating profit of its products. These incentives produce a current tax rate of 15.25% for Terphane (6.25% of income tax and 9.0% social contribution on income). The incentives were originally granted for a 10-year period commencing January 1, 2015 and expiring at the end of 2024. Terphane Brazil has been granted an additional three years of tax incentives through the end of 2027. The benefit from the tax incentives was $0.9 million, $3.9 million and $7.0 million in 2023, 2022 and 2021, respectively.</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income tax assets and deferred income tax liabilities at December 31, 2023 and 2022,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other postretirement obligations</w:t>
            </w:r>
          </w:p>
        </w:tc>
        <w:tc>
          <w:tcPr>
            <w:tcW w:w="3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benefits</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Basis difference in capital assets</w:t>
            </w:r>
          </w:p>
        </w:tc>
        <w:tc>
          <w:tcPr>
            <w:tcW w:w="36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write-offs, divestitures and environmental accruals</w:t>
            </w:r>
          </w:p>
        </w:tc>
        <w:tc>
          <w:tcPr>
            <w:tcW w:w="36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 and state NOL and credit carryforwards</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33,247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r>
      <w:tr>
        <w:trPr>
          <w:trHeight w:val="230"/>
        </w:trPr>
        <w:tc>
          <w:tcPr>
            <w:tcW w:w="5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Capitalized R&amp;D expenditures</w:t>
            </w:r>
          </w:p>
        </w:tc>
        <w:tc>
          <w:tcPr>
            <w:tcW w:w="36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6,543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36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2,592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 adjustment</w:t>
            </w:r>
          </w:p>
        </w:tc>
        <w:tc>
          <w:tcPr>
            <w:tcW w:w="3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59,668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57,778</w:t>
            </w:r>
          </w:p>
        </w:tc>
      </w:tr>
      <w:tr>
        <w:trPr>
          <w:trHeight w:val="230"/>
        </w:trPr>
        <w:tc>
          <w:tcPr>
            <w:tcW w:w="5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15,078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w:t>
            </w:r>
          </w:p>
        </w:tc>
      </w:tr>
      <w:tr>
        <w:trPr>
          <w:trHeight w:val="223"/>
        </w:trPr>
        <w:tc>
          <w:tcPr>
            <w:tcW w:w="50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44,590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43,971</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identifiable intangibles</w:t>
            </w:r>
          </w:p>
        </w:tc>
        <w:tc>
          <w:tcPr>
            <w:tcW w:w="3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3,392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Foregone tax credits on foreign branch income</w:t>
            </w:r>
          </w:p>
        </w:tc>
        <w:tc>
          <w:tcPr>
            <w:tcW w:w="3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leased assets</w:t>
            </w:r>
          </w:p>
        </w:tc>
        <w:tc>
          <w:tcPr>
            <w:tcW w:w="36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30"/>
        </w:trPr>
        <w:tc>
          <w:tcPr>
            <w:tcW w:w="5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3"/>
        </w:trPr>
        <w:tc>
          <w:tcPr>
            <w:tcW w:w="50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19,556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30,071</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3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25,034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13,900</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3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3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25,034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229"/>
        </w:trPr>
        <w:tc>
          <w:tcPr>
            <w:tcW w:w="5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liabilities (noncurrent)</w:t>
            </w:r>
          </w:p>
        </w:tc>
        <w:tc>
          <w:tcPr>
            <w:tcW w:w="3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3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25,034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864"/>
        </w:trPr>
        <w:tc>
          <w:tcPr>
            <w:tcW w:w="5080" w:type="dxa"/>
            <w:vAlign w:val="bottom"/>
          </w:tcPr>
          <w:p>
            <w:pPr>
              <w:spacing w:after="0"/>
              <w:rPr>
                <w:sz w:val="24"/>
                <w:szCs w:val="24"/>
                <w:color w:val="auto"/>
              </w:rPr>
            </w:pPr>
          </w:p>
        </w:tc>
        <w:tc>
          <w:tcPr>
            <w:tcW w:w="362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Except as noted below, the Company believes that it is more likely than not that future taxable income will exceed future tax-deductible amounts thereby resulting in the realization of deferred income tax assets the Company had U.S. federal and state tax credits of $16.7 million, net operating loss carryforwards of $16.5 million and a deferred interest limitation of $2.6 million at December 31, 2023. The Company had U.S. federal and state tax credits of $15.3 million and net operating loss carryforwards of $9.6 million at December 31, 2022. The U.S. federal net operating loss and deferred interest limitation can be carried forward indefinitely. The U.S. federal foreign tax credits will expire between 2027-2033 and the U.S. federal research and development tax credits will expire by 2044. The U.S. state carryforwards expire at different points over the next 20 years.</w:t>
      </w:r>
    </w:p>
    <w:p>
      <w:pPr>
        <w:spacing w:after="0" w:line="52"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7"/>
          <w:szCs w:val="17"/>
          <w:color w:val="auto"/>
        </w:rPr>
        <w:t>Valuation allowances of $12.9 million, $10.3 million and $9.4 million at December 31, 2023, 2022 and 2021, respectively, are recorded against the tax benefit on U.S. federal and state tax credits and net operating loss carryforwards generated by domestic subsidiaries that may not be recoverable in the carryforward period. The valuation allowance for unrealized capital losses from investments and other related items was $0.7 million at December 31, 2022 and 2021. The amount of the deferred income tax asset considered realizable, however, could be adjusted in the near term if estimates of the fair value of certain investments during the carry-forward period change. As circumstances and events warrant, allowances will be reversed when it is more likely than not that future taxable income will exceed deductible amounts, thereby resulting in the realization of deferred income tax assets. Valuation allowances of $2.2 million, $2.8 million and $2.5 million at December 31, 2023, 2022 and 2021, respectively, were recorded against certain deferred state tax assets.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Company’s unrecognized uncertain tax positions since January 1, 2021, is shown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2022</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due to tax positions taken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period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period</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w:t>
            </w:r>
          </w:p>
        </w:tc>
        <w:tc>
          <w:tcPr>
            <w:tcW w:w="5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659</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392"/>
        </w:trPr>
        <w:tc>
          <w:tcPr>
            <w:tcW w:w="87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Additional information related to unrecognized uncertain tax positions since January 1, 2021 is summarized below:</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gridSpan w:val="4"/>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2022</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Gross unrecognized tax benefits on uncertain tax positions (reflected in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current income tax, other noncurrent liability accounts, or deferred tax assets in the balance</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659</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sheet)</w:t>
            </w:r>
          </w:p>
        </w:tc>
        <w:tc>
          <w:tcPr>
            <w:tcW w:w="3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175"/>
        </w:trPr>
        <w:tc>
          <w:tcPr>
            <w:tcW w:w="6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Deferred income tax assets related to unrecognized tax benefits on uncertain tax positions</w:t>
            </w:r>
          </w:p>
        </w:tc>
        <w:tc>
          <w:tcPr>
            <w:tcW w:w="34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(reflected in deferred income tax accounts in the balance sheet)</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Net unrecognized tax benefits on uncertain tax positions, which would impact the</w:t>
            </w: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757</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tax rate if recognized</w:t>
            </w: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771</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penalties accrued on deductions taken relating to uncertain tax positions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(approximately $20, $16 and $26 reflected in income tax expense in the income statement in</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2023, 2022 and 2021, respectively, with the balance shown in current income tax and other</w:t>
            </w:r>
          </w:p>
        </w:tc>
        <w:tc>
          <w:tcPr>
            <w:tcW w:w="340" w:type="dxa"/>
            <w:vAlign w:val="bottom"/>
          </w:tcPr>
          <w:p>
            <w:pPr>
              <w:spacing w:after="0"/>
              <w:rPr>
                <w:sz w:val="15"/>
                <w:szCs w:val="15"/>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w:t>
            </w:r>
          </w:p>
        </w:tc>
        <w:tc>
          <w:tcPr>
            <w:tcW w:w="540" w:type="dxa"/>
            <w:vAlign w:val="bottom"/>
          </w:tcPr>
          <w:p>
            <w:pPr>
              <w:spacing w:after="0"/>
              <w:rPr>
                <w:sz w:val="15"/>
                <w:szCs w:val="15"/>
                <w:color w:val="auto"/>
              </w:rPr>
            </w:pP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liability accounts in the balance sheet)</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deferred income tax assets recognized on interest and penalties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69"/>
        </w:trPr>
        <w:tc>
          <w:tcPr>
            <w:tcW w:w="672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Interest and penalties accrued on uncertain tax positions net of related deferred income tax</w:t>
            </w:r>
          </w:p>
        </w:tc>
        <w:tc>
          <w:tcPr>
            <w:tcW w:w="340" w:type="dxa"/>
            <w:vAlign w:val="bottom"/>
          </w:tcPr>
          <w:p>
            <w:pPr>
              <w:spacing w:after="0"/>
              <w:rPr>
                <w:sz w:val="14"/>
                <w:szCs w:val="14"/>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benefits, which would impact the effective tax rate if recognized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69"/>
        </w:trPr>
        <w:tc>
          <w:tcPr>
            <w:tcW w:w="67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net unrecognized tax benefits on uncertain tax positions reflected in the balance</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887</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sheet, which would impact the effective tax rate if recognized</w:t>
            </w: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Tredegar, or one of its subsidiaries, files income tax returns in the U.S. federal jurisdiction, various states and jurisdictions outside the U.S. With few exceptions, Tredegar is no longer subject to U.S. federal, state or non-U.S. income tax examinations by tax authorities for years before 2020. The Company anticipates that it is reasonably possible that Federal and state income tax audits or statutes may settle or close within the next 12 months and are not expected to result in a material change in unrecognized tax positions, including any payments that may be made.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9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PE Films produces surface protection films, polyethylene overwrap films and films for other markets. Flexible Packaging Films produces polyester based films for use in packaging applications that have specialized properties, such as heat resistance, strength, barrier protection and the ability to accept high-quality print graphics.</w:t>
      </w:r>
    </w:p>
    <w:p>
      <w:pPr>
        <w:spacing w:after="0" w:line="6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 Earnings before interest and taxes ("EBIT") from ongoing operations is a non-GAAP financial measure included in the reconciliation of segment financial information to consolidated results for the Company below.</w:t>
      </w:r>
    </w:p>
    <w:p>
      <w:pPr>
        <w:spacing w:after="0" w:line="67"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Information by business segment and geographic area for the last three years is provided in the segment tables below. There were no accounting transactions between segments and no allocations to segments.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7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474,803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637,872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539,325</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76,763</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97,571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118,920</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126,326</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168,139</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139,978</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677,892</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903,582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798,223</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26,933</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34,982</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as shown in consolidated statements of income (loss)</w:t>
            </w:r>
          </w:p>
        </w:tc>
        <w:tc>
          <w:tcPr>
            <w:tcW w:w="2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704,825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938,564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826,455</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7100" w:type="dxa"/>
            <w:vAlign w:val="bottom"/>
            <w:tcBorders>
              <w:top w:val="single" w:sz="8" w:color="auto"/>
            </w:tcBorders>
            <w:gridSpan w:val="2"/>
          </w:tcPr>
          <w:p>
            <w:pPr>
              <w:jc w:val="center"/>
              <w:ind w:left="4050"/>
              <w:spacing w:after="0"/>
              <w:rPr>
                <w:sz w:val="20"/>
                <w:szCs w:val="20"/>
                <w:color w:val="auto"/>
              </w:rPr>
            </w:pPr>
            <w:r>
              <w:rPr>
                <w:rFonts w:ascii="Times New Roman" w:cs="Times New Roman" w:eastAsia="Times New Roman" w:hAnsi="Times New Roman"/>
                <w:sz w:val="18"/>
                <w:szCs w:val="18"/>
                <w:b w:val="1"/>
                <w:bCs w:val="1"/>
                <w:i w:val="1"/>
                <w:iCs w:val="1"/>
                <w:color w:val="auto"/>
              </w:rPr>
              <w:t>EBITDA from Ongoing Operations</w:t>
            </w:r>
          </w:p>
        </w:tc>
        <w:tc>
          <w:tcPr>
            <w:tcW w:w="112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Ongoing operations: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37,976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66,800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(17,927)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EBIT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20,049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49,386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Ongoing operations: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11,217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11,949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EBIT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4,695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5,669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(4,972)</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(34,891)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Ongoing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4,383</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27,452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EBIT</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1,518</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(17,271)</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79,016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11,607</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 in kaléo (a)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expense</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92,291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 (a)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39,414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41,221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(160,030)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32,844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 (a)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(54,125)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4,389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28,455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0" w:type="dxa"/>
            <w:vAlign w:val="bottom"/>
          </w:tcPr>
          <w:p>
            <w:pPr>
              <w:spacing w:after="0"/>
              <w:rPr>
                <w:sz w:val="1"/>
                <w:szCs w:val="1"/>
                <w:color w:val="auto"/>
              </w:rPr>
            </w:pPr>
          </w:p>
        </w:tc>
      </w:tr>
      <w:tr>
        <w:trPr>
          <w:trHeight w:val="391"/>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6740" w:type="dxa"/>
            <w:vAlign w:val="bottom"/>
          </w:tcPr>
          <w:p>
            <w:pPr>
              <w:jc w:val="center"/>
              <w:ind w:left="4410"/>
              <w:spacing w:after="0"/>
              <w:rPr>
                <w:sz w:val="20"/>
                <w:szCs w:val="20"/>
                <w:color w:val="auto"/>
              </w:rPr>
            </w:pPr>
            <w:r>
              <w:rPr>
                <w:rFonts w:ascii="Times New Roman" w:cs="Times New Roman" w:eastAsia="Times New Roman" w:hAnsi="Times New Roman"/>
                <w:sz w:val="18"/>
                <w:szCs w:val="18"/>
                <w:b w:val="1"/>
                <w:bCs w:val="1"/>
                <w:i w:val="1"/>
                <w:iCs w:val="1"/>
                <w:color w:val="auto"/>
                <w:w w:val="99"/>
              </w:rPr>
              <w:t>Identifiable Assets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255,756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293,308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56,536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84,062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103,448</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396,354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499,187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36,652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13,455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446,461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542,093</w:t>
            </w:r>
          </w:p>
        </w:tc>
        <w:tc>
          <w:tcPr>
            <w:tcW w:w="0" w:type="dxa"/>
            <w:vAlign w:val="bottom"/>
          </w:tcPr>
          <w:p>
            <w:pPr>
              <w:spacing w:after="0"/>
              <w:rPr>
                <w:sz w:val="1"/>
                <w:szCs w:val="1"/>
                <w:color w:val="auto"/>
              </w:rPr>
            </w:pPr>
          </w:p>
        </w:tc>
      </w:tr>
      <w:tr>
        <w:trPr>
          <w:trHeight w:val="850"/>
        </w:trPr>
        <w:tc>
          <w:tcPr>
            <w:tcW w:w="6740" w:type="dxa"/>
            <w:vAlign w:val="bottom"/>
          </w:tcPr>
          <w:p>
            <w:pPr>
              <w:jc w:val="center"/>
              <w:ind w:left="4430"/>
              <w:spacing w:after="0"/>
              <w:rPr>
                <w:sz w:val="20"/>
                <w:szCs w:val="20"/>
                <w:color w:val="auto"/>
              </w:rPr>
            </w:pPr>
            <w:r>
              <w:rPr>
                <w:rFonts w:ascii="Times New Roman" w:cs="Times New Roman" w:eastAsia="Times New Roman" w:hAnsi="Times New Roman"/>
                <w:sz w:val="18"/>
                <w:szCs w:val="18"/>
                <w:color w:val="auto"/>
                <w:w w:val="99"/>
              </w:rPr>
              <w:t>70</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48"/>
        </w:trPr>
        <w:tc>
          <w:tcPr>
            <w:tcW w:w="34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560" w:type="dxa"/>
            <w:vAlign w:val="bottom"/>
            <w:tcBorders>
              <w:top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66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tc>
        <w:tc>
          <w:tcPr>
            <w:tcW w:w="980" w:type="dxa"/>
            <w:vAlign w:val="bottom"/>
            <w:tcBorders>
              <w:top w:val="single" w:sz="8" w:color="auto"/>
            </w:tcBorders>
          </w:tcPr>
          <w:p>
            <w:pPr>
              <w:spacing w:after="0"/>
              <w:rPr>
                <w:sz w:val="21"/>
                <w:szCs w:val="21"/>
                <w:color w:val="auto"/>
              </w:rPr>
            </w:pPr>
          </w:p>
        </w:tc>
      </w:tr>
      <w:tr>
        <w:trPr>
          <w:trHeight w:val="23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17,927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15,326</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20,339</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23,664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6,522</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6,263</w:t>
            </w: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34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3,289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2,865</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1,988</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r>
      <w:tr>
        <w:trPr>
          <w:trHeight w:val="223"/>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27,314</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23,577</w:t>
            </w: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26,434</w:t>
            </w:r>
          </w:p>
        </w:tc>
        <w:tc>
          <w:tcPr>
            <w:tcW w:w="34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35,104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r>
      <w:tr>
        <w:trPr>
          <w:trHeight w:val="23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(d)</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3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27,683</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23,784</w:t>
            </w:r>
          </w:p>
        </w:tc>
        <w:tc>
          <w:tcPr>
            <w:tcW w:w="6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26,446</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36,875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27,361</w:t>
            </w:r>
          </w:p>
        </w:tc>
      </w:tr>
      <w:tr>
        <w:trPr>
          <w:trHeight w:val="209"/>
        </w:trPr>
        <w:tc>
          <w:tcPr>
            <w:tcW w:w="3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1"/>
        </w:trPr>
        <w:tc>
          <w:tcPr>
            <w:tcW w:w="3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(c)</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537,818</w:t>
            </w: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717,049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614,987</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26,239</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41,995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w:t>
            </w:r>
          </w:p>
        </w:tc>
      </w:tr>
      <w:tr>
        <w:trPr>
          <w:trHeight w:val="230"/>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15,597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w:t>
            </w:r>
          </w:p>
        </w:tc>
      </w:tr>
      <w:tr>
        <w:trPr>
          <w:trHeight w:val="22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1,905</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29"/>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6,704</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89,077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117,896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96,792</w:t>
            </w:r>
          </w:p>
        </w:tc>
      </w:tr>
      <w:tr>
        <w:trPr>
          <w:trHeight w:val="230"/>
        </w:trPr>
        <w:tc>
          <w:tcPr>
            <w:tcW w:w="3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677,892</w:t>
            </w: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903,582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798,223</w:t>
            </w:r>
          </w:p>
        </w:tc>
      </w:tr>
      <w:tr>
        <w:trPr>
          <w:trHeight w:val="209"/>
        </w:trPr>
        <w:tc>
          <w:tcPr>
            <w:tcW w:w="3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spacing w:after="0"/>
              <w:rPr>
                <w:sz w:val="18"/>
                <w:szCs w:val="18"/>
                <w:color w:val="auto"/>
              </w:rPr>
            </w:pPr>
          </w:p>
        </w:tc>
      </w:tr>
      <w:tr>
        <w:trPr>
          <w:trHeight w:val="180"/>
        </w:trPr>
        <w:tc>
          <w:tcPr>
            <w:tcW w:w="3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20" w:type="dxa"/>
            <w:vAlign w:val="bottom"/>
            <w:gridSpan w:val="5"/>
          </w:tcPr>
          <w:p>
            <w:pPr>
              <w:jc w:val="right"/>
              <w:ind w:right="290"/>
              <w:spacing w:after="0" w:line="180" w:lineRule="exact"/>
              <w:rPr>
                <w:sz w:val="20"/>
                <w:szCs w:val="20"/>
                <w:color w:val="auto"/>
              </w:rPr>
            </w:pPr>
            <w:r>
              <w:rPr>
                <w:rFonts w:ascii="Times New Roman" w:cs="Times New Roman" w:eastAsia="Times New Roman" w:hAnsi="Times New Roman"/>
                <w:sz w:val="18"/>
                <w:szCs w:val="18"/>
                <w:b w:val="1"/>
                <w:bCs w:val="1"/>
                <w:i w:val="1"/>
                <w:iCs w:val="1"/>
                <w:color w:val="auto"/>
                <w:w w:val="99"/>
              </w:rPr>
              <w:t>Property, Plant &amp; Equipment,</w:t>
            </w:r>
          </w:p>
        </w:tc>
      </w:tr>
      <w:tr>
        <w:trPr>
          <w:trHeight w:val="229"/>
        </w:trPr>
        <w:tc>
          <w:tcPr>
            <w:tcW w:w="3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by Geographic Area (c)</w:t>
            </w:r>
          </w:p>
        </w:tc>
        <w:tc>
          <w:tcPr>
            <w:tcW w:w="520" w:type="dxa"/>
            <w:vAlign w:val="bottom"/>
          </w:tcPr>
          <w:p>
            <w:pPr>
              <w:spacing w:after="0"/>
              <w:rPr>
                <w:sz w:val="19"/>
                <w:szCs w:val="19"/>
                <w:color w:val="auto"/>
              </w:rPr>
            </w:pPr>
          </w:p>
        </w:tc>
        <w:tc>
          <w:tcPr>
            <w:tcW w:w="262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rPr>
              <w:t>Net by Geographic Area (c)</w:t>
            </w:r>
          </w:p>
        </w:tc>
      </w:tr>
      <w:tr>
        <w:trPr>
          <w:trHeight w:val="23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320,604</w:t>
            </w:r>
          </w:p>
        </w:tc>
        <w:tc>
          <w:tcPr>
            <w:tcW w:w="8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413,512</w:t>
            </w: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143,729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146,437</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65,495</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72,725</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28,121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w:t>
            </w:r>
          </w:p>
        </w:tc>
      </w:tr>
      <w:tr>
        <w:trPr>
          <w:trHeight w:val="229"/>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10,255</w:t>
            </w: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36,652</w:t>
            </w: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2,244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3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13,455</w:t>
            </w: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446,461</w:t>
            </w:r>
          </w:p>
        </w:tc>
        <w:tc>
          <w:tcPr>
            <w:tcW w:w="8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542,093</w:t>
            </w: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183,455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73" w:name="page74"/>
    <w:bookmarkEnd w:id="73"/>
    <w:p>
      <w:pPr>
        <w:ind w:right="60" w:firstLine="405"/>
        <w:spacing w:after="0" w:line="290" w:lineRule="auto"/>
        <w:rPr>
          <w:sz w:val="20"/>
          <w:szCs w:val="20"/>
          <w:color w:val="auto"/>
        </w:rPr>
      </w:pPr>
      <w:r>
        <w:rPr>
          <w:rFonts w:ascii="Times New Roman" w:cs="Times New Roman" w:eastAsia="Times New Roman" w:hAnsi="Times New Roman"/>
          <w:sz w:val="17"/>
          <w:szCs w:val="17"/>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w:t>
      </w:r>
    </w:p>
    <w:p>
      <w:pPr>
        <w:ind w:right="200"/>
        <w:spacing w:after="0" w:line="282" w:lineRule="auto"/>
        <w:rPr>
          <w:sz w:val="20"/>
          <w:szCs w:val="20"/>
          <w:color w:val="auto"/>
        </w:rPr>
      </w:pPr>
      <w:r>
        <w:rPr>
          <w:rFonts w:ascii="Times New Roman" w:cs="Times New Roman" w:eastAsia="Times New Roman" w:hAnsi="Times New Roman"/>
          <w:sz w:val="18"/>
          <w:szCs w:val="18"/>
          <w:color w:val="auto"/>
        </w:rPr>
        <w:t>but paid by customers directly to PV. Amounts associated with this intercompany tolling arrangement are reported in the table above as export sales from the U.S. to Asia, and include net sales of $15.9 million in 2023, $20.1 million in 2022 and $32.7 million in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Net Sales by Product Group</w:t>
            </w: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1"/>
        </w:trPr>
        <w:tc>
          <w:tcPr>
            <w:tcW w:w="388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3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264,780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338,981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269,252</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38,897</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62,541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53,578</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48,046</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51,286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43,759</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63,326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42,721</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14,331</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29,732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38,388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64,268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26,602</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27,738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474,803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637,872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539,325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68,140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Packaging</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29,431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76,763</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97,571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118,920</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126,326</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168,139</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139,978</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677,892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903,582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798,223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300" w:hanging="252"/>
        <w:spacing w:after="0" w:line="261" w:lineRule="auto"/>
        <w:tabs>
          <w:tab w:leader="none" w:pos="25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 5, 9 and 12 for more information on losses associated with plant shutdowns, asset impairments and restructurings, unusual items, gains or losses from sale of assets, gains or losses on an investment accounted for under the fair value method and other items.</w:t>
      </w:r>
    </w:p>
    <w:p>
      <w:pPr>
        <w:ind w:left="240" w:hanging="232"/>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cash equivalents and restricted cash includes funds held in locations outside the U.S. of $9.8 million and $10.3 million at December 31, 2023 and 2022, respectively.</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sales relate mostly to PE Films. Operations in Brazil relate to Flexible Packaging Films.</w:t>
      </w:r>
    </w:p>
    <w:p>
      <w:pPr>
        <w:spacing w:after="0" w:line="14"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depreciation and amortization are included in corporate expenses, net, on the EBITDA from ongoing operations table above.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SAVINGS PLAN</w:t>
      </w:r>
    </w:p>
    <w:p>
      <w:pPr>
        <w:spacing w:after="0" w:line="108"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Tredegar has a savings plan that allows eligible employees to voluntarily contribute a percentage of their compensation, up to IRS limitations. Charges recognized for the savings plan were $4.0 million in 2023, $3.9 million in 2022 and $3.3 million in 2021. The provisions of the savings plan provided the following benefits for salaried and certain hourly employees:</w:t>
      </w:r>
    </w:p>
    <w:p>
      <w:pPr>
        <w:spacing w:after="0" w:line="41" w:lineRule="exact"/>
        <w:rPr>
          <w:sz w:val="20"/>
          <w:szCs w:val="20"/>
          <w:color w:val="auto"/>
        </w:rPr>
      </w:pPr>
    </w:p>
    <w:p>
      <w:pPr>
        <w:ind w:left="740" w:right="140" w:hanging="327"/>
        <w:spacing w:after="0" w:line="282" w:lineRule="auto"/>
        <w:tabs>
          <w:tab w:leader="none" w:pos="7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matching contributions to the savings plan of $1 for every $1 an employee contributes per pay period up to a maximum of 5% of eligible compensation.</w:t>
      </w:r>
    </w:p>
    <w:p>
      <w:pPr>
        <w:spacing w:after="0" w:line="40" w:lineRule="exact"/>
        <w:rPr>
          <w:rFonts w:ascii="Times New Roman" w:cs="Times New Roman" w:eastAsia="Times New Roman" w:hAnsi="Times New Roman"/>
          <w:sz w:val="18"/>
          <w:szCs w:val="18"/>
          <w:color w:val="auto"/>
        </w:rPr>
      </w:pPr>
    </w:p>
    <w:p>
      <w:pPr>
        <w:ind w:left="740" w:right="440" w:hanging="327"/>
        <w:spacing w:after="0" w:line="282" w:lineRule="auto"/>
        <w:tabs>
          <w:tab w:leader="none" w:pos="7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savings plan includes immediate vesting of matching contributions and automatic enrollment at 3% of eligible compensation unless the employee opts out or elects a different percentage.</w:t>
      </w:r>
    </w:p>
    <w:p>
      <w:pPr>
        <w:spacing w:after="0" w:line="4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also has a non-qualified plan that restores matching benefits for employees suspended from the savings plan due to certain limitations imposed by income tax regulations (“restoration plan”). The Company’s liability under the restoration plan was $0.4 million at December 31, 2023 (consisting of 79,124 phantom shares of common stock) and $0.7 million at December 31, 2022 (consisting of 70,266 phantom shares of common stock) and valued at the closing market price on those dates. Charges recognized for the restoration plan were immaterial for the years 2023, 2022 and 2021.</w:t>
      </w:r>
    </w:p>
    <w:p>
      <w:pPr>
        <w:spacing w:after="0" w:line="4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Tredegar Corporation Benefits Plan Trust (the “Trust”) purchased 7,200 shares of the Company’s common stock in 1998 for $0.2 million and 46,671 shares of its common stock in 1997 for $1.0 million. There have been no shares purchased since 1998 except for re-invested dividends. The cost of the shares held by the Trust is shown as a reduction to shareholders’ equity in the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15. SUPPLY CHAIN FINANCING</w:t>
      </w:r>
    </w:p>
    <w:p>
      <w:pPr>
        <w:spacing w:after="0" w:line="9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has supply chain finance service agreements with third-party financial institutions to provide platforms that facilitate the ability of participating suppliers to finance payment obligations from the Company with the third-party financial institution. The Company’s obligations to its suppliers, including amounts due and scheduled payment dates, are not affected by suppliers’ decisions to finance amounts under the supply chain finance agreements. As of December 31, 2023 and 2022, $15.8 million and $25.9 million, respectively, of the Company’s accounts payable were financed by participating suppliers through third-party financial institutions.</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supply chain financing for the year ended December 31, 2023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06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4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25,927</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obligations entered</w:t>
            </w:r>
          </w:p>
        </w:tc>
        <w:tc>
          <w:tcPr>
            <w:tcW w:w="40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79,630</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payments made</w:t>
            </w:r>
          </w:p>
        </w:tc>
        <w:tc>
          <w:tcPr>
            <w:tcW w:w="40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(90,365)</w:t>
            </w:r>
          </w:p>
        </w:tc>
      </w:tr>
      <w:tr>
        <w:trPr>
          <w:trHeight w:val="229"/>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0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10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Tredegar is involved in various stages of investigation and remediation relating to environmental matters at certain current and former plant locations. Where the Company has determined the nature and scope of any required environmental remediation activity, estimates of cleanup costs have been obtained and accrued. As efforts to maintain compliance with applicable environmental laws and regulations, additional contingencies may be identified continue. If additional contingencies are identified in the future, the Company’s practice is to determine at that time the nature and scope of those contingencies, obtain and accrue estimates of the cost of remediation, and perform remediation. While the Company believes it is currently adequately accrued for known environmental issues, it is possible that unexpected future costs for known or unknown environmental issues could have a material adverse effect on its financial condition, results of operations and cash flows at that time.</w:t>
      </w:r>
    </w:p>
    <w:p>
      <w:pPr>
        <w:spacing w:after="0" w:line="54"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actions arising in the normal course of business. After taking into consideration the relevant information, the Company believes that it has sufficiently accrued for probable losses and that the actions will not have a material adverse effect on its financial position.</w:t>
      </w:r>
    </w:p>
    <w:p>
      <w:pPr>
        <w:spacing w:after="0" w:line="5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third parties in connection with the sale of assets or businesses in which it agrees to indemnify the buyers or third parties involved in the transaction, or in which the sellers or third parties involved in the transaction agree to indemnify Tredegar, for certain liabilities or risks related to the assets or business. Also, in the ordinary course of its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For these reasons, Tredegar is unable to estimate the maximum amount of the potential future liability under the indemnity provisions of these agreements. The Company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considered to be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20" w:type="dxa"/>
            <w:vAlign w:val="bottom"/>
            <w:gridSpan w:val="4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3"/>
        </w:trPr>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0020" w:type="dxa"/>
            <w:vAlign w:val="bottom"/>
            <w:tcBorders>
              <w:bottom w:val="single" w:sz="8" w:color="0000FF"/>
            </w:tcBorders>
            <w:gridSpan w:val="24"/>
            <w:shd w:val="clear" w:color="auto" w:fill="CCEEFF"/>
          </w:tcPr>
          <w:p>
            <w:pPr>
              <w:ind w:left="20"/>
              <w:spacing w:after="0" w:line="18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Purchase and Sale Agreement, dated as of September 1, 2023, by and among Packfilm US LLC, Film Trading Importacao e Representacao</w:t>
              </w:r>
            </w:hyperlink>
          </w:p>
        </w:tc>
        <w:tc>
          <w:tcPr>
            <w:tcW w:w="420" w:type="dxa"/>
            <w:vAlign w:val="bottom"/>
            <w:tcBorders>
              <w:bottom w:val="single" w:sz="8" w:color="CCEEFF"/>
            </w:tcBorders>
            <w:gridSpan w:val="21"/>
            <w:shd w:val="clear" w:color="auto" w:fill="CCEEFF"/>
          </w:tcPr>
          <w:p>
            <w:pPr>
              <w:spacing w:after="0"/>
              <w:rPr>
                <w:sz w:val="16"/>
                <w:szCs w:val="16"/>
                <w:color w:val="auto"/>
              </w:rPr>
            </w:pPr>
          </w:p>
        </w:tc>
      </w:tr>
      <w:tr>
        <w:trPr>
          <w:trHeight w:val="155"/>
        </w:trPr>
        <w:tc>
          <w:tcPr>
            <w:tcW w:w="880" w:type="dxa"/>
            <w:vAlign w:val="bottom"/>
            <w:shd w:val="clear" w:color="auto" w:fill="CCEEFF"/>
          </w:tcPr>
          <w:p>
            <w:pPr>
              <w:spacing w:after="0"/>
              <w:rPr>
                <w:sz w:val="13"/>
                <w:szCs w:val="13"/>
                <w:color w:val="auto"/>
              </w:rPr>
            </w:pPr>
          </w:p>
        </w:tc>
        <w:tc>
          <w:tcPr>
            <w:tcW w:w="10440" w:type="dxa"/>
            <w:vAlign w:val="bottom"/>
            <w:gridSpan w:val="45"/>
            <w:shd w:val="clear" w:color="auto" w:fill="CCEEFF"/>
          </w:tcPr>
          <w:p>
            <w:pPr>
              <w:ind w:left="20"/>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Ltda., Terphane LLC, Terphane Limitada, Tredegar Film Products (Latin America), Inc., Terphane Acquisition Corporation II, TAC Holdings,</w:t>
              </w:r>
            </w:hyperlink>
          </w:p>
        </w:tc>
      </w:tr>
      <w:tr>
        <w:trPr>
          <w:trHeight w:val="169"/>
        </w:trPr>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280" w:type="dxa"/>
            <w:vAlign w:val="bottom"/>
            <w:tcBorders>
              <w:top w:val="single" w:sz="8" w:color="0000FF"/>
              <w:bottom w:val="single" w:sz="8" w:color="0000FF"/>
            </w:tcBorders>
            <w:gridSpan w:val="37"/>
            <w:shd w:val="clear" w:color="auto" w:fill="CCEEFF"/>
          </w:tcPr>
          <w:p>
            <w:pPr>
              <w:ind w:left="20"/>
              <w:spacing w:after="0" w:line="169"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LLC, Tredegar Investments LLC, Tredegar Corporation and Oben Holding Group S.A.C. (filed as Exhibit 2.1 of Tredegar’s Current Report on</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6"/>
        </w:trPr>
        <w:tc>
          <w:tcPr>
            <w:tcW w:w="880" w:type="dxa"/>
            <w:vAlign w:val="bottom"/>
            <w:shd w:val="clear" w:color="auto" w:fill="CCEEFF"/>
          </w:tcPr>
          <w:p>
            <w:pPr>
              <w:spacing w:after="0"/>
              <w:rPr>
                <w:sz w:val="13"/>
                <w:szCs w:val="13"/>
                <w:color w:val="auto"/>
              </w:rPr>
            </w:pPr>
          </w:p>
        </w:tc>
        <w:tc>
          <w:tcPr>
            <w:tcW w:w="10360" w:type="dxa"/>
            <w:vAlign w:val="bottom"/>
            <w:gridSpan w:val="41"/>
            <w:shd w:val="clear" w:color="auto" w:fill="CCEEFF"/>
          </w:tcPr>
          <w:p>
            <w:pPr>
              <w:ind w:left="20"/>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8-K (File No. 1-10258), filed on September 5, 2023, and incorporated herein by reference).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440" w:type="dxa"/>
            <w:vAlign w:val="bottom"/>
            <w:gridSpan w:val="45"/>
          </w:tcPr>
          <w:p>
            <w:pPr>
              <w:ind w:left="20"/>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Articles of Incorporation of Tredegar (filed as Exhibit 3.1 to Tredegar’s Annual Report on Form 10-K (File No. 1-</w:t>
              </w:r>
            </w:hyperlink>
          </w:p>
        </w:tc>
      </w:tr>
      <w:tr>
        <w:trPr>
          <w:trHeight w:val="156"/>
        </w:trPr>
        <w:tc>
          <w:tcPr>
            <w:tcW w:w="880" w:type="dxa"/>
            <w:vAlign w:val="bottom"/>
          </w:tcPr>
          <w:p>
            <w:pPr>
              <w:spacing w:after="0"/>
              <w:rPr>
                <w:sz w:val="13"/>
                <w:szCs w:val="13"/>
                <w:color w:val="auto"/>
              </w:rPr>
            </w:pPr>
          </w:p>
        </w:tc>
        <w:tc>
          <w:tcPr>
            <w:tcW w:w="9960" w:type="dxa"/>
            <w:vAlign w:val="bottom"/>
            <w:tcBorders>
              <w:top w:val="single" w:sz="8" w:color="0000FF"/>
            </w:tcBorders>
            <w:gridSpan w:val="21"/>
          </w:tcPr>
          <w:p>
            <w:pPr>
              <w:ind w:left="20"/>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10258) for the year ended December 31, 2004,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440" w:type="dxa"/>
            <w:vAlign w:val="bottom"/>
            <w:gridSpan w:val="45"/>
            <w:shd w:val="clear" w:color="auto" w:fill="CCEEFF"/>
          </w:tcPr>
          <w:p>
            <w:pPr>
              <w:ind w:left="20"/>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Articles of Amendment to Amended and Restated Articles of Incorporation of Tredegar (filed as Exhibit 3.3 to Tredegar’s Annual Report on</w:t>
              </w:r>
            </w:hyperlink>
          </w:p>
        </w:tc>
      </w:tr>
      <w:tr>
        <w:trPr>
          <w:trHeight w:val="190"/>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7820" w:type="dxa"/>
            <w:vAlign w:val="bottom"/>
            <w:tcBorders>
              <w:top w:val="single" w:sz="8" w:color="0000FF"/>
              <w:bottom w:val="single" w:sz="8" w:color="0000FF"/>
            </w:tcBorders>
            <w:gridSpan w:val="10"/>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Form 10-K (File No. 1-10258) for the year ended December 31, 2004, and incorporated herein by reference)</w:t>
              </w:r>
            </w:hyperlink>
          </w:p>
        </w:tc>
        <w:tc>
          <w:tcPr>
            <w:tcW w:w="2380" w:type="dxa"/>
            <w:vAlign w:val="bottom"/>
            <w:tcBorders>
              <w:top w:val="single" w:sz="8" w:color="0000FF"/>
              <w:bottom w:val="single" w:sz="8" w:color="CCEEFF"/>
            </w:tcBorders>
            <w:gridSpan w:val="2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440" w:type="dxa"/>
            <w:vAlign w:val="bottom"/>
            <w:gridSpan w:val="45"/>
          </w:tcPr>
          <w:p>
            <w:pPr>
              <w:ind w:left="20"/>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Articles of Amendment to Amended and Restated Articles of Incorporation of Tredegar, as of May 24, 2013 (filed as Exhibit 3.1 to Tredegar’s</w:t>
              </w:r>
            </w:hyperlink>
          </w:p>
        </w:tc>
      </w:tr>
      <w:tr>
        <w:trPr>
          <w:trHeight w:val="156"/>
        </w:trPr>
        <w:tc>
          <w:tcPr>
            <w:tcW w:w="880" w:type="dxa"/>
            <w:vAlign w:val="bottom"/>
          </w:tcPr>
          <w:p>
            <w:pPr>
              <w:spacing w:after="0"/>
              <w:rPr>
                <w:sz w:val="13"/>
                <w:szCs w:val="13"/>
                <w:color w:val="auto"/>
              </w:rPr>
            </w:pPr>
          </w:p>
        </w:tc>
        <w:tc>
          <w:tcPr>
            <w:tcW w:w="10340" w:type="dxa"/>
            <w:vAlign w:val="bottom"/>
            <w:tcBorders>
              <w:top w:val="single" w:sz="8" w:color="0000FF"/>
            </w:tcBorders>
            <w:gridSpan w:val="40"/>
          </w:tcPr>
          <w:p>
            <w:pPr>
              <w:ind w:left="20"/>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Current Report on Form 8-K (File No. 1-10258), filed on May 29, 2013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10440" w:type="dxa"/>
            <w:vAlign w:val="bottom"/>
            <w:gridSpan w:val="45"/>
            <w:shd w:val="clear" w:color="auto" w:fill="CCEEFF"/>
          </w:tcPr>
          <w:p>
            <w:pPr>
              <w:ind w:left="20"/>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Articles of Amendment to Amended and Restated Articles of Incorporation of Tredegar, as of May 4, 2016 (filed as Exhibit 3.1 to Tredegar’s</w:t>
              </w:r>
            </w:hyperlink>
          </w:p>
        </w:tc>
      </w:tr>
      <w:tr>
        <w:trPr>
          <w:trHeight w:val="189"/>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7880" w:type="dxa"/>
            <w:vAlign w:val="bottom"/>
            <w:tcBorders>
              <w:top w:val="single" w:sz="8" w:color="0000FF"/>
              <w:bottom w:val="single" w:sz="8" w:color="0000FF"/>
            </w:tcBorders>
            <w:gridSpan w:val="11"/>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Current Report on Form 8-K (File No. 1-10258), filed on May 6, 2016, and incorporated herein by reference)</w:t>
              </w:r>
            </w:hyperlink>
          </w:p>
        </w:tc>
        <w:tc>
          <w:tcPr>
            <w:tcW w:w="2360" w:type="dxa"/>
            <w:vAlign w:val="bottom"/>
            <w:tcBorders>
              <w:top w:val="single" w:sz="8" w:color="0000FF"/>
              <w:bottom w:val="single" w:sz="8" w:color="CCEEFF"/>
            </w:tcBorders>
            <w:gridSpan w:val="2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440" w:type="dxa"/>
            <w:vAlign w:val="bottom"/>
            <w:gridSpan w:val="45"/>
          </w:tcPr>
          <w:p>
            <w:pPr>
              <w:ind w:left="20"/>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 xml:space="preserve">Amended and Restated </w:t>
              </w:r>
            </w:hyperlink>
            <w:hyperlink r:id="rId124">
              <w:r>
                <w:rPr>
                  <w:rFonts w:ascii="Times New Roman" w:cs="Times New Roman" w:eastAsia="Times New Roman" w:hAnsi="Times New Roman"/>
                  <w:sz w:val="18"/>
                  <w:szCs w:val="18"/>
                  <w:color w:val="0000FF"/>
                </w:rPr>
                <w:t>Bylaws of Tredegar (filed as Exhibit 3.1 to Tredegar’s Current Report on Form 8-K (File No. 1-10258), filed on</w:t>
              </w:r>
            </w:hyperlink>
          </w:p>
        </w:tc>
      </w:tr>
      <w:tr>
        <w:trPr>
          <w:trHeight w:val="156"/>
        </w:trPr>
        <w:tc>
          <w:tcPr>
            <w:tcW w:w="880" w:type="dxa"/>
            <w:vAlign w:val="bottom"/>
          </w:tcPr>
          <w:p>
            <w:pPr>
              <w:spacing w:after="0"/>
              <w:rPr>
                <w:sz w:val="13"/>
                <w:szCs w:val="13"/>
                <w:color w:val="auto"/>
              </w:rPr>
            </w:pPr>
          </w:p>
        </w:tc>
        <w:tc>
          <w:tcPr>
            <w:tcW w:w="9780" w:type="dxa"/>
            <w:vAlign w:val="bottom"/>
            <w:tcBorders>
              <w:top w:val="single" w:sz="8" w:color="0000FF"/>
            </w:tcBorders>
            <w:gridSpan w:val="15"/>
          </w:tcPr>
          <w:p>
            <w:pPr>
              <w:ind w:left="20"/>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August 7, 2023, and incorporated 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0440" w:type="dxa"/>
            <w:vAlign w:val="bottom"/>
            <w:gridSpan w:val="45"/>
            <w:shd w:val="clear" w:color="auto" w:fill="CCEEFF"/>
          </w:tcPr>
          <w:p>
            <w:pPr>
              <w:ind w:left="20"/>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Bylaws of Tredegar Corporation, as of August 4, 2023 (filed as Exhibit 3.1 of Tredegar's Current Report on Form 8-K</w:t>
              </w:r>
            </w:hyperlink>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36"/>
            <w:shd w:val="clear" w:color="auto" w:fill="CCEEFF"/>
          </w:tcPr>
          <w:p>
            <w:pPr>
              <w:ind w:left="20"/>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(File No. 1-10258), filed on August 7, 2023, and incorporated herein by reference).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440" w:type="dxa"/>
            <w:vAlign w:val="bottom"/>
            <w:gridSpan w:val="45"/>
          </w:tcPr>
          <w:p>
            <w:pPr>
              <w:ind w:left="20"/>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Description of Registered Securities (filed as Exhibit 4.1 to Tredegar’s Annual Report on Form 10-K (File No 1-10258) for the year ended</w:t>
              </w:r>
            </w:hyperlink>
          </w:p>
        </w:tc>
      </w:tr>
      <w:tr>
        <w:trPr>
          <w:trHeight w:val="156"/>
        </w:trPr>
        <w:tc>
          <w:tcPr>
            <w:tcW w:w="880" w:type="dxa"/>
            <w:vAlign w:val="bottom"/>
          </w:tcPr>
          <w:p>
            <w:pPr>
              <w:spacing w:after="0"/>
              <w:rPr>
                <w:sz w:val="13"/>
                <w:szCs w:val="13"/>
                <w:color w:val="auto"/>
              </w:rPr>
            </w:pPr>
          </w:p>
        </w:tc>
        <w:tc>
          <w:tcPr>
            <w:tcW w:w="9980" w:type="dxa"/>
            <w:vAlign w:val="bottom"/>
            <w:tcBorders>
              <w:top w:val="single" w:sz="8" w:color="0000FF"/>
            </w:tcBorders>
            <w:gridSpan w:val="22"/>
          </w:tcPr>
          <w:p>
            <w:pPr>
              <w:ind w:left="20"/>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December 31, 2019,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14"/>
            <w:shd w:val="clear" w:color="auto" w:fill="CCEEFF"/>
          </w:tcPr>
          <w:p>
            <w:pPr>
              <w:ind w:left="20"/>
              <w:spacing w:after="0" w:line="18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Second Amended and Restated Credit Agreement, dated as of June 29, 2022, among Tredegar, as borrower, the lenders named therein,</w:t>
              </w:r>
            </w:hyperlink>
          </w:p>
        </w:tc>
        <w:tc>
          <w:tcPr>
            <w:tcW w:w="740" w:type="dxa"/>
            <w:vAlign w:val="bottom"/>
            <w:tcBorders>
              <w:bottom w:val="single" w:sz="8" w:color="CCEEFF"/>
            </w:tcBorders>
            <w:gridSpan w:val="31"/>
            <w:shd w:val="clear" w:color="auto" w:fill="CCEEFF"/>
          </w:tcPr>
          <w:p>
            <w:pPr>
              <w:spacing w:after="0"/>
              <w:rPr>
                <w:sz w:val="16"/>
                <w:szCs w:val="16"/>
                <w:color w:val="auto"/>
              </w:rPr>
            </w:pPr>
          </w:p>
        </w:tc>
      </w:tr>
      <w:tr>
        <w:trPr>
          <w:trHeight w:val="156"/>
        </w:trPr>
        <w:tc>
          <w:tcPr>
            <w:tcW w:w="880" w:type="dxa"/>
            <w:vAlign w:val="bottom"/>
            <w:shd w:val="clear" w:color="auto" w:fill="CCEEFF"/>
          </w:tcPr>
          <w:p>
            <w:pPr>
              <w:spacing w:after="0"/>
              <w:rPr>
                <w:sz w:val="13"/>
                <w:szCs w:val="13"/>
                <w:color w:val="auto"/>
              </w:rPr>
            </w:pPr>
          </w:p>
        </w:tc>
        <w:tc>
          <w:tcPr>
            <w:tcW w:w="10440" w:type="dxa"/>
            <w:vAlign w:val="bottom"/>
            <w:gridSpan w:val="45"/>
            <w:shd w:val="clear" w:color="auto" w:fill="CCEEFF"/>
          </w:tcPr>
          <w:p>
            <w:pPr>
              <w:ind w:left="20"/>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JPMorgan Chase Bank N.A., as administrative agent, Citizens Bank N.A and PNC Bank, National Association, as co-syndication agents, and</w:t>
              </w:r>
            </w:hyperlink>
          </w:p>
        </w:tc>
      </w:tr>
      <w:tr>
        <w:trPr>
          <w:trHeight w:val="169"/>
        </w:trPr>
        <w:tc>
          <w:tcPr>
            <w:tcW w:w="8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0000FF"/>
            </w:tcBorders>
            <w:gridSpan w:val="34"/>
            <w:shd w:val="clear" w:color="auto" w:fill="CCEEFF"/>
          </w:tcPr>
          <w:p>
            <w:pPr>
              <w:ind w:left="20"/>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Bank of America, N.A., U.S. Bank National Association and Wells Fargo Bank, National Association, as co-documentation agents, and the</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25"/>
            <w:shd w:val="clear" w:color="auto" w:fill="CCEEFF"/>
          </w:tcPr>
          <w:p>
            <w:pPr>
              <w:ind w:left="20"/>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other lenders party thereto (filed as Exhibit 4.1 to Tredegar's Current Report on Form 8-K (File No. 1-10258), filed on June 30, 2022,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90"/>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2"/>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incorporated herein by reference)</w:t>
              </w:r>
            </w:hyperlink>
          </w:p>
        </w:tc>
        <w:tc>
          <w:tcPr>
            <w:tcW w:w="75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440" w:type="dxa"/>
            <w:vAlign w:val="bottom"/>
            <w:gridSpan w:val="45"/>
          </w:tcPr>
          <w:p>
            <w:pPr>
              <w:ind w:left="20"/>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Second Amended and Restated Guaranty, dated as of June 29, 2022, by and among the subsidiaries of Tredegar listed on the signature pages</w:t>
              </w:r>
            </w:hyperlink>
          </w:p>
        </w:tc>
      </w:tr>
      <w:tr>
        <w:trPr>
          <w:trHeight w:val="156"/>
        </w:trPr>
        <w:tc>
          <w:tcPr>
            <w:tcW w:w="8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9"/>
          </w:tcPr>
          <w:p>
            <w:pPr>
              <w:ind w:left="20"/>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thereto in favor of JPMorgan Chase Bank, N.A., as administrative agent, for the ratable benefit of the Holders of Guaranteed Obligations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10160" w:type="dxa"/>
            <w:vAlign w:val="bottom"/>
            <w:gridSpan w:val="31"/>
          </w:tcPr>
          <w:p>
            <w:pPr>
              <w:ind w:left="20"/>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defined therein) (filed as Exhibit 4.2 to Tredegar's Current Report on Form 8-K (File No. 1-10258), filed on June 30, 2022, and incorporated</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140" w:type="dxa"/>
            <w:vAlign w:val="bottom"/>
            <w:tcBorders>
              <w:top w:val="single" w:sz="8" w:color="0000FF"/>
            </w:tcBorders>
            <w:gridSpan w:val="30"/>
          </w:tcPr>
          <w:p>
            <w:pPr>
              <w:ind w:left="20"/>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herein by reference)</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440" w:type="dxa"/>
            <w:vAlign w:val="bottom"/>
            <w:gridSpan w:val="45"/>
            <w:shd w:val="clear" w:color="auto" w:fill="CCEEFF"/>
          </w:tcPr>
          <w:p>
            <w:pPr>
              <w:ind w:left="20"/>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Second Amended and Restated Pledge Agreement, dated as of June 29, 2022, by and among Tredegar and the subsidiaries of Tredegar listed</w:t>
              </w:r>
            </w:hyperlink>
          </w:p>
        </w:tc>
      </w:tr>
      <w:tr>
        <w:trPr>
          <w:trHeight w:val="156"/>
        </w:trPr>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9860" w:type="dxa"/>
            <w:vAlign w:val="bottom"/>
            <w:tcBorders>
              <w:top w:val="single" w:sz="8" w:color="0000FF"/>
              <w:bottom w:val="single" w:sz="8" w:color="0000FF"/>
            </w:tcBorders>
            <w:gridSpan w:val="17"/>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on the signature pages thereto and JPMorgan Chase Bank, N.A., as administrative agent, for the ratable benefit of the Secured Parties (as</w:t>
              </w:r>
            </w:hyperlink>
          </w:p>
        </w:tc>
        <w:tc>
          <w:tcPr>
            <w:tcW w:w="320" w:type="dxa"/>
            <w:vAlign w:val="bottom"/>
            <w:tcBorders>
              <w:top w:val="single" w:sz="8" w:color="0000FF"/>
              <w:bottom w:val="single" w:sz="8" w:color="CCEEFF"/>
            </w:tcBorders>
            <w:gridSpan w:val="15"/>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880" w:type="dxa"/>
            <w:vAlign w:val="bottom"/>
            <w:shd w:val="clear" w:color="auto" w:fill="CCEEFF"/>
          </w:tcPr>
          <w:p>
            <w:pPr>
              <w:spacing w:after="0"/>
              <w:rPr>
                <w:sz w:val="14"/>
                <w:szCs w:val="14"/>
                <w:color w:val="auto"/>
              </w:rPr>
            </w:pPr>
          </w:p>
        </w:tc>
        <w:tc>
          <w:tcPr>
            <w:tcW w:w="10440" w:type="dxa"/>
            <w:vAlign w:val="bottom"/>
            <w:gridSpan w:val="45"/>
            <w:shd w:val="clear" w:color="auto" w:fill="CCEEFF"/>
          </w:tcPr>
          <w:p>
            <w:pPr>
              <w:ind w:left="20"/>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defined therein) (filed as Exhibit 4.3 to Tredegar's Current Report on Form 8-K (File No. 1-10258), filed on June 30, 2022, and incorporated</w:t>
              </w:r>
            </w:hyperlink>
          </w:p>
        </w:tc>
      </w:tr>
      <w:tr>
        <w:trPr>
          <w:trHeight w:val="176"/>
        </w:trPr>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0000FF"/>
              <w:bottom w:val="single" w:sz="8" w:color="0000FF"/>
            </w:tcBorders>
            <w:shd w:val="clear" w:color="auto" w:fill="CCEEFF"/>
          </w:tcPr>
          <w:p>
            <w:pPr>
              <w:ind w:left="20"/>
              <w:spacing w:after="0" w:line="156"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herein by reference)</w:t>
              </w:r>
            </w:hyperlink>
          </w:p>
        </w:tc>
        <w:tc>
          <w:tcPr>
            <w:tcW w:w="8680" w:type="dxa"/>
            <w:vAlign w:val="bottom"/>
            <w:tcBorders>
              <w:top w:val="single" w:sz="8" w:color="0000FF"/>
              <w:bottom w:val="single" w:sz="8" w:color="CCEEFF"/>
            </w:tcBorders>
            <w:gridSpan w:val="29"/>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440" w:type="dxa"/>
            <w:vAlign w:val="bottom"/>
            <w:gridSpan w:val="45"/>
          </w:tcPr>
          <w:p>
            <w:pPr>
              <w:ind w:left="20"/>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No. 1 to Second Amended and Restated Credit Agreement, dated as of November 29, 2022, among Tredegar Corporation, as</w:t>
              </w:r>
            </w:hyperlink>
          </w:p>
        </w:tc>
      </w:tr>
      <w:tr>
        <w:trPr>
          <w:trHeight w:val="155"/>
        </w:trPr>
        <w:tc>
          <w:tcPr>
            <w:tcW w:w="880" w:type="dxa"/>
            <w:vAlign w:val="bottom"/>
          </w:tcPr>
          <w:p>
            <w:pPr>
              <w:spacing w:after="0"/>
              <w:rPr>
                <w:sz w:val="13"/>
                <w:szCs w:val="13"/>
                <w:color w:val="auto"/>
              </w:rPr>
            </w:pPr>
          </w:p>
        </w:tc>
        <w:tc>
          <w:tcPr>
            <w:tcW w:w="9940" w:type="dxa"/>
            <w:vAlign w:val="bottom"/>
            <w:tcBorders>
              <w:top w:val="single" w:sz="8" w:color="0000FF"/>
            </w:tcBorders>
            <w:gridSpan w:val="20"/>
          </w:tcPr>
          <w:p>
            <w:pPr>
              <w:ind w:left="20"/>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borrower, the lenders named therein, JPMorgan Chase Bank, N.A., as administrative agent, Citizens Bank, N.A. and PNC Bank, National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80" w:type="dxa"/>
            <w:vAlign w:val="bottom"/>
          </w:tcPr>
          <w:p>
            <w:pPr>
              <w:spacing w:after="0"/>
              <w:rPr>
                <w:sz w:val="14"/>
                <w:szCs w:val="14"/>
                <w:color w:val="auto"/>
              </w:rPr>
            </w:pPr>
          </w:p>
        </w:tc>
        <w:tc>
          <w:tcPr>
            <w:tcW w:w="9900" w:type="dxa"/>
            <w:vAlign w:val="bottom"/>
            <w:tcBorders>
              <w:top w:val="single" w:sz="8" w:color="0000FF"/>
            </w:tcBorders>
            <w:gridSpan w:val="18"/>
          </w:tcPr>
          <w:p>
            <w:pPr>
              <w:ind w:left="20"/>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Association, as co-syndication agents, and Bank of America, N.A., U.S. Bank National Association and Wells Fargo Bank, National</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0440" w:type="dxa"/>
            <w:vAlign w:val="bottom"/>
            <w:gridSpan w:val="45"/>
          </w:tcPr>
          <w:p>
            <w:pPr>
              <w:ind w:left="20"/>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Association, as co-documentation agents, and the other lenders party thereto (filed as Exhibit 10.1 of Tredegar's Second Quarter 2023 Form</w:t>
              </w:r>
            </w:hyperlink>
          </w:p>
        </w:tc>
      </w:tr>
      <w:tr>
        <w:trPr>
          <w:trHeight w:val="155"/>
        </w:trPr>
        <w:tc>
          <w:tcPr>
            <w:tcW w:w="880" w:type="dxa"/>
            <w:vAlign w:val="bottom"/>
          </w:tcPr>
          <w:p>
            <w:pPr>
              <w:spacing w:after="0"/>
              <w:rPr>
                <w:sz w:val="13"/>
                <w:szCs w:val="13"/>
                <w:color w:val="auto"/>
              </w:rPr>
            </w:pPr>
          </w:p>
        </w:tc>
        <w:tc>
          <w:tcPr>
            <w:tcW w:w="10080" w:type="dxa"/>
            <w:vAlign w:val="bottom"/>
            <w:tcBorders>
              <w:top w:val="single" w:sz="8" w:color="0000FF"/>
            </w:tcBorders>
            <w:gridSpan w:val="27"/>
          </w:tcPr>
          <w:p>
            <w:pPr>
              <w:ind w:left="20"/>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10-Q (File No. 1-10258), filed on August 9, 2023, and incorporated herein by reference).</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80" w:type="dxa"/>
            <w:vAlign w:val="bottom"/>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440" w:type="dxa"/>
            <w:vAlign w:val="bottom"/>
            <w:gridSpan w:val="45"/>
            <w:shd w:val="clear" w:color="auto" w:fill="CCEEFF"/>
          </w:tcPr>
          <w:p>
            <w:pPr>
              <w:ind w:left="20"/>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2 to Second Amended and Restated Credit Agreement, dated as of August 3, 2023, among Tredegar Corporation, as borrower,</w:t>
              </w:r>
            </w:hyperlink>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10420" w:type="dxa"/>
            <w:vAlign w:val="bottom"/>
            <w:tcBorders>
              <w:top w:val="single" w:sz="8" w:color="0000FF"/>
            </w:tcBorders>
            <w:gridSpan w:val="44"/>
            <w:shd w:val="clear" w:color="auto" w:fill="CCEEFF"/>
          </w:tcPr>
          <w:p>
            <w:pPr>
              <w:ind w:left="20"/>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 lenders named therein, JPMorgan Chase Bank, N.A., as administrative agent, Citizens Bank, N.A. and PNC Bank, National Association, as</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880" w:type="dxa"/>
            <w:vAlign w:val="bottom"/>
            <w:tcBorders>
              <w:top w:val="single" w:sz="8" w:color="CCEEFF"/>
            </w:tcBorders>
            <w:shd w:val="clear" w:color="auto" w:fill="CCEEFF"/>
          </w:tcPr>
          <w:p>
            <w:pPr>
              <w:spacing w:after="0"/>
              <w:rPr>
                <w:sz w:val="14"/>
                <w:szCs w:val="14"/>
                <w:color w:val="auto"/>
              </w:rPr>
            </w:pPr>
          </w:p>
        </w:tc>
        <w:tc>
          <w:tcPr>
            <w:tcW w:w="10380" w:type="dxa"/>
            <w:vAlign w:val="bottom"/>
            <w:tcBorders>
              <w:top w:val="single" w:sz="8" w:color="0000FF"/>
            </w:tcBorders>
            <w:gridSpan w:val="42"/>
            <w:shd w:val="clear" w:color="auto" w:fill="CCEEFF"/>
          </w:tcPr>
          <w:p>
            <w:pPr>
              <w:ind w:left="20"/>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co-syndication agents, and Bank of America, N.A., U.S. Bank National Association and Wells Fargo Bank, National Association, as co-</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155"/>
        </w:trPr>
        <w:tc>
          <w:tcPr>
            <w:tcW w:w="88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6"/>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documentation agents, and the other lenders party thereto (filed as Exhibit 10.2 of Tredegar's Second Quarter 2023 Form 10-Q (File No.</w:t>
              </w:r>
            </w:hyperlink>
          </w:p>
        </w:tc>
        <w:tc>
          <w:tcPr>
            <w:tcW w:w="240" w:type="dxa"/>
            <w:vAlign w:val="bottom"/>
            <w:tcBorders>
              <w:top w:val="single" w:sz="8" w:color="CCEEFF"/>
            </w:tcBorders>
            <w:gridSpan w:val="9"/>
            <w:shd w:val="clear" w:color="auto" w:fill="CCEEFF"/>
          </w:tcPr>
          <w:p>
            <w:pPr>
              <w:jc w:val="right"/>
              <w:ind w:right="40"/>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gridSpan w:val="10"/>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5160" w:type="dxa"/>
            <w:vAlign w:val="bottom"/>
            <w:tcBorders>
              <w:top w:val="single" w:sz="8" w:color="0000FF"/>
              <w:bottom w:val="single" w:sz="8" w:color="0000FF"/>
            </w:tcBorders>
            <w:gridSpan w:val="5"/>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10258)</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on August 9, 2023, and incorporated herein by reference).</w:t>
              </w:r>
            </w:hyperlink>
          </w:p>
        </w:tc>
        <w:tc>
          <w:tcPr>
            <w:tcW w:w="48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060" w:type="dxa"/>
            <w:vAlign w:val="bottom"/>
            <w:tcBorders>
              <w:bottom w:val="single" w:sz="8" w:color="0000FF"/>
            </w:tcBorders>
            <w:gridSpan w:val="26"/>
          </w:tcPr>
          <w:p>
            <w:pPr>
              <w:ind w:left="20"/>
              <w:spacing w:after="0" w:line="18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Amendment No. 3, dated December 27, 2023, to the Second Amended and Restated Credit Agreement, dated June 29, 2022, by and among</w:t>
              </w:r>
            </w:hyperlink>
          </w:p>
        </w:tc>
        <w:tc>
          <w:tcPr>
            <w:tcW w:w="380" w:type="dxa"/>
            <w:vAlign w:val="bottom"/>
            <w:gridSpan w:val="19"/>
          </w:tcPr>
          <w:p>
            <w:pPr>
              <w:spacing w:after="0"/>
              <w:rPr>
                <w:sz w:val="16"/>
                <w:szCs w:val="16"/>
                <w:color w:val="auto"/>
              </w:rPr>
            </w:pPr>
          </w:p>
        </w:tc>
      </w:tr>
      <w:tr>
        <w:trPr>
          <w:trHeight w:val="155"/>
        </w:trPr>
        <w:tc>
          <w:tcPr>
            <w:tcW w:w="880" w:type="dxa"/>
            <w:vAlign w:val="bottom"/>
          </w:tcPr>
          <w:p>
            <w:pPr>
              <w:spacing w:after="0"/>
              <w:rPr>
                <w:sz w:val="13"/>
                <w:szCs w:val="13"/>
                <w:color w:val="auto"/>
              </w:rPr>
            </w:pPr>
          </w:p>
        </w:tc>
        <w:tc>
          <w:tcPr>
            <w:tcW w:w="10440" w:type="dxa"/>
            <w:vAlign w:val="bottom"/>
            <w:gridSpan w:val="45"/>
          </w:tcPr>
          <w:p>
            <w:pPr>
              <w:ind w:left="2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Tredegar Corporation, as borrower, certain of Tredegar Corporation’s material domestic subsidiaries, as guarantors, the lenders named therein,</w:t>
              </w:r>
            </w:hyperlink>
          </w:p>
        </w:tc>
      </w:tr>
      <w:tr>
        <w:trPr>
          <w:trHeight w:val="169"/>
        </w:trPr>
        <w:tc>
          <w:tcPr>
            <w:tcW w:w="880" w:type="dxa"/>
            <w:vAlign w:val="bottom"/>
          </w:tcPr>
          <w:p>
            <w:pPr>
              <w:spacing w:after="0"/>
              <w:rPr>
                <w:sz w:val="14"/>
                <w:szCs w:val="14"/>
                <w:color w:val="auto"/>
              </w:rPr>
            </w:pPr>
          </w:p>
        </w:tc>
        <w:tc>
          <w:tcPr>
            <w:tcW w:w="10300" w:type="dxa"/>
            <w:vAlign w:val="bottom"/>
            <w:tcBorders>
              <w:top w:val="single" w:sz="8" w:color="0000FF"/>
              <w:bottom w:val="single" w:sz="8" w:color="0000FF"/>
            </w:tcBorders>
            <w:gridSpan w:val="38"/>
          </w:tcPr>
          <w:p>
            <w:pPr>
              <w:ind w:left="20"/>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JPMorgan Chase Bank, N.A., as administrative agent, Citizens Bank, N.A. and PNC Bank, National Association, as co-syndication agents, and</w:t>
              </w:r>
            </w:hyperlink>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400" w:type="dxa"/>
            <w:vAlign w:val="bottom"/>
            <w:gridSpan w:val="43"/>
          </w:tcPr>
          <w:p>
            <w:pPr>
              <w:ind w:left="2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Bank of America, N.A., U.S. Bank National Association and Wells Fargo Bank, National Association, as co-documentation agents (filed as</w:t>
              </w:r>
            </w:hyperlink>
          </w:p>
        </w:tc>
        <w:tc>
          <w:tcPr>
            <w:tcW w:w="40" w:type="dxa"/>
            <w:vAlign w:val="bottom"/>
            <w:gridSpan w:val="2"/>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6"/>
          </w:tcPr>
          <w:p>
            <w:pPr>
              <w:ind w:left="20"/>
              <w:spacing w:after="0" w:line="156"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Exhibit 4.1 to Tredegar’s Current Report on Form 8-K (File No. 1-10258), filed on December 28, 2023, and incorporated herein by reference)</w:t>
              </w:r>
            </w:hyperlink>
          </w:p>
        </w:tc>
        <w:tc>
          <w:tcPr>
            <w:tcW w:w="260" w:type="dxa"/>
            <w:vAlign w:val="bottom"/>
            <w:tcBorders>
              <w:bottom w:val="single" w:sz="8" w:color="0000FF"/>
            </w:tcBorders>
            <w:gridSpan w:val="13"/>
          </w:tcPr>
          <w:p>
            <w:pPr>
              <w:jc w:val="right"/>
              <w:ind w:right="6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w:t>
              </w:r>
            </w:hyperlink>
          </w:p>
        </w:tc>
        <w:tc>
          <w:tcPr>
            <w:tcW w:w="120" w:type="dxa"/>
            <w:vAlign w:val="bottom"/>
            <w:gridSpan w:val="6"/>
          </w:tcPr>
          <w:p>
            <w:pPr>
              <w:spacing w:after="0"/>
              <w:rPr>
                <w:sz w:val="13"/>
                <w:szCs w:val="13"/>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440" w:type="dxa"/>
            <w:vAlign w:val="bottom"/>
            <w:gridSpan w:val="45"/>
          </w:tcPr>
          <w:p>
            <w:pPr>
              <w:ind w:left="2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Third Amended and Restated Pledge and Security Agreement, dated as of December 27, 2023, by and among Tredegar Corporation and the</w:t>
              </w:r>
            </w:hyperlink>
          </w:p>
        </w:tc>
      </w:tr>
      <w:tr>
        <w:trPr>
          <w:trHeight w:val="155"/>
        </w:trPr>
        <w:tc>
          <w:tcPr>
            <w:tcW w:w="88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6"/>
          </w:tcPr>
          <w:p>
            <w:pPr>
              <w:ind w:left="20"/>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subsidiaries of Tredegar Corporation listed on the signature pages thereto and JPMorgan Chase Bank, N.A., as administrative agent, for the</w:t>
              </w:r>
            </w:hyperlink>
          </w:p>
        </w:tc>
        <w:tc>
          <w:tcPr>
            <w:tcW w:w="40" w:type="dxa"/>
            <w:vAlign w:val="bottom"/>
            <w:tcBorders>
              <w:top w:val="single" w:sz="8" w:color="0000FF"/>
            </w:tcBorders>
            <w:gridSpan w:val="2"/>
          </w:tcPr>
          <w:p>
            <w:pPr>
              <w:spacing w:after="0"/>
              <w:rPr>
                <w:sz w:val="13"/>
                <w:szCs w:val="13"/>
                <w:color w:val="auto"/>
              </w:rPr>
            </w:pPr>
          </w:p>
        </w:tc>
        <w:tc>
          <w:tcPr>
            <w:tcW w:w="340" w:type="dxa"/>
            <w:vAlign w:val="bottom"/>
            <w:gridSpan w:val="17"/>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488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900" w:right="220"/>
        <w:spacing w:after="0" w:line="22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ratable benefit of the Secured Parties (as defined therein) (filed as Exhibit 4.1 to Tredegar’s Current Report on Form 8-K (File No. 1-10258),</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filed on December 28, 2023,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6" w:name="page77"/>
    <w:bookmarkEnd w:id="76"/>
    <w:p>
      <w:pPr>
        <w:ind w:left="880" w:right="360" w:hanging="863"/>
        <w:spacing w:after="0" w:line="256"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35">
        <w:r>
          <w:rPr>
            <w:rFonts w:ascii="Times New Roman" w:cs="Times New Roman" w:eastAsia="Times New Roman" w:hAnsi="Times New Roman"/>
            <w:sz w:val="17"/>
            <w:szCs w:val="17"/>
            <w:u w:val="single" w:color="auto"/>
            <w:color w:val="0000FF"/>
          </w:rPr>
          <w:t>Reorganization and Distribution Agreement, dated as of June 1, 1989, between Tredegar and Ethyl Corporation (filed as Exhibit 10.1 to</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Tredegar’s Annual Report on Form 10-K (File No. 1-10258) for the year ended December 31, 2004, and incorporated herein by reference)</w:t>
        </w:r>
      </w:hyperlink>
    </w:p>
    <w:p>
      <w:pPr>
        <w:spacing w:after="0" w:line="1" w:lineRule="exact"/>
        <w:rPr>
          <w:sz w:val="20"/>
          <w:szCs w:val="20"/>
          <w:color w:val="auto"/>
        </w:rPr>
      </w:pPr>
    </w:p>
    <w:p>
      <w:pPr>
        <w:ind w:left="880" w:right="10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36">
        <w:r>
          <w:rPr>
            <w:rFonts w:ascii="Times New Roman" w:cs="Times New Roman" w:eastAsia="Times New Roman" w:hAnsi="Times New Roman"/>
            <w:sz w:val="18"/>
            <w:szCs w:val="18"/>
            <w:u w:val="single" w:color="auto"/>
            <w:color w:val="0000FF"/>
          </w:rPr>
          <w:t>Employee Benefits Agreement, dated as of June 1, 1989, between Tredegar and Ethyl Corporation (filed as Exhibit 10.2 to Tredegar’s Annual</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Report on 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6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38">
        <w:r>
          <w:rPr>
            <w:rFonts w:ascii="Times New Roman" w:cs="Times New Roman" w:eastAsia="Times New Roman" w:hAnsi="Times New Roman"/>
            <w:sz w:val="18"/>
            <w:szCs w:val="18"/>
            <w:u w:val="single" w:color="auto"/>
            <w:color w:val="0000FF"/>
          </w:rPr>
          <w:t>Tax Sharing Agreement, dated as of June 1, 1989, between Tredegar and Ethyl Corporation (filed as Exhibit 10.3 to Tredegar’s Annual Report</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on Form 10-K (File No. 1-10258) for the year ended December 31, 2004, and incorporated herein by reference)</w:t>
        </w:r>
      </w:hyperlink>
    </w:p>
    <w:p>
      <w:pPr>
        <w:spacing w:after="0" w:line="10" w:lineRule="exact"/>
        <w:rPr>
          <w:sz w:val="20"/>
          <w:szCs w:val="20"/>
          <w:color w:val="auto"/>
        </w:rPr>
      </w:pPr>
    </w:p>
    <w:p>
      <w:pPr>
        <w:ind w:left="880" w:right="32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39">
        <w:r>
          <w:rPr>
            <w:rFonts w:ascii="Times New Roman" w:cs="Times New Roman" w:eastAsia="Times New Roman" w:hAnsi="Times New Roman"/>
            <w:sz w:val="18"/>
            <w:szCs w:val="18"/>
            <w:u w:val="single" w:color="auto"/>
            <w:color w:val="0000FF"/>
          </w:rPr>
          <w:t>Indemnification Agreement, dated as of June 1, 1989, between Tredegar and Ethyl Corporation (filed as Exhibit 10.4 to Tredegar’s Annual</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Report on 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41">
        <w:r>
          <w:rPr>
            <w:rFonts w:ascii="Times New Roman" w:cs="Times New Roman" w:eastAsia="Times New Roman" w:hAnsi="Times New Roman"/>
            <w:sz w:val="17"/>
            <w:szCs w:val="17"/>
            <w:u w:val="single" w:color="auto"/>
            <w:color w:val="0000FF"/>
          </w:rPr>
          <w:t>Tredegar Industries, Inc. Retirement Benefit Restoration Plan (filed as Exhibit 10.7 to Tredegar’s Annual Report on Form 10-K (File No. 1-</w:t>
        </w:r>
      </w:hyperlink>
    </w:p>
    <w:p>
      <w:pPr>
        <w:ind w:left="8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10258) for the year ended December 31, 2004, and incorporated herein by reference)</w:t>
        </w:r>
      </w:hyperlink>
    </w:p>
    <w:p>
      <w:pPr>
        <w:spacing w:after="0" w:line="5"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*10.6.1</w:t>
      </w:r>
      <w:r>
        <w:rPr>
          <w:sz w:val="20"/>
          <w:szCs w:val="20"/>
          <w:color w:val="auto"/>
        </w:rPr>
        <w:tab/>
      </w:r>
      <w:hyperlink r:id="rId142">
        <w:r>
          <w:rPr>
            <w:rFonts w:ascii="Times New Roman" w:cs="Times New Roman" w:eastAsia="Times New Roman" w:hAnsi="Times New Roman"/>
            <w:sz w:val="17"/>
            <w:szCs w:val="17"/>
            <w:u w:val="single" w:color="auto"/>
            <w:color w:val="0000FF"/>
          </w:rPr>
          <w:t>Amendment to the Tredegar Industries, Inc. Retirement Benefit Restoration Plan (filed as Exhibit 10.7.1 to Tredegar’s Annual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32320" cy="265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10-K (File No. 1-10258) for the year ended December 31, 2004, and incorporated herein by reference)</w:t>
        </w:r>
      </w:hyperlink>
    </w:p>
    <w:p>
      <w:pPr>
        <w:spacing w:after="0" w:line="5"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44">
        <w:r>
          <w:rPr>
            <w:rFonts w:ascii="Times New Roman" w:cs="Times New Roman" w:eastAsia="Times New Roman" w:hAnsi="Times New Roman"/>
            <w:sz w:val="17"/>
            <w:szCs w:val="17"/>
            <w:u w:val="single" w:color="auto"/>
            <w:color w:val="0000FF"/>
          </w:rPr>
          <w:t>Tredegar Industries, Inc. Savings Plan Benefit Restoration Plan (filed as Exhibit 10.6 to Tredegar’s Annual Report on Form 10-K (File No. 1-</w:t>
        </w:r>
      </w:hyperlink>
    </w:p>
    <w:p>
      <w:pPr>
        <w:ind w:left="8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10258) for the year ended December 31, 2013, and incorporated herein by reference)</w:t>
        </w:r>
      </w:hyperlink>
    </w:p>
    <w:p>
      <w:pPr>
        <w:spacing w:after="0" w:line="16" w:lineRule="exact"/>
        <w:rPr>
          <w:sz w:val="20"/>
          <w:szCs w:val="20"/>
          <w:color w:val="auto"/>
        </w:rPr>
      </w:pPr>
    </w:p>
    <w:p>
      <w:pPr>
        <w:ind w:left="880" w:right="180" w:hanging="863"/>
        <w:spacing w:after="0" w:line="22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*10.7.1</w:t>
      </w:r>
      <w:r>
        <w:rPr>
          <w:sz w:val="20"/>
          <w:szCs w:val="20"/>
          <w:color w:val="auto"/>
        </w:rPr>
        <w:tab/>
      </w:r>
      <w:hyperlink r:id="rId145">
        <w:r>
          <w:rPr>
            <w:rFonts w:ascii="Times New Roman" w:cs="Times New Roman" w:eastAsia="Times New Roman" w:hAnsi="Times New Roman"/>
            <w:sz w:val="18"/>
            <w:szCs w:val="18"/>
            <w:u w:val="single" w:color="auto"/>
            <w:color w:val="0000FF"/>
          </w:rPr>
          <w:t>Resolutions of the Executive Committee of the Board of Directors of Tredegar adopted on December 28, 2004 (effective as of December 31,</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2004) amending the Tredegar Corporation Retirement Savings Plan Benefit Restoration Plan (filed as Exhibit 10.9.1 to Tredegar’s Current</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Report on Form 8-K (File No. 1-10258), filed on December 30, 2004, and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32320"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880" w:right="32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47">
        <w:r>
          <w:rPr>
            <w:rFonts w:ascii="Times New Roman" w:cs="Times New Roman" w:eastAsia="Times New Roman" w:hAnsi="Times New Roman"/>
            <w:sz w:val="18"/>
            <w:szCs w:val="18"/>
            <w:u w:val="single" w:color="auto"/>
            <w:color w:val="0000FF"/>
          </w:rPr>
          <w:t>Tredegar 2004 Equity Incentive Plan as Amended and Restated Effective March 27, 2009 (filed as Annex 1 to Tredegar’s Definitive Proxy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Statement on Schedule 14A (File No. 1-10258) filed on April 14, 2009 and incorporated herein by reference)</w:t>
        </w:r>
      </w:hyperlink>
    </w:p>
    <w:p>
      <w:pPr>
        <w:spacing w:after="0" w:line="10" w:lineRule="exact"/>
        <w:rPr>
          <w:sz w:val="20"/>
          <w:szCs w:val="20"/>
          <w:color w:val="auto"/>
        </w:rPr>
      </w:pPr>
    </w:p>
    <w:p>
      <w:pPr>
        <w:ind w:left="880" w:right="8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48">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10.3 to Tredegar’s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Current Report on Form 8-K (File No. 1-10258), filed on February 27, 2013,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50">
        <w:r>
          <w:rPr>
            <w:rFonts w:ascii="Times New Roman" w:cs="Times New Roman" w:eastAsia="Times New Roman" w:hAnsi="Times New Roman"/>
            <w:sz w:val="17"/>
            <w:szCs w:val="17"/>
            <w:u w:val="single" w:color="auto"/>
            <w:color w:val="0000FF"/>
          </w:rPr>
          <w:t>Form of Notice of Stock Unit Award and Stock Unit Award Terms and Conditions (filed as Exhibit 10.1 to Tredegar’s Current Report on Form</w:t>
        </w:r>
      </w:hyperlink>
    </w:p>
    <w:p>
      <w:pPr>
        <w:ind w:left="88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8-K (File No. 1-10258), filed on March 1, 2016, and incorporated herein by reference)</w:t>
        </w:r>
      </w:hyperlink>
    </w:p>
    <w:p>
      <w:pPr>
        <w:spacing w:after="0" w:line="16" w:lineRule="exact"/>
        <w:rPr>
          <w:sz w:val="20"/>
          <w:szCs w:val="20"/>
          <w:color w:val="auto"/>
        </w:rPr>
      </w:pPr>
    </w:p>
    <w:p>
      <w:pPr>
        <w:ind w:left="880" w:right="6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51">
        <w:r>
          <w:rPr>
            <w:rFonts w:ascii="Times New Roman" w:cs="Times New Roman" w:eastAsia="Times New Roman" w:hAnsi="Times New Roman"/>
            <w:sz w:val="18"/>
            <w:szCs w:val="18"/>
            <w:u w:val="single" w:color="auto"/>
            <w:color w:val="0000FF"/>
          </w:rPr>
          <w:t>Form of Notice of Stock Award and Stock Award Terms and Conditions (filed as Exhibit 10.2 to Tredegar’s Current Report on Form 8-K (File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No. 1-10258), filed on March 1, 2016,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12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53">
        <w:r>
          <w:rPr>
            <w:rFonts w:ascii="Times New Roman" w:cs="Times New Roman" w:eastAsia="Times New Roman" w:hAnsi="Times New Roman"/>
            <w:sz w:val="18"/>
            <w:szCs w:val="18"/>
            <w:u w:val="single" w:color="auto"/>
            <w:color w:val="0000FF"/>
          </w:rPr>
          <w:t>Form of Notice of Stock Award and Stock Award Terms and Conditions (filed as Exhibit 10.18 to Tredegar’s Quarterly Report on Form 10-Q</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(File No. 1-10258) for the quarterly period ended March 31, 2020, and incorporated herein by reference)</w:t>
        </w:r>
      </w:hyperlink>
    </w:p>
    <w:p>
      <w:pPr>
        <w:spacing w:after="0" w:line="10" w:lineRule="exact"/>
        <w:rPr>
          <w:sz w:val="20"/>
          <w:szCs w:val="20"/>
          <w:color w:val="auto"/>
        </w:rPr>
      </w:pPr>
    </w:p>
    <w:p>
      <w:pPr>
        <w:ind w:left="880" w:right="200" w:hanging="863"/>
        <w:spacing w:after="0" w:line="256"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54">
        <w:r>
          <w:rPr>
            <w:rFonts w:ascii="Times New Roman" w:cs="Times New Roman" w:eastAsia="Times New Roman" w:hAnsi="Times New Roman"/>
            <w:sz w:val="17"/>
            <w:szCs w:val="17"/>
            <w:u w:val="single" w:color="auto"/>
            <w:color w:val="0000FF"/>
          </w:rPr>
          <w:t>Form of Notice of Stock Appreciation Right Grant and Stock Appreciation Right Terms and Conditions (filed as Exhibit 10.19 to Tredegar’s</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Quarterly Report on Form 10-Q (File No. 1-10258) for the quarterly period ended March 31,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32320" cy="266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880" w:hanging="863"/>
        <w:spacing w:after="0" w:line="290"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56">
        <w:r>
          <w:rPr>
            <w:rFonts w:ascii="Times New Roman" w:cs="Times New Roman" w:eastAsia="Times New Roman" w:hAnsi="Times New Roman"/>
            <w:sz w:val="17"/>
            <w:szCs w:val="17"/>
            <w:u w:val="single" w:color="auto"/>
            <w:color w:val="0000FF"/>
          </w:rPr>
          <w:t>Form of Notice of Nonstatutory Stock Option Grant and Nonstatutory Stock Option Terms and Conditions (filed as Exhibit 10.20 to Tredegar’s</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Quarterly Report on Form 10-Q (File No. 1-10258) for the quarterly period ended March 31, 2020, and incorporated herein by reference)</w:t>
        </w:r>
      </w:hyperlink>
    </w:p>
    <w:p>
      <w:pPr>
        <w:ind w:left="880" w:right="18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57">
        <w:r>
          <w:rPr>
            <w:rFonts w:ascii="Times New Roman" w:cs="Times New Roman" w:eastAsia="Times New Roman" w:hAnsi="Times New Roman"/>
            <w:sz w:val="18"/>
            <w:szCs w:val="18"/>
            <w:u w:val="single" w:color="auto"/>
            <w:color w:val="0000FF"/>
          </w:rPr>
          <w:t>Tredegar 2018 Equity Incentive Plan, as amended and restated (filed as Annex A to Tredegar’s Definitive Proxy Statement on Schedule 14A</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(File No. 1-10258) filed on March 25,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80" w:hanging="863"/>
        <w:spacing w:after="0" w:line="23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59">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10.1 to Tredegar’s</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Current Report on Form 8-K (File No. 1-10258), filed on May 7, 2018, and incorporated herein by reference)</w:t>
        </w:r>
      </w:hyperlink>
    </w:p>
    <w:p>
      <w:pPr>
        <w:spacing w:after="0" w:line="10" w:lineRule="exact"/>
        <w:rPr>
          <w:sz w:val="20"/>
          <w:szCs w:val="20"/>
          <w:color w:val="auto"/>
        </w:rPr>
      </w:pPr>
    </w:p>
    <w:p>
      <w:pPr>
        <w:ind w:left="880" w:right="200" w:hanging="863"/>
        <w:spacing w:after="0" w:line="22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60">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10.3 to Tredegar</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Corporation’s Registration Statement on Form S-8 (Registration No. 333-230386), filed on March 19, 2019, and incorporated herein by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32320" cy="377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62">
        <w:r>
          <w:rPr>
            <w:rFonts w:ascii="Times New Roman" w:cs="Times New Roman" w:eastAsia="Times New Roman" w:hAnsi="Times New Roman"/>
            <w:sz w:val="17"/>
            <w:szCs w:val="17"/>
            <w:u w:val="single" w:color="auto"/>
            <w:color w:val="0000FF"/>
          </w:rPr>
          <w:t>Form of Executive Change-in-Control Severance Agreement (filed as Exhibit 10.1 of Tredegar’s Current Report on Form 8-K (File No. 1-</w:t>
        </w:r>
      </w:hyperlink>
    </w:p>
    <w:p>
      <w:pPr>
        <w:ind w:left="88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10258), filed on October 4, 2023, and incorporated herein by reference).</w:t>
        </w:r>
      </w:hyperlink>
    </w:p>
    <w:p>
      <w:pPr>
        <w:spacing w:after="0" w:line="16" w:lineRule="exact"/>
        <w:rPr>
          <w:rFonts w:ascii="Times New Roman" w:cs="Times New Roman" w:eastAsia="Times New Roman" w:hAnsi="Times New Roman"/>
          <w:sz w:val="18"/>
          <w:szCs w:val="18"/>
          <w:u w:val="single" w:color="auto"/>
          <w:color w:val="0000FF"/>
        </w:rPr>
      </w:pPr>
    </w:p>
    <w:p>
      <w:pPr>
        <w:jc w:val="both"/>
        <w:ind w:left="880" w:right="360" w:hanging="863"/>
        <w:spacing w:after="0" w:line="22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63">
        <w:r>
          <w:rPr>
            <w:rFonts w:ascii="Times New Roman" w:cs="Times New Roman" w:eastAsia="Times New Roman" w:hAnsi="Times New Roman"/>
            <w:sz w:val="18"/>
            <w:szCs w:val="18"/>
            <w:u w:val="single" w:color="auto"/>
            <w:color w:val="0000FF"/>
          </w:rPr>
          <w:t>Standard Buyout Commitment Agreement, dated October 31, 2023, by and between Tredegar Corporation and Massachusetts Mutual Life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Insurance Company (filed as Exhibit 10.1 of Tredegar's Current Report on Form 8-K (File No. 1-10258), filed on November 6, 2023, and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32320" cy="377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Tredegar</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KPMG LLP, Independent Registered Public Accounting Firm</w:t>
      </w:r>
    </w:p>
    <w:p>
      <w:pPr>
        <w:spacing w:after="0" w:line="6" w:lineRule="exact"/>
        <w:rPr>
          <w:rFonts w:ascii="Times New Roman" w:cs="Times New Roman" w:eastAsia="Times New Roman" w:hAnsi="Times New Roman"/>
          <w:sz w:val="18"/>
          <w:szCs w:val="18"/>
          <w:u w:val="single" w:color="auto"/>
          <w:color w:val="0000FF"/>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President and Chief Executive Officer (Principal Executive Officer) of Tredegar, pursuant to Rules 13a-14(a) and 15d-14(a)</w:t>
      </w:r>
    </w:p>
    <w:p>
      <w:pPr>
        <w:ind w:left="880"/>
        <w:spacing w:after="0"/>
        <w:rPr>
          <w:sz w:val="20"/>
          <w:szCs w:val="20"/>
          <w:color w:val="auto"/>
        </w:rPr>
      </w:pPr>
      <w:r>
        <w:rPr>
          <w:rFonts w:ascii="Times New Roman" w:cs="Times New Roman" w:eastAsia="Times New Roman" w:hAnsi="Times New Roman"/>
          <w:sz w:val="18"/>
          <w:szCs w:val="18"/>
          <w:u w:val="single" w:color="auto"/>
          <w:color w:val="0000FF"/>
        </w:rPr>
        <w:t>promulgated under the Securities Exchange Act of 1934, as adopted pursuant to Section 302 of the Sarbanes-Oxley Act of 2002</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7"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26" w:right="379" w:bottom="1440" w:gutter="0" w:footer="0" w:header="0"/>
        </w:sectPr>
      </w:pPr>
    </w:p>
    <w:bookmarkStart w:id="77" w:name="page78"/>
    <w:bookmarkEnd w:id="77"/>
    <w:p>
      <w:pPr>
        <w:ind w:left="880" w:right="120" w:hanging="863"/>
        <w:spacing w:after="0" w:line="256" w:lineRule="auto"/>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Vice President and Chief Financial Officer (Principal Financial Officer) of Tredegar, pursuant to Rules 13a-14(a) and 15d-14(a) promulgated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-260985</wp:posOffset>
            </wp:positionV>
            <wp:extent cx="7132320" cy="265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80" w:right="280" w:hanging="863"/>
        <w:spacing w:after="0" w:line="237" w:lineRule="auto"/>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President and Chief Executive Officer (Principal Executive Officer) of Tredegar, pursuant to 18 U.S.C. Section 1350, as adopted pursuant to Section 906 of the Sarbanes-Oxley Act of 2002</w:t>
      </w:r>
    </w:p>
    <w:p>
      <w:pPr>
        <w:spacing w:after="0" w:line="10" w:lineRule="exact"/>
        <w:rPr>
          <w:sz w:val="20"/>
          <w:szCs w:val="20"/>
          <w:color w:val="auto"/>
        </w:rPr>
      </w:pPr>
    </w:p>
    <w:p>
      <w:pPr>
        <w:ind w:left="880" w:hanging="863"/>
        <w:spacing w:after="0" w:line="237" w:lineRule="auto"/>
        <w:tabs>
          <w:tab w:leader="none" w:pos="8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Vice President and Chief Financial Officer (Principal Financial Officer) of Tredegar,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32320"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0000FF"/>
        </w:rPr>
        <w:t>Executive Incentive-based 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XBRL Instance Document and Related Items</w:t>
      </w:r>
    </w:p>
    <w:p>
      <w:pPr>
        <w:spacing w:after="0" w:line="2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iXBRL and contained in Exhibit 101)</w:t>
      </w:r>
    </w:p>
    <w:p>
      <w:pPr>
        <w:spacing w:after="0" w:line="126" w:lineRule="exact"/>
        <w:rPr>
          <w:sz w:val="20"/>
          <w:szCs w:val="20"/>
          <w:color w:val="auto"/>
        </w:rPr>
      </w:pPr>
    </w:p>
    <w:p>
      <w:pPr>
        <w:ind w:right="5320" w:firstLine="6"/>
        <w:spacing w:after="0" w:line="548" w:lineRule="auto"/>
        <w:tabs>
          <w:tab w:leader="none" w:pos="43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 + Filed herewith</w:t>
      </w:r>
    </w:p>
    <w:p>
      <w:pPr>
        <w:spacing w:after="0" w:line="35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026" w:right="6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3740" w:type="dxa"/>
            <w:vAlign w:val="bottom"/>
          </w:tcPr>
          <w:p>
            <w:pPr>
              <w:spacing w:after="0"/>
              <w:rPr>
                <w:sz w:val="20"/>
                <w:szCs w:val="20"/>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(Registrant)</w:t>
            </w:r>
          </w:p>
        </w:tc>
      </w:tr>
      <w:tr>
        <w:trPr>
          <w:trHeight w:val="37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15,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John M. Steitz</w:t>
            </w:r>
          </w:p>
        </w:tc>
      </w:tr>
      <w:tr>
        <w:trPr>
          <w:trHeight w:val="218"/>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John M. Steitz</w:t>
            </w:r>
          </w:p>
        </w:tc>
      </w:tr>
      <w:tr>
        <w:trPr>
          <w:trHeight w:val="234"/>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15,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28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8"/>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M. Steitz</w:t>
            </w:r>
          </w:p>
        </w:tc>
        <w:tc>
          <w:tcPr>
            <w:tcW w:w="7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(John M. Steitz)</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 Andrew Edwards</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 Andrew Edwards)</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4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38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Tredegar Corporation</w:t>
            </w:r>
          </w:p>
        </w:tc>
        <w:tc>
          <w:tcPr>
            <w:tcW w:w="1900" w:type="dxa"/>
            <w:vAlign w:val="bottom"/>
          </w:tcPr>
          <w:p>
            <w:pPr>
              <w:spacing w:after="0"/>
              <w:rPr>
                <w:sz w:val="24"/>
                <w:szCs w:val="24"/>
                <w:color w:val="auto"/>
              </w:rPr>
            </w:pPr>
          </w:p>
        </w:tc>
      </w:tr>
      <w:tr>
        <w:trPr>
          <w:trHeight w:val="474"/>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Entity</w:t>
            </w:r>
          </w:p>
        </w:tc>
        <w:tc>
          <w:tcPr>
            <w:tcW w:w="564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State of Incorporation</w:t>
            </w:r>
          </w:p>
        </w:tc>
      </w:tr>
      <w:tr>
        <w:trPr>
          <w:trHeight w:val="329"/>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Corporation</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Aluminum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Campo Limited Partnership</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Texas</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(Clearfield),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(Corporate),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(Elkhart),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(Niles),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 Campo GP,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Guangzhou Tredegar Film Products Company Limited</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China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Idlewood Properties,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TAC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Acquisition Corp. II</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Limitada</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Brazil</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Far East Corporation</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(Europe),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(Korea),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Republic of Korea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(Latin America),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Films Development,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Investments,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Investments II,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Performance Films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Surface Protection,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bl>
    <w:p>
      <w:pPr>
        <w:sectPr>
          <w:pgSz w:w="11900" w:h="16838" w:orient="portrait"/>
          <w:cols w:equalWidth="0" w:num="1">
            <w:col w:w="11220"/>
          </w:cols>
          <w:pgMar w:left="34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333-120132, No. 333-115423, No. 333-66562, No. 033-64647, No. 333-257153, and No. 333-230386) on Form S-8 of our reports dated March 15, 2024, with respect to the consolidated financial statements of Tredegar Corporation and the effectiveness of internal control over financial reporting.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98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51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00" w:lineRule="exact"/>
        <w:rPr>
          <w:sz w:val="20"/>
          <w:szCs w:val="20"/>
          <w:color w:val="auto"/>
        </w:rPr>
      </w:pPr>
    </w:p>
    <w:p>
      <w:pPr>
        <w:spacing w:after="0" w:line="3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2023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546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2023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546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INCENTIVE-BASED COMPENSATION RECOUPMENT POLICY</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of Tredegar Corporation (the “Company”), based on the recommendation of the Executive Compensation Committee of the Board of Directors (the “Committee”), approved and adopted this Executive Incentive-Based Compensation Recoupment Policy (this “Policy”), effective as of August 2, 2012, and as amended effective as of October 2, 2023 (the “Effective Date”). This Policy incorporates by reference the requirements of Section 954 of the Dodd-Frank Wall Street Reform and Consumer Protection Act (regarding recovery of erroneously awarded compensation) and its implementing rules and regulations thereunder, including Section 10D of the Securities Exchange Act of 1934, as amended (the “Exchange Act”), and the New York Stock Exchange (“NYSE”) listing standards (the “Clawback Rules”).</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purposes of this Policy are to (i) prevent the unjust enrichment of Covered Employees (as defined below) by permitting the Company to recover Incentive Awards (as defined below) that were received as a result of financial results that were later determined to be incorrect and (ii) mitigate the risk of manipulation of data used to determine the payment, issuance or vesting of Incentive Awards.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and the Committee are hereby authorized to take any actions, including those set forth in this Policy, to further the purposes of this Policy and to comply with the Clawback Rules.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Covered Employees</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Policy will apply to all incentive-based compensation, as described below (“Incentive Awards”), received on or after the Effective Date to current or former executive officers (“Covered Employees”). The term “executive officers” means the Company’s officers for purposes of Section 16 under the Exchange Act.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Covered Compensation</w:t>
      </w:r>
    </w:p>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term “incentive-based compensation” means any compensation that is granted, earned or vested based wholly or in part on the attainment of a financial reporting measure. The term “financial reporting measure” is (i) any measure that is determined and presented in accordance with U.S. generally accepted accounting principles used in preparing the Company’s financial statements, and any measure that is derived in whole or in part from such measure (e.g., revenue, net income, return on assets, etc.), (ii) stock price and/or (iii) total shareholder return (“TSR”). A financial reporting measure need not be presented within the Company’s financial statements or included in a filing with the Securities Exchange Commission.</w:t>
      </w:r>
    </w:p>
    <w:p>
      <w:pPr>
        <w:spacing w:after="0" w:line="21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Incentive Awards shall not include any salaries, discretionary bonuses, non-equity incentive plan awards earned upon satisfying a strategic measure or operational measure (e.g., completion of a project), or equity-based awards that are not contingent on achieving any financial reporting measure.</w:t>
      </w:r>
    </w:p>
    <w:p>
      <w:pPr>
        <w:spacing w:after="0" w:line="20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An Incentive Award is deemed “received” in the Company’s fiscal period during which the financial reporting measure specified in the Incentive Award is attained, even if the payment or grant of the Incentive Award occurs after the end of that period.</w:t>
      </w:r>
    </w:p>
    <w:p>
      <w:pPr>
        <w:spacing w:after="0" w:line="18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Each annual incentive plan or agreement documenting an Incentive Award that is granted to a Covered Employee on or after the Effective Date will include a provision requiring (i) that the Covered Employee acknowledge and accept the terms and conditions of this Policy and (ii) that the Covered Employee’s eligibility to receive such Incentive Award is contingent upon such acknowledgement and acceptance, as in effect on the date that the annual incentive plan is adopted or applicable Incentive Award is granted.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Required Clawback; Accounting Restatement</w:t>
      </w:r>
    </w:p>
    <w:p>
      <w:pPr>
        <w:spacing w:after="0" w:line="252"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prepare an accounting restatement of its consolidated financial statements due to the material noncompliance by the Company with any financial reporting requirement under the U.S. federal securities laws, including any required accounting restatement to correct an error in previously issued</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statements that is material to the previously issued financial statements, or that would result in a material misstatement if the error were corrected in the current period or left uncorrected in the current period (“Financial Restatement Trigger”), the Board of Directors or the Committee will determine whether any Erroneously Awarded Compensation (as defined below) must be clawed back pursuant to this Policy.</w:t>
      </w:r>
    </w:p>
    <w:p>
      <w:pPr>
        <w:spacing w:after="0" w:line="20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Solely with respect to Incentive Awards that are subject to recovery due to a Financial Restatement Trigger, the Board of Directors or the Committee will consider the accountability of any Covered Employee whose acts or omissions were responsible in whole or in part for the events that led to the restatement and whether such acts or omissions constituted fraud or misconduct. In the event that the Board of Directors or the Committee determines that a Covered Employee’s acts or omissions constituted fraud or misconduct, the Board of Directors or the Committee, in addition to the recovery of Incentive Awards, as provided above, may (but shall not be obligated to) (i) take (in the case of the Board of Directors), or recommend to the Board of Directors (in the case of the Committee), disciplinary action, including termination, and (ii) pursue other available remedies, including legal action.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Clawback Amount</w:t>
      </w:r>
    </w:p>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amount required to be recouped due to a Financial Restatement Trigger will be the amount received by a Covered Employee in excess of the amount that would have been paid to the Covered Employee absent the restatement, calculated on a pre-tax basis (“Erroneously Awarded Compensation”). If the amount of Erroneously Awarded Compensation cannot be determined directly from the information in the accounting restatement, then the Board of Directors or Committee shall make its determination based on a reasonable estimate of the effect of the accounting restatement and will maintain and provide documentation of the estimate to the NYSE.</w:t>
      </w:r>
    </w:p>
    <w:p>
      <w:pPr>
        <w:spacing w:after="0" w:line="21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following a restatement of the Company’s consolidated financial statements, the Board of Directors or the Committee shall cause the Company to recover any compensation received by the Chief Executive Officer and Chief Financial Officer that is required to be recovered by Section 304 of the Sarbanes-Oxley Act of 2002.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not indemnify any Covered Employee against the loss of any Erroneously Awarded Compensation.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Clawback Methodology</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Board of Directors or the Committee determines that a Covered Employee received Erroneously Awarded Compensation, the Company will reasonably promptly recover from such Covered Employee the Erroneously Awarded Compensation, except to the extent the Committee or a majority of independent directors has determined that recovery would be impracticable solely for the following reasons, and subject to the following procedural and disclosure requirements:</w:t>
      </w:r>
    </w:p>
    <w:p>
      <w:pPr>
        <w:spacing w:after="0" w:line="207" w:lineRule="exact"/>
        <w:rPr>
          <w:sz w:val="20"/>
          <w:szCs w:val="20"/>
          <w:color w:val="auto"/>
        </w:rPr>
      </w:pPr>
    </w:p>
    <w:p>
      <w:pPr>
        <w:ind w:left="660" w:right="180" w:hanging="328"/>
        <w:spacing w:after="0" w:line="261" w:lineRule="auto"/>
        <w:tabs>
          <w:tab w:leader="none" w:pos="6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Committee must make a reasonable attempt to recover such erroneously awarded compensation, document such reasonable attempt(s) to recover and provide that documentation to NYSE;</w:t>
      </w:r>
    </w:p>
    <w:p>
      <w:pPr>
        <w:spacing w:after="0" w:line="207" w:lineRule="exact"/>
        <w:rPr>
          <w:sz w:val="20"/>
          <w:szCs w:val="20"/>
          <w:color w:val="auto"/>
        </w:rPr>
      </w:pPr>
    </w:p>
    <w:p>
      <w:pPr>
        <w:ind w:left="660" w:right="300" w:hanging="328"/>
        <w:spacing w:after="0" w:line="266" w:lineRule="auto"/>
        <w:tabs>
          <w:tab w:leader="none" w:pos="6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concluding that it would be impracticable to recover any amount of Erroneously Awarded Incentive Compensation based on violation of home country law, the Committee must satisfy the applicable opinion and disclosure requirements of the Clawback Rules; or</w:t>
      </w:r>
    </w:p>
    <w:p>
      <w:pPr>
        <w:spacing w:after="0" w:line="203" w:lineRule="exact"/>
        <w:rPr>
          <w:sz w:val="20"/>
          <w:szCs w:val="20"/>
          <w:color w:val="auto"/>
        </w:rPr>
      </w:pPr>
    </w:p>
    <w:p>
      <w:pPr>
        <w:ind w:left="660" w:right="60" w:hanging="328"/>
        <w:spacing w:after="0" w:line="282" w:lineRule="auto"/>
        <w:tabs>
          <w:tab w:leader="none" w:pos="6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or the Committee may, in its sole discretion, recover Incentive Awards in any manner (or combination thereof) permitted by law, including by (i) requiring repayment or return of prior Incentive Awards made to such Covered Employee, including Incentive Awards that were not affected by the accounting restatement, (ii) cancelling unvested Incentive Awards, (iii) offsetting the amount to be recovered from any compensation owed by the Company to the Covered Employee or (iv) adjusting the future compensation of such Covered Employee. All actions taken by the Company to recover Incentive Awards will be taken in accordance with applicable law and consistent with the provisions of Section 409A of the Internal Revenue Code of 1986, as amended, and the rules and regulations promulgated thereunder. In addition, the Company may enter into deferred payment plans with a Covered Employee to effectuate recoupment to avoid unreasonable economic hardship.</w:t>
      </w:r>
    </w:p>
    <w:p>
      <w:pPr>
        <w:spacing w:after="0" w:line="216"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The Company’s right to recover Incentive Awards based on a Financial Restatement Trigger will be limited to Incentive Awards received during the three fiscal years immediately preceding the earlier of the date the Board of Directors, a committee of the Board of Directors, or the officer or officers of the Company authorized to take such action if Board action is not required, concludes, or reasonably should have concluded, that an accounting restatement is required, or (y) the date a court, regulator or other legally authorized body directs the Company to prepare an accounting restatement.</w:t>
      </w:r>
    </w:p>
    <w:p>
      <w:pPr>
        <w:spacing w:after="0" w:line="19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the event of a clawback pursuant to this Policy, the Company may seek reimbursement from a Covered Employee for the costs (including legal fees) incurred in connection with the recovery of the Erroneously Awarded Compensation.</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event any recoupment of Erroneously Awarded Compensation is triggered pursuant to this Policy, the Company shall provide each affected Covered Employee with any documentation reasonably requested by such Covered Employee to allow him or her to provide evidence of the recoupment with his or her tax returns for the year of recoupment.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Administrative Authority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Committee shall have full and final authority to make all determinations under this Policy, including whether the Policy applies and the amount to be recovered from the Covered Employee. The Committee shall have full and final authority, in its sole discretion, to: (a) construe all terms, provisions, conditions, and limitations of this Policy, (b) correct any defect or to supply any omission or to reconcile any inconsistency that may appear in this Policy in such manner and to such extent as the Committee shall deem appropriate and (c) make all other determinations or take any actions necessary or advisable for the administration of this Policy. All determinations and decisions made by the Committee pursuant to the provisions of this Policy shall be final, conclusive and binding on all persons, including the Company, its subsidiaries, its shareholders and Covered Employees. The determination of the Committee or the Board of Directors need not be uniform with respect to one or more Covered Employees.</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members of the Committee, and any other members of the Board of Directors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of Directors under applicable law or Company policy.</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or the Committee may amend this Policy from time to time in its discretion and will amend this Policy as it deems necessary to comply with Section 10D of the Exchange Act, and to comply with the applicable rules or standards of the NYSE.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lvl w:ilvl="1">
      <w:lvlJc w:val="left"/>
      <w:lvlText w:val="%2."/>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lvl w:ilvl="1">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lvl w:ilvl="1">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7"/>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7" Type="http://schemas.openxmlformats.org/officeDocument/2006/relationships/image" Target="media/image113.png"/><Relationship Id="rId140" Type="http://schemas.openxmlformats.org/officeDocument/2006/relationships/image" Target="media/image114.png"/><Relationship Id="rId143" Type="http://schemas.openxmlformats.org/officeDocument/2006/relationships/image" Target="media/image115.png"/><Relationship Id="rId146" Type="http://schemas.openxmlformats.org/officeDocument/2006/relationships/image" Target="media/image116.png"/><Relationship Id="rId149" Type="http://schemas.openxmlformats.org/officeDocument/2006/relationships/image" Target="media/image117.png"/><Relationship Id="rId152" Type="http://schemas.openxmlformats.org/officeDocument/2006/relationships/image" Target="media/image118.png"/><Relationship Id="rId155" Type="http://schemas.openxmlformats.org/officeDocument/2006/relationships/image" Target="media/image119.png"/><Relationship Id="rId158" Type="http://schemas.openxmlformats.org/officeDocument/2006/relationships/image" Target="media/image120.png"/><Relationship Id="rId161"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18" Type="http://schemas.openxmlformats.org/officeDocument/2006/relationships/hyperlink" Target="https://www.sec.gov/Archives/edgar/data/850429/000119312523228143/d539320dex21.htm" TargetMode="External"/><Relationship Id="rId119" Type="http://schemas.openxmlformats.org/officeDocument/2006/relationships/hyperlink" Target="https://www.sec.gov/Archives/edgar/data/850429/000116923205001684/d62922_ex3-1.htm" TargetMode="External"/><Relationship Id="rId120" Type="http://schemas.openxmlformats.org/officeDocument/2006/relationships/hyperlink" Target="http://www.sec.gov/Archives/edgar/data/850429/000116923205001684/d62922_ex3-3.htm" TargetMode="External"/><Relationship Id="rId121" Type="http://schemas.openxmlformats.org/officeDocument/2006/relationships/hyperlink" Target="https://www.sec.gov/Archives/edgar/data/850429/000114036113023124/ex3_1.htm" TargetMode="External"/><Relationship Id="rId122" Type="http://schemas.openxmlformats.org/officeDocument/2006/relationships/hyperlink" Target="https://www.sec.gov/Archives/edgar/data/850429/000085042916000130/tg-ex31_20160504xamendarti.htm" TargetMode="External"/><Relationship Id="rId123" Type="http://schemas.openxmlformats.org/officeDocument/2006/relationships/hyperlink" Target="https://www.sec.gov/Archives/edgar/data/850429/000114036117009040/ex3_1.htm" TargetMode="External"/><Relationship Id="rId124" Type="http://schemas.openxmlformats.org/officeDocument/2006/relationships/hyperlink" Target="https://www.sec.gov/Archives/edgar/data/850429/000085042923000020/ex31-20230804bylaws.htm" TargetMode="External"/><Relationship Id="rId125" Type="http://schemas.openxmlformats.org/officeDocument/2006/relationships/hyperlink" Target="https://www.sec.gov/Archives/edgar/data/0000850429/000085042920000014/tg-ex41_20191231x10k.htm" TargetMode="External"/><Relationship Id="rId126" Type="http://schemas.openxmlformats.org/officeDocument/2006/relationships/hyperlink" Target="https://www.sec.gov/Archives/edgar/data/850429/000119312522186190/d376114dex41.htm" TargetMode="External"/><Relationship Id="rId127" Type="http://schemas.openxmlformats.org/officeDocument/2006/relationships/hyperlink" Target="https://www.sec.gov/Archives/edgar/data/850429/000119312522186190/d376114dex42.htm" TargetMode="External"/><Relationship Id="rId128" Type="http://schemas.openxmlformats.org/officeDocument/2006/relationships/hyperlink" Target="https://www.sec.gov/Archives/edgar/data/850429/000119312522186190/d376114dex43.htm" TargetMode="External"/><Relationship Id="rId129" Type="http://schemas.openxmlformats.org/officeDocument/2006/relationships/hyperlink" Target="https://www.sec.gov/Archives/edgar/data/850429/000085042923000023/tg-ex101_20230630x10q.htm" TargetMode="External"/><Relationship Id="rId130" Type="http://schemas.openxmlformats.org/officeDocument/2006/relationships/hyperlink" Target="https://www.sec.gov/Archives/edgar/data/850429/000085042923000023/tg-ex102_20230630x10q.htm" TargetMode="External"/><Relationship Id="rId131" Type="http://schemas.openxmlformats.org/officeDocument/2006/relationships/hyperlink" Target="https://www.sec.gov/Archives/edgar/data/850429/000119312523304471/d468304dex41.htm" TargetMode="External"/><Relationship Id="rId132" Type="http://schemas.openxmlformats.org/officeDocument/2006/relationships/hyperlink" Target="https://www.sec.gov/Archives/edgar/data/850429/000119312523304471/d468304dex42.htm" TargetMode="External"/><Relationship Id="rId135" Type="http://schemas.openxmlformats.org/officeDocument/2006/relationships/hyperlink" Target="http://www.sec.gov/Archives/edgar/data/850429/000116923205001684/d62922_ex10-1.htm" TargetMode="External"/><Relationship Id="rId136" Type="http://schemas.openxmlformats.org/officeDocument/2006/relationships/hyperlink" Target="http://www.sec.gov/Archives/edgar/data/850429/000116923205001684/d62922_ex10-2.htm" TargetMode="External"/><Relationship Id="rId138" Type="http://schemas.openxmlformats.org/officeDocument/2006/relationships/hyperlink" Target="http://www.sec.gov/Archives/edgar/data/850429/000116923205001684/d62922_ex10-3.htm" TargetMode="External"/><Relationship Id="rId139" Type="http://schemas.openxmlformats.org/officeDocument/2006/relationships/hyperlink" Target="http://www.sec.gov/Archives/edgar/data/850429/000116923205001684/d62922_ex10-4.htm" TargetMode="External"/><Relationship Id="rId141" Type="http://schemas.openxmlformats.org/officeDocument/2006/relationships/hyperlink" Target="http://www.sec.gov/Archives/edgar/data/850429/000116923205001684/d62922_ex10-7.htm" TargetMode="External"/><Relationship Id="rId142" Type="http://schemas.openxmlformats.org/officeDocument/2006/relationships/hyperlink" Target="http://www.sec.gov/Archives/edgar/data/850429/000116923205001684/d62922_ex10-71.htm" TargetMode="External"/><Relationship Id="rId144" Type="http://schemas.openxmlformats.org/officeDocument/2006/relationships/hyperlink" Target="http://www.sec.gov/Archives/edgar/data/850429/000085042914000024/tg-ex106_20131231x10k.htm" TargetMode="External"/><Relationship Id="rId145" Type="http://schemas.openxmlformats.org/officeDocument/2006/relationships/hyperlink" Target="https://www.sec.gov/Archives/edgar/data/850429/000085042904000084/ex1091.htm" TargetMode="External"/><Relationship Id="rId147" Type="http://schemas.openxmlformats.org/officeDocument/2006/relationships/hyperlink" Target="http://www.sec.gov/Archives/edgar/data/850429/000116923209002106/d76734_pre14a.htm" TargetMode="External"/><Relationship Id="rId148" Type="http://schemas.openxmlformats.org/officeDocument/2006/relationships/hyperlink" Target="https://www.sec.gov/Archives/edgar/data/850429/000114036113009574/ex10_3.htm" TargetMode="External"/><Relationship Id="rId150" Type="http://schemas.openxmlformats.org/officeDocument/2006/relationships/hyperlink" Target="https://www.sec.gov/Archives/edgar/data/850429/000114036116055760/ex10_1.htm" TargetMode="External"/><Relationship Id="rId151" Type="http://schemas.openxmlformats.org/officeDocument/2006/relationships/hyperlink" Target="https://www.sec.gov/Archives/edgar/data/850429/000114036116055760/ex10_2.htm" TargetMode="External"/><Relationship Id="rId153" Type="http://schemas.openxmlformats.org/officeDocument/2006/relationships/hyperlink" Target="https://www.sec.gov/Archives/edgar/data/850429/000085042920000036/tg-ex101820200331x10qx.htm" TargetMode="External"/><Relationship Id="rId154" Type="http://schemas.openxmlformats.org/officeDocument/2006/relationships/hyperlink" Target="https://www.sec.gov/Archives/edgar/data/850429/000085042920000036/tg-ex101920200331x10qx.htm" TargetMode="External"/><Relationship Id="rId156" Type="http://schemas.openxmlformats.org/officeDocument/2006/relationships/hyperlink" Target="https://www.sec.gov/Archives/edgar/data/850429/000085042920000036/tg-ex102020200331x10qx.htm" TargetMode="External"/><Relationship Id="rId157" Type="http://schemas.openxmlformats.org/officeDocument/2006/relationships/hyperlink" Target="https://www.sec.gov/Archives/edgar/data/850429/000114036121010026/brhc10022061_def14a.htm" TargetMode="External"/><Relationship Id="rId159" Type="http://schemas.openxmlformats.org/officeDocument/2006/relationships/hyperlink" Target="https://www.sec.gov/Archives/edgar/data/850429/000114036118021973/ex10_1.htm" TargetMode="External"/><Relationship Id="rId160" Type="http://schemas.openxmlformats.org/officeDocument/2006/relationships/hyperlink" Target="http://www.sec.gov/Archives/edgar/data/850429/000156761919007136/forms8.htm" TargetMode="External"/><Relationship Id="rId162" Type="http://schemas.openxmlformats.org/officeDocument/2006/relationships/hyperlink" Target="https://www.sec.gov/Archives/edgar/data/850429/000119312523250760/d509382dex101.htm" TargetMode="External"/><Relationship Id="rId163" Type="http://schemas.openxmlformats.org/officeDocument/2006/relationships/hyperlink" Target="https://www.sec.gov/Archives/edgar/data/850429/000119312523271467/d5786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2024-03-15T07:30:17Z</dcterms:created>
  <dcterms:modified xsi:type="dcterms:W3CDTF">2024-03-15T07:30:17Z</dcterms:modified>
</cp:coreProperties>
</file>