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20" w:hanging="463"/>
        <w:spacing w:after="0" w:line="238" w:lineRule="auto"/>
        <w:tabs>
          <w:tab w:leader="none" w:pos="6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443"/>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7" w:lineRule="exact"/>
        <w:rPr>
          <w:sz w:val="24"/>
          <w:szCs w:val="24"/>
          <w:color w:val="auto"/>
        </w:rPr>
      </w:pPr>
    </w:p>
    <w:p>
      <w:pPr>
        <w:sectPr>
          <w:pgSz w:w="11900" w:h="16838" w:orient="portrait"/>
          <w:cols w:equalWidth="0" w:num="2">
            <w:col w:w="7360" w:space="720"/>
            <w:col w:w="3100"/>
          </w:cols>
          <w:pgMar w:left="320" w:top="767" w:right="39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220" w:space="720"/>
            <w:col w:w="3240"/>
          </w:cols>
          <w:pgMar w:left="320" w:top="767"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31" w:lineRule="exact"/>
        <w:rPr>
          <w:sz w:val="24"/>
          <w:szCs w:val="24"/>
          <w:color w:val="auto"/>
        </w:rPr>
      </w:pPr>
    </w:p>
    <w:p>
      <w:pPr>
        <w:sectPr>
          <w:pgSz w:w="11900" w:h="16838" w:orient="portrait"/>
          <w:cols w:equalWidth="0" w:num="2">
            <w:col w:w="8220" w:space="720"/>
            <w:col w:w="2240"/>
          </w:cols>
          <w:pgMar w:left="320" w:top="767" w:right="39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7" w:right="39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91" w:lineRule="exact"/>
        <w:rPr>
          <w:sz w:val="24"/>
          <w:szCs w:val="24"/>
          <w:color w:val="auto"/>
        </w:rPr>
      </w:pPr>
    </w:p>
    <w:p>
      <w:pPr>
        <w:ind w:right="22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7" w:right="39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42" w:lineRule="exact"/>
        <w:rPr>
          <w:sz w:val="24"/>
          <w:szCs w:val="24"/>
          <w:color w:val="auto"/>
        </w:rPr>
      </w:pPr>
    </w:p>
    <w:p>
      <w:pPr>
        <w:sectPr>
          <w:pgSz w:w="11900" w:h="16838" w:orient="portrait"/>
          <w:cols w:equalWidth="0" w:num="6">
            <w:col w:w="1560" w:space="720"/>
            <w:col w:w="2220" w:space="720"/>
            <w:col w:w="1400" w:space="720"/>
            <w:col w:w="180" w:space="120"/>
            <w:col w:w="2100" w:space="720"/>
            <w:col w:w="720"/>
          </w:cols>
          <w:pgMar w:left="320" w:top="767" w:right="39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4" w:lineRule="exact"/>
        <w:rPr>
          <w:sz w:val="24"/>
          <w:szCs w:val="24"/>
          <w:color w:val="auto"/>
        </w:rPr>
      </w:pPr>
    </w:p>
    <w:p>
      <w:pPr>
        <w:sectPr>
          <w:pgSz w:w="11900" w:h="16838" w:orient="portrait"/>
          <w:cols w:equalWidth="0" w:num="4">
            <w:col w:w="1560" w:space="720"/>
            <w:col w:w="4640" w:space="720"/>
            <w:col w:w="2040" w:space="720"/>
            <w:col w:w="780"/>
          </w:cols>
          <w:pgMar w:left="320" w:top="767" w:right="399" w:bottom="1440" w:gutter="0" w:footer="0" w:header="0"/>
          <w:type w:val="continuous"/>
        </w:sectPr>
      </w:pPr>
    </w:p>
    <w:p>
      <w:pPr>
        <w:ind w:right="120" w:firstLine="40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460" w:right="2140"/>
        <w:spacing w:after="0" w:line="2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shares of Common Stock, no par value, outstanding as of May 2, 2025: 34,921,723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Tredegar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18"/>
                <w:szCs w:val="18"/>
                <w:color w:val="auto"/>
              </w:rPr>
            </w:pPr>
          </w:p>
        </w:tc>
        <w:tc>
          <w:tcPr>
            <w:tcW w:w="1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82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20" w:type="dxa"/>
            <w:vAlign w:val="bottom"/>
            <w:gridSpan w:val="8"/>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(unaudited)</w:t>
            </w:r>
          </w:p>
        </w:tc>
        <w:tc>
          <w:tcPr>
            <w:tcW w:w="454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3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7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10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3</w:t>
            </w:r>
            <w:r>
              <w:rPr>
                <w:rFonts w:ascii="Times New Roman" w:cs="Times New Roman" w:eastAsia="Times New Roman" w:hAnsi="Times New Roman"/>
                <w:sz w:val="18"/>
                <w:szCs w:val="18"/>
                <w:color w:val="000000"/>
                <w:w w:val="94"/>
              </w:rPr>
              <w:t>.</w:t>
            </w:r>
          </w:p>
        </w:tc>
        <w:tc>
          <w:tcPr>
            <w:tcW w:w="400" w:type="dxa"/>
            <w:vAlign w:val="bottom"/>
            <w:gridSpan w:val="3"/>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380" w:type="dxa"/>
            <w:vAlign w:val="bottom"/>
            <w:gridSpan w:val="2"/>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880" w:type="dxa"/>
            <w:vAlign w:val="bottom"/>
            <w:gridSpan w:val="12"/>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3"/>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20" w:type="dxa"/>
            <w:vAlign w:val="bottom"/>
            <w:gridSpan w:val="13"/>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8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30"/>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79,749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64,817</w:t>
            </w: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68,895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51,381</w:t>
            </w:r>
          </w:p>
        </w:tc>
      </w:tr>
      <w:tr>
        <w:trPr>
          <w:trHeight w:val="230"/>
        </w:trPr>
        <w:tc>
          <w:tcPr>
            <w:tcW w:w="84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w:t>
            </w:r>
          </w:p>
        </w:tc>
      </w:tr>
      <w:tr>
        <w:trPr>
          <w:trHeight w:val="223"/>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161,727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139,827</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501,741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499,426</w:t>
            </w:r>
          </w:p>
        </w:tc>
      </w:tr>
      <w:tr>
        <w:trPr>
          <w:trHeight w:val="229"/>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(367,206)</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(362,394)</w:t>
            </w:r>
          </w:p>
        </w:tc>
      </w:tr>
      <w:tr>
        <w:trPr>
          <w:trHeight w:val="22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134,535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137,032</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14,267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22,446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32,330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32,517</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8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374,217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356,357</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30"/>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16,960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22,168</w:t>
            </w: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30"/>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8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103,803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91,708</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revolving facility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4,591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r>
      <w:tr>
        <w:trPr>
          <w:trHeight w:val="22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182,847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175,389</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no par value (authorized shares 150,000,000, issued and outstanding 34,903,429 shares at March 31,</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34,661,272 shares at December 31, 2024)</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64,151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held in trust for savings restoration plan (118,543 shares at March 31, 2025 and December 31, 2024)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123,513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113,412</w:t>
            </w:r>
          </w:p>
        </w:tc>
      </w:tr>
      <w:tr>
        <w:trPr>
          <w:trHeight w:val="223"/>
        </w:trPr>
        <w:tc>
          <w:tcPr>
            <w:tcW w:w="8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191,370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180,968</w:t>
            </w:r>
          </w:p>
        </w:tc>
      </w:tr>
      <w:tr>
        <w:trPr>
          <w:trHeight w:val="230"/>
        </w:trPr>
        <w:tc>
          <w:tcPr>
            <w:tcW w:w="84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374,217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356,357</w:t>
            </w: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060"/>
          </w:cols>
          <w:pgMar w:left="400" w:top="603" w:right="4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603" w:right="439" w:bottom="1440" w:gutter="0" w:footer="0" w:header="0"/>
          <w:type w:val="continuous"/>
        </w:sectPr>
      </w:pPr>
    </w:p>
    <w:bookmarkStart w:id="3" w:name="page4"/>
    <w:bookmarkEnd w:id="3"/>
    <w:p>
      <w:pPr>
        <w:ind w:left="506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7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164,738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143,972</w:t>
            </w:r>
          </w:p>
        </w:tc>
      </w:tr>
      <w:tr>
        <w:trPr>
          <w:trHeight w:val="229"/>
        </w:trPr>
        <w:tc>
          <w:tcPr>
            <w:tcW w:w="7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164,728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143,978</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135,643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w:t>
            </w:r>
          </w:p>
        </w:tc>
      </w:tr>
      <w:tr>
        <w:trPr>
          <w:trHeight w:val="230"/>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Freight</w:t>
            </w:r>
          </w:p>
        </w:tc>
        <w:tc>
          <w:tcPr>
            <w:tcW w:w="8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5,566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29"/>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20,660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r>
      <w:tr>
        <w:trPr>
          <w:trHeight w:val="230"/>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8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7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 adjustments</w:t>
            </w:r>
          </w:p>
        </w:tc>
        <w:tc>
          <w:tcPr>
            <w:tcW w:w="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75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163,480</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138,990</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8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30"/>
        </w:trPr>
        <w:tc>
          <w:tcPr>
            <w:tcW w:w="7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8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30"/>
        </w:trPr>
        <w:tc>
          <w:tcPr>
            <w:tcW w:w="7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8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9,430</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10,101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57"/>
        </w:trPr>
        <w:tc>
          <w:tcPr>
            <w:tcW w:w="7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75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8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0"/>
        </w:trPr>
        <w:tc>
          <w:tcPr>
            <w:tcW w:w="7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75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8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7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57"/>
        </w:trPr>
        <w:tc>
          <w:tcPr>
            <w:tcW w:w="7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(loss) per share:</w:t>
            </w: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w:t>
            </w:r>
          </w:p>
        </w:tc>
      </w:tr>
      <w:tr>
        <w:trPr>
          <w:trHeight w:val="237"/>
        </w:trPr>
        <w:tc>
          <w:tcPr>
            <w:tcW w:w="7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34,612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34,323</w:t>
            </w: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left="9000"/>
        <w:spacing w:after="0"/>
        <w:rPr>
          <w:sz w:val="20"/>
          <w:szCs w:val="20"/>
          <w:color w:val="auto"/>
        </w:rPr>
      </w:pPr>
      <w:r>
        <w:rPr>
          <w:rFonts w:ascii="Times New Roman" w:cs="Times New Roman" w:eastAsia="Times New Roman" w:hAnsi="Times New Roman"/>
          <w:sz w:val="18"/>
          <w:szCs w:val="18"/>
          <w:color w:val="auto"/>
        </w:rPr>
        <w:t>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foreign currency translation adjustment ($0 tax in 2025 and net of tax expense of $221 in 2024)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30"/>
        </w:trPr>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financial instruments adjustment (net of tax benefit of $68 in 2025 and net of tax benefit of $140 in 2024)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175"/>
        </w:trPr>
        <w:tc>
          <w:tcPr>
            <w:tcW w:w="8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 losses (net of tax benefit of $25 in 2025 and net of tax benefit of $8</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8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2024)</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9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9220"/>
        <w:spacing w:after="0"/>
        <w:rPr>
          <w:sz w:val="20"/>
          <w:szCs w:val="20"/>
          <w:color w:val="auto"/>
        </w:rPr>
      </w:pPr>
      <w:r>
        <w:rPr>
          <w:rFonts w:ascii="Times New Roman" w:cs="Times New Roman" w:eastAsia="Times New Roman" w:hAnsi="Times New Roman"/>
          <w:sz w:val="18"/>
          <w:szCs w:val="18"/>
          <w:color w:val="auto"/>
        </w:rPr>
        <w:t>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the sale of divested business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Terphane</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179,248</w:t>
            </w:r>
          </w:p>
        </w:tc>
      </w:tr>
      <w:tr>
        <w:trPr>
          <w:trHeight w:val="230"/>
        </w:trPr>
        <w:tc>
          <w:tcPr>
            <w:tcW w:w="6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(177,240)</w:t>
            </w:r>
          </w:p>
        </w:tc>
      </w:tr>
      <w:tr>
        <w:trPr>
          <w:trHeight w:val="223"/>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180,968</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10,101</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6"/>
                <w:szCs w:val="16"/>
                <w:color w:val="auto"/>
              </w:rPr>
            </w:pPr>
          </w:p>
        </w:tc>
        <w:tc>
          <w:tcPr>
            <w:tcW w:w="88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8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6"/>
                <w:szCs w:val="16"/>
                <w:color w:val="auto"/>
              </w:rPr>
            </w:pPr>
          </w:p>
        </w:tc>
        <w:tc>
          <w:tcPr>
            <w:tcW w:w="12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employee common stock for tax withholdings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181,265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08"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March 31, 2025, the condensed consolidated results of operations for the three months ended March 31, 2025 and 2024, the condensed consolidated cash flows for the three months ended March 31, 2025 and 2024, and the condensed consolidated changes in shareholders’ equity for the three months ended March 31, 2025 and 2024, in accordance with U.S. generally accepted accounting principles (“GAAP”). All such adjustments, unless otherwise detailed in the notes to the condensed consolidated financial statements, are deemed to be of a normal, recurring nature.</w:t>
      </w:r>
    </w:p>
    <w:p>
      <w:pPr>
        <w:spacing w:after="0" w:line="5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first quarter for 2025 and 2024 for this segment references 13-week periods ended March 30, 2025 and March 31, 2024,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As a result, the Company’s cash and cash equivalents declined by $3.6 million as of December 31, 2024 since the Company made payments to the Aluminum Extrusions segment to fund its working capital during the intervening period.</w:t>
      </w:r>
    </w:p>
    <w:p>
      <w:pPr>
        <w:spacing w:after="0" w:line="6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December 31, 2024 that is included herein was derived from the audited consolidated financial statements provided in the Company’s Annual Report on Form 10-K for the year ended December 31, 2024 (“2024 Form 10-K”) but does not include all disclosures required by GAAP. These financial statements should be read in conjunction with the audited consolidated financial statements and related notes included in the 2024 Form 10-K.</w:t>
      </w:r>
    </w:p>
    <w:p>
      <w:pPr>
        <w:spacing w:after="0" w:line="45" w:lineRule="exact"/>
        <w:rPr>
          <w:sz w:val="20"/>
          <w:szCs w:val="20"/>
          <w:color w:val="auto"/>
        </w:rPr>
      </w:pPr>
    </w:p>
    <w:p>
      <w:pPr>
        <w:ind w:right="420" w:firstLine="405"/>
        <w:spacing w:after="0" w:line="360" w:lineRule="auto"/>
        <w:rPr>
          <w:sz w:val="20"/>
          <w:szCs w:val="20"/>
          <w:color w:val="auto"/>
        </w:rPr>
      </w:pPr>
      <w:r>
        <w:rPr>
          <w:rFonts w:ascii="Times New Roman" w:cs="Times New Roman" w:eastAsia="Times New Roman" w:hAnsi="Times New Roman"/>
          <w:sz w:val="18"/>
          <w:szCs w:val="18"/>
          <w:color w:val="auto"/>
        </w:rPr>
        <w:t xml:space="preserve">The results of operations for the three months ended March 31, 2025, are not necessarily indicative of the results to be expected for the full year. </w:t>
      </w:r>
      <w:r>
        <w:rPr>
          <w:rFonts w:ascii="Times New Roman" w:cs="Times New Roman" w:eastAsia="Times New Roman" w:hAnsi="Times New Roman"/>
          <w:sz w:val="18"/>
          <w:szCs w:val="18"/>
          <w:b w:val="1"/>
          <w:bCs w:val="1"/>
          <w:i w:val="1"/>
          <w:iCs w:val="1"/>
          <w:color w:val="auto"/>
        </w:rPr>
        <w:t>Sale of Flexible Packaging Films</w:t>
      </w: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On November 1, 2024, the Company completed the sale of its flexible packaging films business (also referred to as “Terphane”) headquartered in Brazil to Oben Group (“Oben”). Commencing in the fourth quarter of 2024, all historical results for Terphane have been presented as discontinued operations. For more information on this transaction, see Note 11.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of PE Films Technical Center</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August 2023, the Company adopted a plan to close the PE Films technical center in Richmond, VA and reduce its efforts to develop and sell films supporting the semiconductor market. Research &amp; development activities for PE Films are now being performed at the production facility in Pottsville, PA. PE Films continues to have new business opportunities primarily relating to surface protection films that protect components of flat panel and flexible displays. All activities ceased at the PE Films technical center in Richmond, VA as of the end of the first quarter of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6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This ASU is effective for annual periods beginning after December 15, 2024; early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adoption is permitted. The Company is currently evaluating the impact of this standard on our consolidated financial statements and related disclosures.</w:t>
      </w:r>
    </w:p>
    <w:p>
      <w:pPr>
        <w:spacing w:after="0" w:line="10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to improve the disclosures about public business entity’s expenses and address requests from investors for more detailed information about the types of expenses in commonly presented expense captions. The amendments in this ASU will require the Company to disclose specified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 impact of this standard on our consolidated financial statements and related disclosures.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and December 31, 2024, accounts and other receivables, net include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March 31, 2025</w:t>
            </w:r>
          </w:p>
        </w:tc>
        <w:tc>
          <w:tcPr>
            <w:tcW w:w="3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1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79,654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64,094</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5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17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80,011</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65,046</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79,749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64,817</w:t>
            </w:r>
          </w:p>
        </w:tc>
      </w:tr>
      <w:tr>
        <w:trPr>
          <w:trHeight w:val="39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11"/>
        </w:trPr>
        <w:tc>
          <w:tcPr>
            <w:tcW w:w="5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March 31, 2025</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7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7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total pre-tax pension settlement loss of $92.3 million.</w:t>
      </w:r>
    </w:p>
    <w:p>
      <w:pPr>
        <w:spacing w:after="0" w:line="39"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months ended March 31, 2025 and 2024. This information has been included in the pension benefit table below.</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9" w:name="page10"/>
    <w:bookmarkEnd w:id="9"/>
    <w:p>
      <w:pPr>
        <w:ind w:right="580" w:firstLine="405"/>
        <w:spacing w:after="0" w:line="276"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 programs reflected in the condensed consolidated statements of income for the three months ended March 31, 2025 and 2024, are shown below:</w:t>
      </w:r>
    </w:p>
    <w:tbl>
      <w:tblPr>
        <w:tblLayout w:type="fixed"/>
        <w:tblInd w:w="0" w:type="dxa"/>
        <w:tblCellMar>
          <w:top w:w="0" w:type="dxa"/>
          <w:left w:w="0" w:type="dxa"/>
          <w:bottom w:w="0" w:type="dxa"/>
          <w:right w:w="0" w:type="dxa"/>
        </w:tblCellMar>
      </w:tblPr>
      <w:tr>
        <w:trPr>
          <w:trHeight w:val="184"/>
        </w:trPr>
        <w:tc>
          <w:tcPr>
            <w:tcW w:w="6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220" w:type="dxa"/>
            <w:vAlign w:val="bottom"/>
            <w:tcBorders>
              <w:top w:val="single" w:sz="8" w:color="auto"/>
            </w:tcBorders>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Three Months Ended March</w:t>
            </w:r>
          </w:p>
        </w:tc>
        <w:tc>
          <w:tcPr>
            <w:tcW w:w="100" w:type="dxa"/>
            <w:vAlign w:val="bottom"/>
          </w:tcPr>
          <w:p>
            <w:pPr>
              <w:spacing w:after="0"/>
              <w:rPr>
                <w:sz w:val="14"/>
                <w:szCs w:val="14"/>
                <w:color w:val="auto"/>
              </w:rPr>
            </w:pPr>
          </w:p>
        </w:tc>
        <w:tc>
          <w:tcPr>
            <w:tcW w:w="2220" w:type="dxa"/>
            <w:vAlign w:val="bottom"/>
            <w:tcBorders>
              <w:top w:val="single" w:sz="8" w:color="auto"/>
            </w:tcBorders>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7"/>
        </w:trPr>
        <w:tc>
          <w:tcPr>
            <w:tcW w:w="6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Borders>
              <w:bottom w:val="single" w:sz="8" w:color="auto"/>
            </w:tcBorders>
          </w:tcPr>
          <w:p>
            <w:pPr>
              <w:spacing w:after="0"/>
              <w:rPr>
                <w:sz w:val="20"/>
                <w:szCs w:val="20"/>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5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were $6.5 million and $6.6 million at March 31, 2025 and December 31, 2024, respectively ($0.6 million included in “Accrued expenses” at March 31, 2025 and December 31, 2024 with the remainder included in “Pension and other postretirement benefit obligations, net” in the condensed consolidated balance sheets).</w:t>
      </w:r>
    </w:p>
    <w:p>
      <w:pPr>
        <w:spacing w:after="0" w:line="5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Tredegar funds its other postretirement benefits on a claims-made basis; for 2025, the Company anticipates the amount will be consistent with amounts paid for the year ended December 31, 2024, or approximately $0.4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2"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34,612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w:t>
            </w:r>
          </w:p>
        </w:tc>
      </w:tr>
      <w:tr>
        <w:trPr>
          <w:trHeight w:val="229"/>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Incremental dilutive shares attributable to stock options and restricted stock</w:t>
            </w:r>
          </w:p>
        </w:tc>
        <w:tc>
          <w:tcPr>
            <w:tcW w:w="2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27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34,612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w:t>
            </w:r>
          </w:p>
        </w:tc>
      </w:tr>
    </w:tbl>
    <w:p>
      <w:pPr>
        <w:spacing w:after="0" w:line="15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Average out-of-the-money options to purchase shares that were excluded from the calculation of incremental shares attributable to stock options and restricted stock were 1,325,890 for the three months ended March 31, 2025. Average out-of-the-money options to purchase shares that were excluded from the calculation of incremental shares attributable to stock options and restricted stock were 2,870,670 for the three months ended March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w w:val="99"/>
              </w:rPr>
              <w:t>Gain (Loss) on</w:t>
            </w: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Pension &amp; Other</w:t>
            </w:r>
          </w:p>
        </w:tc>
        <w:tc>
          <w:tcPr>
            <w:tcW w:w="2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180" w:type="dxa"/>
            <w:vAlign w:val="bottom"/>
          </w:tcPr>
          <w:p>
            <w:pPr>
              <w:spacing w:after="0"/>
              <w:rPr>
                <w:sz w:val="15"/>
                <w:szCs w:val="15"/>
                <w:color w:val="auto"/>
              </w:rPr>
            </w:pPr>
          </w:p>
        </w:tc>
        <w:tc>
          <w:tcPr>
            <w:tcW w:w="14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2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Comprehensive Income (Loss)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69"/>
        </w:trPr>
        <w:tc>
          <w:tcPr>
            <w:tcW w:w="322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w w:val="99"/>
              </w:rPr>
              <w:t>Other comprehensive income (loss), net of</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9"/>
        </w:trPr>
        <w:tc>
          <w:tcPr>
            <w:tcW w:w="322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0" w:name="page11"/>
    <w:bookmarkEnd w:id="10"/>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6"/>
              </w:rPr>
              <w:t>801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tcPr>
          <w:p>
            <w:pPr>
              <w:spacing w:after="0"/>
              <w:rPr>
                <w:sz w:val="19"/>
                <w:szCs w:val="19"/>
                <w:color w:val="auto"/>
              </w:rPr>
            </w:pPr>
          </w:p>
        </w:tc>
        <w:tc>
          <w:tcPr>
            <w:tcW w:w="17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6"/>
              </w:rPr>
              <w:t>282</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tcPr>
          <w:p>
            <w:pPr>
              <w:spacing w:after="0"/>
              <w:rPr>
                <w:sz w:val="19"/>
                <w:szCs w:val="19"/>
                <w:color w:val="auto"/>
              </w:rPr>
            </w:pPr>
          </w:p>
        </w:tc>
        <w:tc>
          <w:tcPr>
            <w:tcW w:w="17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6"/>
              </w:rPr>
              <w:t>170</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w w:val="96"/>
              </w:rPr>
              <w:t>253</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6"/>
              </w:rPr>
              <w:t>297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These derivative financial instruments are designated as and qualify as cash flow hedges and are recognized in the condensed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right="260" w:firstLine="40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$4.5 million (2.8 million pounds of aluminum) at March 31, 2025 and $4.3 million (3.1 million pounds of aluminum) at December 31, 2024.</w:t>
      </w:r>
    </w:p>
    <w:p>
      <w:pPr>
        <w:spacing w:after="0" w:line="54"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March 31, 2025 and December 31, 2024:</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2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March 31, 2025</w:t>
            </w: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740" w:type="dxa"/>
            <w:vAlign w:val="bottom"/>
            <w:tcBorders>
              <w:top w:val="single" w:sz="8" w:color="auto"/>
              <w:bottom w:val="single" w:sz="8" w:color="auto"/>
            </w:tcBorders>
          </w:tcPr>
          <w:p>
            <w:pPr>
              <w:spacing w:after="0"/>
              <w:rPr>
                <w:sz w:val="20"/>
                <w:szCs w:val="20"/>
                <w:color w:val="auto"/>
              </w:rPr>
            </w:pPr>
          </w:p>
        </w:tc>
      </w:tr>
      <w:tr>
        <w:trPr>
          <w:trHeight w:val="178"/>
        </w:trPr>
        <w:tc>
          <w:tcPr>
            <w:tcW w:w="5160" w:type="dxa"/>
            <w:vAlign w:val="bottom"/>
          </w:tcPr>
          <w:p>
            <w:pPr>
              <w:spacing w:after="0"/>
              <w:rPr>
                <w:sz w:val="15"/>
                <w:szCs w:val="15"/>
                <w:color w:val="auto"/>
              </w:rPr>
            </w:pPr>
          </w:p>
        </w:tc>
        <w:tc>
          <w:tcPr>
            <w:tcW w:w="1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20" w:type="dxa"/>
            <w:vAlign w:val="bottom"/>
          </w:tcPr>
          <w:p>
            <w:pPr>
              <w:spacing w:after="0"/>
              <w:rPr>
                <w:sz w:val="15"/>
                <w:szCs w:val="15"/>
                <w:color w:val="auto"/>
              </w:rPr>
            </w:pPr>
          </w:p>
        </w:tc>
        <w:tc>
          <w:tcPr>
            <w:tcW w:w="78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5"/>
                <w:szCs w:val="15"/>
                <w:color w:val="auto"/>
              </w:rPr>
            </w:pPr>
          </w:p>
        </w:tc>
        <w:tc>
          <w:tcPr>
            <w:tcW w:w="1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5"/>
                <w:szCs w:val="15"/>
                <w:color w:val="auto"/>
              </w:rPr>
            </w:pPr>
          </w:p>
        </w:tc>
        <w:tc>
          <w:tcPr>
            <w:tcW w:w="74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184"/>
        </w:trPr>
        <w:tc>
          <w:tcPr>
            <w:tcW w:w="5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84"/>
        </w:trPr>
        <w:tc>
          <w:tcPr>
            <w:tcW w:w="516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Other non-current</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7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month periods ended March 31, 2025 and 2024 is summarized in the table below:</w:t>
      </w:r>
    </w:p>
    <w:tbl>
      <w:tblPr>
        <w:tblLayout w:type="fixed"/>
        <w:tblInd w:w="0" w:type="dxa"/>
        <w:tblCellMar>
          <w:top w:w="0" w:type="dxa"/>
          <w:left w:w="0" w:type="dxa"/>
          <w:bottom w:w="0" w:type="dxa"/>
          <w:right w:w="0" w:type="dxa"/>
        </w:tblCellMar>
      </w:tblPr>
      <w:tr>
        <w:trPr>
          <w:trHeight w:val="238"/>
        </w:trPr>
        <w:tc>
          <w:tcPr>
            <w:tcW w:w="80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060" w:type="dxa"/>
            <w:vAlign w:val="bottom"/>
            <w:tcBorders>
              <w:top w:val="single" w:sz="8" w:color="auto"/>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Cash Flow Derivative Hedges</w:t>
            </w:r>
          </w:p>
        </w:tc>
      </w:tr>
      <w:tr>
        <w:trPr>
          <w:trHeight w:val="223"/>
        </w:trPr>
        <w:tc>
          <w:tcPr>
            <w:tcW w:w="8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18"/>
        </w:trPr>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Aluminum Futures Contracts</w:t>
            </w:r>
          </w:p>
        </w:tc>
      </w:tr>
      <w:tr>
        <w:trPr>
          <w:trHeight w:val="234"/>
        </w:trPr>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175"/>
        </w:trPr>
        <w:tc>
          <w:tcPr>
            <w:tcW w:w="8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Location of gain (loss) reclassified from accumulated other comprehensive income (loss) into net income</w:t>
            </w:r>
          </w:p>
        </w:tc>
        <w:tc>
          <w:tcPr>
            <w:tcW w:w="140" w:type="dxa"/>
            <w:vAlign w:val="bottom"/>
          </w:tcPr>
          <w:p>
            <w:pPr>
              <w:spacing w:after="0"/>
              <w:rPr>
                <w:sz w:val="15"/>
                <w:szCs w:val="15"/>
                <w:color w:val="auto"/>
              </w:rPr>
            </w:pPr>
          </w:p>
        </w:tc>
        <w:tc>
          <w:tcPr>
            <w:tcW w:w="12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Cost of goods</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Pr>
          <w:p>
            <w:pPr>
              <w:spacing w:after="0"/>
              <w:rPr>
                <w:sz w:val="21"/>
                <w:szCs w:val="21"/>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sold</w:t>
            </w:r>
          </w:p>
        </w:tc>
        <w:tc>
          <w:tcPr>
            <w:tcW w:w="20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Cost of goods sold</w:t>
            </w:r>
          </w:p>
        </w:tc>
      </w:tr>
      <w:tr>
        <w:trPr>
          <w:trHeight w:val="176"/>
        </w:trPr>
        <w:tc>
          <w:tcPr>
            <w:tcW w:w="8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 comprehensive income (loss) to net income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8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bl>
    <w:p>
      <w:pPr>
        <w:spacing w:after="0" w:line="144"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2025, the Company expects $0.1 million of unrealized after-tax gains on aluminum derivative instruments reported in accumulated other comprehensive income (loss) to be reclassified to earnings within the next 12 months. For the three month periods ended March 31, 2025 and 2024, net gains or losses realized, from previously unrealized net gains or losses on hedges that had been discontinued, were not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9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Tredegar recorded tax expense (benefit) of $0.6 million on pre-tax income (loss) from continuing operations of $1.2 million in the first three months of 2025. The effective tax rate in the first three months of 2025 was 46.2% and 47.8% in the first three months of 2024. The effective tax rate in the first three months of 2025 was impacted by lower taxable discrete items and a lower projected annual effective tax rate offset by the impact of lower book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Company's business segments are Aluminum Extrusions and PE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PE Films produces surface protection films, polyethylene overwrap films and films for other markets.</w:t>
      </w:r>
    </w:p>
    <w:p>
      <w:pPr>
        <w:spacing w:after="0" w:line="5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w:t>
      </w:r>
    </w:p>
    <w:p>
      <w:pPr>
        <w:spacing w:after="0" w:line="4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EBITDA from ongoing operations used by the CODM excludes certain non-recurring items, such as restructuring costs, asset impairments and other items, which are reported separately. The CODM uses EBITDA from ongoing operations to evaluate the operating performance of Tredegar’s ongoing operations, monitor budget versus actual results, establish management’s compensation and allocate resources. EBITDA from ongoing operations is the primary measure of segment performance and is consistent with how the business is managed internally, in addition to being a key financial and analytic metric for borrowing capacity and estimated enterprise value.</w:t>
      </w:r>
    </w:p>
    <w:p>
      <w:pPr>
        <w:spacing w:after="0" w:line="6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 uses sales less freight (“net sales”) as its measure of revenues from external customers at the segment level. This measure is separately included in the financial information regularly provided to the CODM.</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segment revenue, segment profit (loss), and significant expenses for the three months ended March 31, 2025 and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6"/>
        </w:trPr>
        <w:tc>
          <w:tcPr>
            <w:tcW w:w="67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3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860" w:type="dxa"/>
            <w:vAlign w:val="bottom"/>
            <w:tcBorders>
              <w:top w:val="single" w:sz="8" w:color="auto"/>
              <w:bottom w:val="single" w:sz="8" w:color="auto"/>
            </w:tcBorders>
          </w:tcPr>
          <w:p>
            <w:pPr>
              <w:spacing w:after="0"/>
              <w:rPr>
                <w:sz w:val="22"/>
                <w:szCs w:val="22"/>
                <w:color w:val="auto"/>
              </w:rPr>
            </w:pPr>
          </w:p>
        </w:tc>
      </w:tr>
      <w:tr>
        <w:trPr>
          <w:trHeight w:val="169"/>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PE Films</w:t>
            </w: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133,635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25,537</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159,172</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164,738</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103,523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11,977</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115,500</w:t>
            </w:r>
          </w:p>
        </w:tc>
      </w:tr>
      <w:tr>
        <w:trPr>
          <w:trHeight w:val="230"/>
        </w:trPr>
        <w:tc>
          <w:tcPr>
            <w:tcW w:w="6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3,459</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r>
      <w:tr>
        <w:trPr>
          <w:trHeight w:val="229"/>
        </w:trPr>
        <w:tc>
          <w:tcPr>
            <w:tcW w:w="6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9,412</w:t>
            </w:r>
          </w:p>
        </w:tc>
        <w:tc>
          <w:tcPr>
            <w:tcW w:w="3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2,592</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29"/>
        </w:trPr>
        <w:tc>
          <w:tcPr>
            <w:tcW w:w="67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6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r>
    </w:tbl>
    <w:p>
      <w:pPr>
        <w:ind w:left="200" w:hanging="174"/>
        <w:spacing w:after="0" w:line="221"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 compensation benefit expenses.</w:t>
      </w:r>
    </w:p>
    <w:p>
      <w:pPr>
        <w:ind w:left="200" w:hanging="174"/>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6"/>
        </w:trPr>
        <w:tc>
          <w:tcPr>
            <w:tcW w:w="66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3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860" w:type="dxa"/>
            <w:vAlign w:val="bottom"/>
            <w:tcBorders>
              <w:top w:val="single" w:sz="8" w:color="auto"/>
              <w:bottom w:val="single" w:sz="8" w:color="auto"/>
            </w:tcBorders>
          </w:tcPr>
          <w:p>
            <w:pPr>
              <w:spacing w:after="0"/>
              <w:rPr>
                <w:sz w:val="22"/>
                <w:szCs w:val="22"/>
                <w:color w:val="auto"/>
              </w:rPr>
            </w:pPr>
          </w:p>
        </w:tc>
      </w:tr>
      <w:tr>
        <w:trPr>
          <w:trHeight w:val="169"/>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 Films</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114,222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24,735</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138,957</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23"/>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84,786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12,024</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96,810</w:t>
            </w:r>
          </w:p>
        </w:tc>
      </w:tr>
      <w:tr>
        <w:trPr>
          <w:trHeight w:val="230"/>
        </w:trPr>
        <w:tc>
          <w:tcPr>
            <w:tcW w:w="6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9,625</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3,243</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w:t>
            </w:r>
          </w:p>
        </w:tc>
      </w:tr>
      <w:tr>
        <w:trPr>
          <w:trHeight w:val="229"/>
        </w:trPr>
        <w:tc>
          <w:tcPr>
            <w:tcW w:w="6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6,798</w:t>
            </w:r>
          </w:p>
        </w:tc>
        <w:tc>
          <w:tcPr>
            <w:tcW w:w="3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w:t>
            </w: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6,904</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66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bl>
    <w:p>
      <w:pPr>
        <w:ind w:left="200" w:hanging="174"/>
        <w:spacing w:after="0" w:line="221" w:lineRule="auto"/>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 compensation benefit expenses.</w:t>
      </w:r>
    </w:p>
    <w:p>
      <w:pPr>
        <w:ind w:left="200" w:hanging="174"/>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March 31, 2025 and December 31,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6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March 31, 2025</w:t>
            </w:r>
          </w:p>
        </w:tc>
        <w:tc>
          <w:tcPr>
            <w:tcW w:w="194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272,161</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247,205</w:t>
            </w:r>
          </w:p>
        </w:tc>
      </w:tr>
      <w:tr>
        <w:trPr>
          <w:trHeight w:val="23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8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55,081</w:t>
            </w:r>
          </w:p>
        </w:tc>
      </w:tr>
      <w:tr>
        <w:trPr>
          <w:trHeight w:val="223"/>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8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328,392</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302,286</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38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46,883</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3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3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374,217</w:t>
            </w:r>
          </w:p>
        </w:tc>
        <w:tc>
          <w:tcPr>
            <w:tcW w:w="6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356,357</w:t>
            </w:r>
          </w:p>
        </w:tc>
      </w:tr>
      <w:tr>
        <w:trPr>
          <w:trHeight w:val="392"/>
        </w:trPr>
        <w:tc>
          <w:tcPr>
            <w:tcW w:w="93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depreciation and amortization for the three months ended March 31, 2025 and 2024:</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28"/>
        </w:trPr>
        <w:tc>
          <w:tcPr>
            <w:tcW w:w="37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gridSpan w:val="4"/>
          </w:tcPr>
          <w:p>
            <w:pPr>
              <w:spacing w:after="0"/>
              <w:rPr>
                <w:sz w:val="11"/>
                <w:szCs w:val="11"/>
                <w:color w:val="auto"/>
              </w:rPr>
            </w:pPr>
          </w:p>
        </w:tc>
      </w:tr>
      <w:tr>
        <w:trPr>
          <w:trHeight w:val="225"/>
        </w:trPr>
        <w:tc>
          <w:tcPr>
            <w:tcW w:w="37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6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8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3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8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23"/>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8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3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3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5,526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864"/>
        </w:trPr>
        <w:tc>
          <w:tcPr>
            <w:tcW w:w="3720" w:type="dxa"/>
            <w:vAlign w:val="bottom"/>
          </w:tcPr>
          <w:p>
            <w:pPr>
              <w:spacing w:after="0"/>
              <w:rPr>
                <w:sz w:val="24"/>
                <w:szCs w:val="24"/>
                <w:color w:val="auto"/>
              </w:rPr>
            </w:pPr>
          </w:p>
        </w:tc>
        <w:tc>
          <w:tcPr>
            <w:tcW w:w="386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color w:val="auto"/>
        </w:rPr>
        <w:t>The following table presents capital expenditures for the three months ended March 31,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80" w:type="dxa"/>
            <w:vAlign w:val="bottom"/>
            <w:tcBorders>
              <w:top w:val="single" w:sz="8" w:color="auto"/>
            </w:tcBorders>
          </w:tcPr>
          <w:p>
            <w:pPr>
              <w:spacing w:after="0"/>
              <w:rPr>
                <w:sz w:val="21"/>
                <w:szCs w:val="21"/>
                <w:color w:val="auto"/>
              </w:rPr>
            </w:pPr>
          </w:p>
        </w:tc>
        <w:tc>
          <w:tcPr>
            <w:tcW w:w="596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3"/>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7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5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r>
    </w:tbl>
    <w:p>
      <w:pPr>
        <w:spacing w:after="0" w:line="171"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revenue by geographic area and product group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144,357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124,981</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3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55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159,172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138,957</w:t>
            </w: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mostly to PE Films.</w:t>
      </w:r>
    </w:p>
    <w:p>
      <w:pPr>
        <w:spacing w:after="0" w:line="2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$6.6 million and $6.1 million in the first quarter of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Product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Borders>
              <w:top w:val="single" w:sz="8" w:color="auto"/>
            </w:tcBorders>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4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67,601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68,228</w:t>
            </w: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4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r>
      <w:tr>
        <w:trPr>
          <w:trHeight w:val="229"/>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4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w:t>
            </w: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4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r>
      <w:tr>
        <w:trPr>
          <w:trHeight w:val="230"/>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4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15,341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4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r>
      <w:tr>
        <w:trPr>
          <w:trHeight w:val="229"/>
        </w:trPr>
        <w:tc>
          <w:tcPr>
            <w:tcW w:w="4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4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23"/>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4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133,635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114,222</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4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4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18,770</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r>
      <w:tr>
        <w:trPr>
          <w:trHeight w:val="230"/>
        </w:trPr>
        <w:tc>
          <w:tcPr>
            <w:tcW w:w="4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Overwrap packaging</w:t>
            </w:r>
          </w:p>
        </w:tc>
        <w:tc>
          <w:tcPr>
            <w:tcW w:w="4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6,767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w:t>
            </w:r>
          </w:p>
        </w:tc>
      </w:tr>
      <w:tr>
        <w:trPr>
          <w:trHeight w:val="230"/>
        </w:trPr>
        <w:tc>
          <w:tcPr>
            <w:tcW w:w="43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4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25,537</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36"/>
        </w:trPr>
        <w:tc>
          <w:tcPr>
            <w:tcW w:w="4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159,172</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138,957</w:t>
            </w:r>
          </w:p>
        </w:tc>
      </w:tr>
      <w:tr>
        <w:trPr>
          <w:trHeight w:val="850"/>
        </w:trPr>
        <w:tc>
          <w:tcPr>
            <w:tcW w:w="4360" w:type="dxa"/>
            <w:vAlign w:val="bottom"/>
          </w:tcPr>
          <w:p>
            <w:pPr>
              <w:spacing w:after="0"/>
              <w:rPr>
                <w:sz w:val="24"/>
                <w:szCs w:val="24"/>
                <w:color w:val="auto"/>
              </w:rPr>
            </w:pPr>
          </w:p>
        </w:tc>
        <w:tc>
          <w:tcPr>
            <w:tcW w:w="414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10300" w:firstLine="8"/>
        <w:spacing w:after="0" w:line="354"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u w:val="single" w:color="auto"/>
          <w:color w:val="auto"/>
        </w:rPr>
        <w:t>ABL Facility</w:t>
      </w:r>
    </w:p>
    <w:p>
      <w:pPr>
        <w:spacing w:after="0" w:line="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 December 2023, the Company entered into Amendment No. 3 to the Second Amended and Restated Credit Agreement (the "Credit Agreement”), which, prior to the ABL Adjustment Date (as defined below), provided the Company with a $180 million senior secured asset-based revolving credit facility. In April 2024, the Company entered into Amendment No. 4 to the Credit Agreement (as amended by Amendment No. 3 and Amendment No. 4, the “ABL Facility”) that, among other items: (i) moved the ABL Adjustment Date (defined below) from March 31, 2025 to September 30, 2025 and (ii) required weekly reporting of the borrowing base financial covenant until the ABL Adjustment Date.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received the proceeds from the sale of Terphane (the “ABL Adjustment Date”), the $180 million ABL Facility was to be reduced to $125 million. On November 1, 2024, with the closing of the sale of Terphane, the ABL Adjustment Date occurred. The ABL Facility was to expire on June 30, 2026. As of March 31, 2025, funds available to borrow under the ABL Facility was $50.9 million, or 40.7% of the aggregate commitment of $125 million.</w:t>
      </w:r>
    </w:p>
    <w:p>
      <w:pPr>
        <w:spacing w:after="0" w:line="6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Outstanding borrowings accrue interest at the rates elected by the Company depending on the type of loan and denomination of such borrowing. With respect to revolving loans denominated in U.S. Dollars, the Company may elect interest rates at:</w:t>
      </w:r>
    </w:p>
    <w:p>
      <w:pPr>
        <w:spacing w:after="0" w:line="40" w:lineRule="exact"/>
        <w:rPr>
          <w:sz w:val="20"/>
          <w:szCs w:val="20"/>
          <w:color w:val="auto"/>
        </w:rPr>
      </w:pPr>
    </w:p>
    <w:p>
      <w:pPr>
        <w:ind w:left="660" w:right="10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Base Rate (“ABR”) Spread (as defined in the ABL Facility) is determined in accordance with an excess availability-based pricing grid. ABR is defined, in part, as the greater of (a) the Prime Rate in effect on such day, (b) the Federal Reserve Bank of New York Rate in effect on such day plus ½ of 1% and (c) the Adjusted Term Secured Overnight Financing Rate ("SOFR Rate") (defined below) for a one-month period plus 1%; or</w:t>
      </w:r>
    </w:p>
    <w:p>
      <w:pPr>
        <w:spacing w:after="0" w:line="4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Benchmark Spread (as defined in the ABL Facility) is determined in accordance with an excess availability-based pricing grid. Adjusted Term SOFR Rate is defined as the Term SOFR Rate plus 0.10%, subject to an initial Floor (as defined in the ABL Facility) of 0%.</w:t>
      </w:r>
    </w:p>
    <w:p>
      <w:pPr>
        <w:spacing w:after="0" w:line="40" w:lineRule="exact"/>
        <w:rPr>
          <w:sz w:val="20"/>
          <w:szCs w:val="20"/>
          <w:color w:val="auto"/>
        </w:rPr>
      </w:pPr>
    </w:p>
    <w:p>
      <w:pPr>
        <w:ind w:right="80" w:firstLine="405"/>
        <w:spacing w:after="0" w:line="281" w:lineRule="auto"/>
        <w:rPr>
          <w:sz w:val="20"/>
          <w:szCs w:val="20"/>
          <w:color w:val="auto"/>
        </w:rPr>
      </w:pPr>
      <w:r>
        <w:rPr>
          <w:rFonts w:ascii="Times New Roman" w:cs="Times New Roman" w:eastAsia="Times New Roman" w:hAnsi="Times New Roman"/>
          <w:sz w:val="18"/>
          <w:szCs w:val="18"/>
          <w:color w:val="auto"/>
        </w:rPr>
        <w:t>Based upon the quarterly average of daily availability under the ABL Facility, the interest rate pricing grid applicable after the ABL Adjustment Date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Term Benchmark</w:t>
            </w:r>
          </w:p>
        </w:tc>
        <w:tc>
          <w:tcPr>
            <w:tcW w:w="13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ABR</w:t>
            </w: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Commitment</w:t>
            </w:r>
          </w:p>
        </w:tc>
      </w:tr>
      <w:tr>
        <w:trPr>
          <w:trHeight w:val="234"/>
        </w:trPr>
        <w:tc>
          <w:tcPr>
            <w:tcW w:w="6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Quarter Average of Daily Availability</w:t>
            </w:r>
          </w:p>
        </w:tc>
        <w:tc>
          <w:tcPr>
            <w:tcW w:w="2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7"/>
        </w:trPr>
        <w:tc>
          <w:tcPr>
            <w:tcW w:w="63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&gt; 66% of $125 million aggregate commitment</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225.0</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4"/>
        </w:trPr>
        <w:tc>
          <w:tcPr>
            <w:tcW w:w="6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 66% but &gt; 33% of $125 million aggregate commitment</w:t>
            </w:r>
          </w:p>
        </w:tc>
        <w:tc>
          <w:tcPr>
            <w:tcW w:w="2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
        </w:trPr>
        <w:tc>
          <w:tcPr>
            <w:tcW w:w="6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4"/>
        </w:trPr>
        <w:tc>
          <w:tcPr>
            <w:tcW w:w="63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 33% of $125 million aggregate commitment</w:t>
            </w:r>
          </w:p>
        </w:tc>
        <w:tc>
          <w:tcPr>
            <w:tcW w:w="2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275.0</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
        </w:trPr>
        <w:tc>
          <w:tcPr>
            <w:tcW w:w="63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r>
    </w:tbl>
    <w:p>
      <w:pPr>
        <w:spacing w:after="0" w:line="15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10% of the $125 million commitment amount and continuing thereafter until availability is greater than 10% of the $125 million commitment amount for 30 consecutive days.</w:t>
      </w:r>
    </w:p>
    <w:p>
      <w:pPr>
        <w:spacing w:after="0" w:line="5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If at any time the availability under the ABL Facility is less than 20% of the maximum aggregate principal amount in effect at such time or an Event of Default occurs, the Company’s current monthly reporting requirements to lenders changes to a weekly cadence until the Event of Default is waived, cured or the availability under the ABL Facility is above 20% of the maximum aggregate principal amount for 30 consecutive days.</w:t>
      </w:r>
    </w:p>
    <w:p>
      <w:pPr>
        <w:spacing w:after="0" w:line="54" w:lineRule="exact"/>
        <w:rPr>
          <w:sz w:val="20"/>
          <w:szCs w:val="20"/>
          <w:color w:val="auto"/>
        </w:rPr>
      </w:pPr>
    </w:p>
    <w:p>
      <w:pPr>
        <w:ind w:right="40" w:firstLine="405"/>
        <w:spacing w:after="0" w:line="281" w:lineRule="auto"/>
        <w:rPr>
          <w:sz w:val="20"/>
          <w:szCs w:val="20"/>
          <w:color w:val="auto"/>
        </w:rPr>
      </w:pPr>
      <w:r>
        <w:rPr>
          <w:rFonts w:ascii="Times New Roman" w:cs="Times New Roman" w:eastAsia="Times New Roman" w:hAnsi="Times New Roman"/>
          <w:sz w:val="17"/>
          <w:szCs w:val="17"/>
          <w:color w:val="auto"/>
        </w:rPr>
        <w:t>A Cash Dominion Period goes into effect if availability under the ABL Facility falls below 12.5% of the aggregate commitment or an Event of Default (as defined in the ABL Facility) occurs. The Company would then be subject to the Cash Dominion Period until the Event of Default is waived, cured or the availability under the ABL Facility is above 12.5% of the maximum aggregate principal amount for 30 consecutive days. During a Cash Dominion Period, receipts that have not yet been applied to the ABL Facility are classified as restricted cash in the Company’s consolidated balance sheets.</w:t>
      </w:r>
    </w:p>
    <w:p>
      <w:pPr>
        <w:spacing w:after="0" w:line="29"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2022). In the event that the Company cannot certify that all conditions to the borrowing have been met, the lenders can restrict the Company’s future borrowings under the ABL Facility.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March 31, 2025, the Company was in compliance with all debt covenants.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May 6, 2025, the Company entered into Amendment No. 5 (the "Amended ABL Facility") to the Credit Agreement. The material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ABL Facility include the following:</w:t>
      </w:r>
    </w:p>
    <w:p>
      <w:pPr>
        <w:spacing w:after="0" w:line="8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 $125 million asset-based facility.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May 6, 2030.</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margins were reduced to a range between 1.75%-2.25% for any Term Benchmark Loan and any RFR Loan (each as defined in the Amended ABL Facility) and 0.75%-1.25% for any ABR Loan (as defined in the Amended ABL Facility), in each case, based on average quarterly availability.</w:t>
      </w:r>
    </w:p>
    <w:p>
      <w:pPr>
        <w:spacing w:after="0" w:line="5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fee was decreased from 0.40% to (i) 0.25% if the Average Usage (as defined in the Amended ABL Facility) is greater than or equal to 50% and (ii) 0.375% if Average Usage is less than 50%.</w:t>
      </w:r>
    </w:p>
    <w:p>
      <w:pPr>
        <w:spacing w:after="0" w:line="4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base calculation was amended as follows: (i) real property is no longer eligible to be included in the borrowing base, (ii) the PP&amp;E Component (as defined in the Amended ABL Facility), as included in the borrowing base, was changed to the lesser of (a) 60% of the Net Orderly Liquidation Value (as defined in the Amended ABL Facility) in place of eligible equipment and (b) 30% of the borrowing base and (iii) the amount of eligible cash included in the borrowing base is now capped at 15% of the borrowing base.</w:t>
      </w:r>
    </w:p>
    <w:p>
      <w:pPr>
        <w:spacing w:after="0" w:line="44"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Dominion Period is now triggered when (x) availability falls below the greater of (i) 12.5% of the Line Cap (as defined in the Amended ABL Facility) and (ii) $12.6 million or (y) during the continuation of an event of default and continuing until (x) availability is above the greater of (i) 12.5% of the Line Cap and (ii) $12.6 million for 30 consecutive days and (y) no events of default are continuing.</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fixed charge coverage ratio of 1.00 to 1.00 is now triggered upon the occurrence of availability being less than the greater of</w:t>
      </w:r>
    </w:p>
    <w:p>
      <w:pPr>
        <w:spacing w:after="0" w:line="27" w:lineRule="exact"/>
        <w:rPr>
          <w:rFonts w:ascii="Times New Roman" w:cs="Times New Roman" w:eastAsia="Times New Roman" w:hAnsi="Times New Roman"/>
          <w:sz w:val="18"/>
          <w:szCs w:val="18"/>
          <w:color w:val="auto"/>
        </w:rPr>
      </w:pPr>
    </w:p>
    <w:p>
      <w:pPr>
        <w:ind w:left="6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10% of the Line Cap and (y) $10 million and will continue until availability is equal to or greater than the greater of (x) 10% of the Line Cap and (y) $10 million for 30 consecutive days, as long as no events of default are continuing.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92" w:lineRule="exact"/>
        <w:rPr>
          <w:sz w:val="20"/>
          <w:szCs w:val="20"/>
          <w:color w:val="auto"/>
        </w:rPr>
      </w:pPr>
    </w:p>
    <w:p>
      <w:pPr>
        <w:ind w:right="80" w:firstLine="405"/>
        <w:spacing w:after="0" w:line="272" w:lineRule="auto"/>
        <w:rPr>
          <w:sz w:val="20"/>
          <w:szCs w:val="20"/>
          <w:color w:val="auto"/>
        </w:rPr>
      </w:pPr>
      <w:r>
        <w:rPr>
          <w:rFonts w:ascii="Times New Roman" w:cs="Times New Roman" w:eastAsia="Times New Roman" w:hAnsi="Times New Roman"/>
          <w:sz w:val="17"/>
          <w:szCs w:val="17"/>
          <w:color w:val="auto"/>
        </w:rPr>
        <w:t>On June 25, 2024, PE Films' business location in Guangzhou, China, Guangzhou Tredegar Film Products Co., Ltd. (“Guangzhou Tredegar”), entered into a 9.5 million Chinese Yuan revolving loan with the Industrial and Commercial Bank of China. The loan matures on July 3, 2025. The interest rate is the one year loan prime rate published by the National Interbank Funding Center for the working day immediately preceding the drawdown date, minus</w:t>
      </w:r>
    </w:p>
    <w:p>
      <w:pPr>
        <w:spacing w:after="0" w:line="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0.45%. As of March 31, 2025, the interest rate on the outstanding loan balance was 2.90%. The revolving loan is secured by a mortgage contract listing the Guangzhou Tredegar factory building as collateral. The mortgage contract has a maximum value of 30 million Chinese Yuan and is effective from June 25, 2024 through May 31, 2027. As of March 31, 2025 and December 31, 2024, this loan is presented as current debt on the consolidated balance sheets.</w:t>
      </w:r>
    </w:p>
    <w:p>
      <w:pPr>
        <w:spacing w:after="0" w:line="60" w:lineRule="exact"/>
        <w:rPr>
          <w:sz w:val="20"/>
          <w:szCs w:val="20"/>
          <w:color w:val="auto"/>
        </w:rPr>
      </w:pPr>
    </w:p>
    <w:p>
      <w:pPr>
        <w:ind w:right="8340" w:firstLine="8"/>
        <w:spacing w:after="0" w:line="375" w:lineRule="auto"/>
        <w:tabs>
          <w:tab w:leader="none" w:pos="2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DISCONTINUED OPERATIONS </w:t>
      </w:r>
      <w:r>
        <w:rPr>
          <w:rFonts w:ascii="Times New Roman" w:cs="Times New Roman" w:eastAsia="Times New Roman" w:hAnsi="Times New Roman"/>
          <w:sz w:val="17"/>
          <w:szCs w:val="17"/>
          <w:i w:val="1"/>
          <w:iCs w:val="1"/>
          <w:color w:val="auto"/>
        </w:rPr>
        <w:t>Flexible Packaging Films</w:t>
      </w:r>
    </w:p>
    <w:p>
      <w:pPr>
        <w:spacing w:after="0" w:line="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September 1, 2023, the Company entered into an agreement to sell Terphane, headquartered in Brazil, to Oben for net cash-free and debt-free base consideration of $116 million.</w:t>
      </w:r>
    </w:p>
    <w:p>
      <w:pPr>
        <w:spacing w:after="0" w:line="40"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On November 1, 2024, Tredegar completed the sale of Terphane to Oben. At closing, Tredegar received $60 million in cash, which was net of Terphane debt assumed by Oben of $20 million and estimated Terphane cash retained by Oben of $2 million. The cash proceeds received by Tredegar at closing were after deducting net working capital adjustments and closing indebtedness ($20.5 million), escrow funds ($19.8 million), projected Brazil withholding taxes ($10.8 million), and transaction expenses ($4.4 million). On February 28, 2025, the Company received $9.8 million from post-closing settlement of the transaction. The proceeds from the sale of Terphane were required to be used to pay down debt outstanding under the ABL Facility.</w:t>
      </w:r>
    </w:p>
    <w:p>
      <w:pPr>
        <w:spacing w:after="0" w:line="6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Upon completion of the sale, the Company recognized a pre-tax loss of $74.9 million for the year ended December 31, 2024, which included the realization of other comprehensive losses on foreign currency translation adjustments, net of gains on derivative financial instruments of $102.3 million previously reflected in accumulated other comprehensive income (loss).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financial results of discontinued operations reflected in the Condensed Consolidated Statements of Income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616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and other items</w:t>
            </w:r>
          </w:p>
        </w:tc>
        <w:tc>
          <w:tcPr>
            <w:tcW w:w="19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31,764</w:t>
            </w:r>
          </w:p>
        </w:tc>
      </w:tr>
      <w:tr>
        <w:trPr>
          <w:trHeight w:val="230"/>
        </w:trPr>
        <w:tc>
          <w:tcPr>
            <w:tcW w:w="61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9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9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9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9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1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29"/>
        </w:trPr>
        <w:tc>
          <w:tcPr>
            <w:tcW w:w="6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(Gain) loss on sale of business</w:t>
            </w:r>
          </w:p>
        </w:tc>
        <w:tc>
          <w:tcPr>
            <w:tcW w:w="1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32,809</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w:t>
            </w:r>
          </w:p>
        </w:tc>
        <w:tc>
          <w:tcPr>
            <w:tcW w:w="19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9,430</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9"/>
        </w:trPr>
        <w:tc>
          <w:tcPr>
            <w:tcW w:w="61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 (benefit)</w:t>
            </w:r>
            <w:r>
              <w:rPr>
                <w:rFonts w:ascii="Times New Roman" w:cs="Times New Roman" w:eastAsia="Times New Roman" w:hAnsi="Times New Roman"/>
                <w:sz w:val="23"/>
                <w:szCs w:val="23"/>
                <w:color w:val="auto"/>
                <w:vertAlign w:val="superscript"/>
              </w:rPr>
              <w:t>2</w:t>
            </w:r>
          </w:p>
        </w:tc>
        <w:tc>
          <w:tcPr>
            <w:tcW w:w="19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9,430</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wp:posOffset>
            </wp:positionV>
            <wp:extent cx="71151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ind w:left="360" w:right="280" w:hanging="321"/>
        <w:spacing w:after="0" w:line="222"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interest expense includes $0.6 million directly related to the $20 million of outstanding Terphane debt assumed by Oben.</w:t>
      </w:r>
    </w:p>
    <w:p>
      <w:pPr>
        <w:spacing w:after="0" w:line="1" w:lineRule="exact"/>
        <w:rPr>
          <w:rFonts w:ascii="Times New Roman" w:cs="Times New Roman" w:eastAsia="Times New Roman" w:hAnsi="Times New Roman"/>
          <w:sz w:val="18"/>
          <w:szCs w:val="18"/>
          <w:color w:val="auto"/>
        </w:rPr>
      </w:pPr>
    </w:p>
    <w:p>
      <w:pPr>
        <w:ind w:left="360" w:right="200" w:hanging="321"/>
        <w:spacing w:after="0" w:line="223"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inconsequential income tax expense (benefit) was recognized during the three months ended March 31, 2025 primarily due to foreign tax credits generated from the final Brazilian withholding tax payment made during the period, which offset the tax liability on the income from discontinued operations.</w:t>
      </w:r>
    </w:p>
    <w:p>
      <w:pPr>
        <w:spacing w:after="0" w:line="173"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Interest expense allocated to discontinued operations was determined by applying the ABL Facility weighted-average interest rate to the Terphane sale proceeds, as the sale proceeds were required to be used to pay down debt outstanding under the ABL Facility.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assets and liabilities of the discontinued operations reflected in the Condensed Consolidated Balance Sheets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respectively were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5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7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7"/>
        </w:trPr>
        <w:tc>
          <w:tcPr>
            <w:tcW w:w="57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30"/>
        </w:trPr>
        <w:tc>
          <w:tcPr>
            <w:tcW w:w="5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23"/>
                <w:szCs w:val="23"/>
                <w:b w:val="1"/>
                <w:bCs w:val="1"/>
                <w:color w:val="auto"/>
                <w:vertAlign w:val="superscript"/>
              </w:rPr>
              <w:t>1</w:t>
            </w:r>
          </w:p>
        </w:tc>
        <w:tc>
          <w:tcPr>
            <w:tcW w:w="20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57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0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8"/>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360" w:right="860" w:hanging="321"/>
        <w:spacing w:after="0" w:line="237"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 of discontinued operations as of December 31, 2024 includes $0.6 million of severance and $0.2 million of miscellaneous accrued expenses.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color w:val="auto"/>
        </w:rPr>
        <w:t>The following table provides significant operating, investing and financing cash flow information for discontinued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6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55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the sale of divested business</w:t>
            </w:r>
          </w:p>
        </w:tc>
        <w:tc>
          <w:tcPr>
            <w:tcW w:w="25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sale of Terphane</w:t>
            </w:r>
          </w:p>
        </w:tc>
        <w:tc>
          <w:tcPr>
            <w:tcW w:w="2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9,835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5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5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9,835</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5" w:right="359" w:bottom="1440" w:gutter="0" w:footer="0" w:header="0"/>
        </w:sectPr>
      </w:pPr>
    </w:p>
    <w:bookmarkStart w:id="19" w:name="page20"/>
    <w:bookmarkEnd w:id="19"/>
    <w:p>
      <w:pPr>
        <w:jc w:val="right"/>
        <w:ind w:right="362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spacing w:after="0" w:line="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7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inflation, interest rates and recession risks;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any of the financial and other restrictive covenants in the ABL Facility;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governmental entities to prevent foreign companies from evading antidumping and countervailing duties;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delays with the implementation of the enterprise resource planning and manufacturing executions systems, or security breaches and other disruptions to the Company's information technology infrastructure;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to significant customers on which the Company’s business is highly dependent;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strategic acquisitions or dispositions, failure to realize the expected benefits of such acquisitions or dispositions, and assumption of unanticipated risks in such acquisitions or dispositions;</w:t>
      </w:r>
    </w:p>
    <w:p>
      <w:pPr>
        <w:spacing w:after="0" w:line="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2024 (the “2024 Form 10-K”). Readers are urged to review and consider carefully the disclosures Tredegar makes in its filings with the SEC.</w:t>
      </w:r>
    </w:p>
    <w:p>
      <w:pPr>
        <w:spacing w:after="0" w:line="36" w:lineRule="exact"/>
        <w:rPr>
          <w:sz w:val="20"/>
          <w:szCs w:val="20"/>
          <w:color w:val="auto"/>
        </w:rPr>
      </w:pPr>
    </w:p>
    <w:p>
      <w:pPr>
        <w:ind w:right="460" w:firstLine="405"/>
        <w:spacing w:after="0" w:line="312"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1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2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2024 Form 10-K have the greatest potential impact on our financial statements, so Tredegar considers these to be its critical accounting policies. Since December 31, 2024, there have been no changes in these policies or estimates that have had a material impact on our results of operations or financial position.</w:t>
      </w:r>
    </w:p>
    <w:p>
      <w:pPr>
        <w:spacing w:after="0" w:line="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Tredegar Corporation is an industrial manufacturer with two primary businesses: custom aluminum extrusions for the building &amp; construction (“B&amp;C”). automotive and specialty end-use markets in the United States through its Aluminum Extrusions segment (with exports comprising less than 5% of total sales volume) and surface protection films for high-technology applications in the global electronics industry through its PE Films segment. With approximately 1,500 employees, the Company operates manufacturing facilities in the U.S. and China.</w:t>
      </w:r>
    </w:p>
    <w:p>
      <w:pPr>
        <w:spacing w:after="0" w:line="4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Earnings before interest and taxes ("EBIT") from ongoing operations is a non-GAAP financial measure included in the reconciliation of segment financial information to consolidated results for the Company in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6"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First quarter 2025 net income (loss) from continuing operations was $0.7 million ($0.02 per diluted share) compared to $2.6 million ($0.08 per diluted share) in the first quarter of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 Highlights</w:t>
      </w:r>
    </w:p>
    <w:p>
      <w:pPr>
        <w:spacing w:after="0" w:line="108" w:lineRule="exact"/>
        <w:rPr>
          <w:sz w:val="20"/>
          <w:szCs w:val="20"/>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 from ongoing operations for Aluminum Extrusions was $9.2 million in the first quarter of 2025 versus $12.5 million in the first quarter of 2024</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was 37.9 million pounds in the first quarter of 2025 versus 33.8 million pounds in the first quarter of 2024.</w:t>
      </w:r>
    </w:p>
    <w:p>
      <w:pPr>
        <w:spacing w:after="0" w:line="90" w:lineRule="exact"/>
        <w:rPr>
          <w:rFonts w:ascii="Times New Roman" w:cs="Times New Roman" w:eastAsia="Times New Roman" w:hAnsi="Times New Roman"/>
          <w:sz w:val="18"/>
          <w:szCs w:val="18"/>
          <w:color w:val="auto"/>
        </w:rPr>
      </w:pPr>
    </w:p>
    <w:p>
      <w:pPr>
        <w:jc w:val="both"/>
        <w:ind w:left="1300" w:right="400" w:hanging="320"/>
        <w:spacing w:after="0" w:line="266"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orders increased 36% in the first quarter of 2025 versus the first quarter of 2024 and 24% versus the fourth quarter of 2024. Open orders at the end of the first quarter of 2025 were 25 million pounds, which is up from 15 million pounds at the end of the first quarter of 2024 and 17 million pounds at the end of the fourth quarter of 2024.</w:t>
      </w:r>
    </w:p>
    <w:p>
      <w:pPr>
        <w:spacing w:after="0" w:line="5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was $7.5 million in the first quarter of 2025 versus $6.9 million in the first quarter of 2024 and versus $7.6 million in the fourth quarter of 2024.</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was 9.6 million pounds in the first quarter of 2025 versus 10.0 million pounds in the first quarter of 2024.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of 2025 Compared with the First Quarter of 2024</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first quarter of 2024 to the first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three months ended March 31, 2024</w:t>
            </w:r>
          </w:p>
        </w:tc>
        <w:tc>
          <w:tcPr>
            <w:tcW w:w="15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March 31, 2024</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w:t>
            </w:r>
          </w:p>
        </w:tc>
      </w:tr>
      <w:tr>
        <w:trPr>
          <w:trHeight w:val="229"/>
        </w:trPr>
        <w:tc>
          <w:tcPr>
            <w:tcW w:w="8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(20,537)</w:t>
            </w:r>
          </w:p>
        </w:tc>
      </w:tr>
      <w:tr>
        <w:trPr>
          <w:trHeight w:val="230"/>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29"/>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 adjustments</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89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w:t>
            </w: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March 31, 2025</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three months ended March 31, 2025</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bl>
    <w:p>
      <w:pPr>
        <w:spacing w:after="0" w:line="15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Sales in the first quarter of 2025 increased by $20.8 million compared with the first quarter of 2024. Net sales (sales less freight) in Aluminum Extrusions increased $19.4 million, primarily due to higher sales volume and the pass-through of higher metal costs, partially offset by a lower average conversion price add-on to metal costs associated with a shift in sales mix. Net sales in PE Films increased $0.8 million, primarily due to volume increases in Surface Protection.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5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14.3% in the first quarter of 2025 compared to 16.6% in the first quarter of 2024. The gross profit margin in Aluminum Extrusions decreased compared to the prior year period primarily due to lower spread (the difference between selling prices and metal costs) associated with a shift in sales mix, higher variable manufacturing costs associated with material yield, which was unfavorable to projected rates, increased labor, net of increased labor productivity, to accommodate the rise in orders, unfavorable maintenance expense associated with extreme winter weather events and downed equipment, higher die expense associated with the timing of purchases and increasing volume and higher utilities, partially offset by higher volume. Additionally, 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$1.7 million in the first quarter of 2025 versus a charge of $1.3 million in the first quarter of 2024. The gross profit margin in PE Films increased due to a higher Surface Protection contribution margin associated with increased volume, favorable sales mix and pricing and cost improvements, partially offset by decreased overwrap films contribution margin associated with lower volume and unfavorable sales mix and unfavorable pricing.</w:t>
      </w:r>
    </w:p>
    <w:p>
      <w:pPr>
        <w:spacing w:after="0" w:line="55"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were 12.6% in the first quarter of 2025 compared with 11.6% in the first quarter of 2024. Higher SG&amp;A spending was primarily due to higher professional fees associated with business development activities and higher employee-related incentive compensation.</w:t>
      </w:r>
    </w:p>
    <w:p>
      <w:pPr>
        <w:spacing w:after="0" w:line="5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decrease in asset impairments and costs associated with exit and disposal activities, net of adjustments is due to the closure of the PE Films technical center in Richmond, VA in 2024.</w:t>
      </w:r>
    </w:p>
    <w:p>
      <w:pPr>
        <w:spacing w:after="0" w:line="40"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effective tax rate used to compute income taxes (benefit) from continuing operations in the first three months of 2025 was 46.2% compared to 47.8% in the first three months of 2024. The effective tax rate in the first three months of 2025 was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impacted by lower taxable discrete items and a lower projected annual effective tax rate offset by the impact of lower book income.</w:t>
      </w:r>
    </w:p>
    <w:p>
      <w:pPr>
        <w:spacing w:after="0" w:line="90"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Pre-tax gains and losses associated with plant shutdowns, asset impairments, restructurings and other items for the first quarters of 2025 and 2024 detailed below are shown in the reconciliation of net sales and EBITDA from ongoing operations by segment in the table in the </w:t>
      </w:r>
      <w:r>
        <w:rPr>
          <w:rFonts w:ascii="Times New Roman" w:cs="Times New Roman" w:eastAsia="Times New Roman" w:hAnsi="Times New Roman"/>
          <w:sz w:val="18"/>
          <w:szCs w:val="18"/>
          <w:b w:val="1"/>
          <w:bCs w:val="1"/>
          <w:i w:val="1"/>
          <w:iCs w:val="1"/>
          <w:color w:val="auto"/>
        </w:rPr>
        <w:t>Segment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section below and are included in “Asset impairments and costs associated with exit and disposal activities, net of adjustments”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income, unless otherwise noted.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4"/>
        </w:trPr>
        <w:tc>
          <w:tcPr>
            <w:tcW w:w="8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20"/>
                <w:szCs w:val="20"/>
                <w:color w:val="auto"/>
              </w:rPr>
            </w:pPr>
          </w:p>
        </w:tc>
      </w:tr>
      <w:tr>
        <w:trPr>
          <w:trHeight w:val="238"/>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5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5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5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matters</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5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Aluminum premium charge as a result of unplanned maintenance interruptions</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5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3"/>
                <w:szCs w:val="23"/>
                <w:color w:val="auto"/>
                <w:vertAlign w:val="superscript"/>
              </w:rPr>
              <w:t>3</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52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lease modification</w:t>
            </w:r>
            <w:r>
              <w:rPr>
                <w:rFonts w:ascii="Times New Roman" w:cs="Times New Roman" w:eastAsia="Times New Roman" w:hAnsi="Times New Roman"/>
                <w:sz w:val="23"/>
                <w:szCs w:val="23"/>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5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5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adjustment</w:t>
            </w:r>
            <w:r>
              <w:rPr>
                <w:rFonts w:ascii="Times New Roman" w:cs="Times New Roman" w:eastAsia="Times New Roman" w:hAnsi="Times New Roman"/>
                <w:sz w:val="23"/>
                <w:szCs w:val="23"/>
                <w:color w:val="auto"/>
                <w:vertAlign w:val="superscript"/>
              </w:rPr>
              <w:t>4</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52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Initial installment proceeds on the sale of corporate-owned land</w:t>
            </w:r>
            <w:r>
              <w:rPr>
                <w:rFonts w:ascii="Times New Roman" w:cs="Times New Roman" w:eastAsia="Times New Roman" w:hAnsi="Times New Roman"/>
                <w:sz w:val="23"/>
                <w:szCs w:val="23"/>
                <w:color w:val="auto"/>
                <w:vertAlign w:val="superscript"/>
              </w:rPr>
              <w:t>4</w:t>
            </w: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4"/>
        <w:spacing w:after="0" w:line="211" w:lineRule="auto"/>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 of Goods Sold” in the condensed consolidated statements of income.</w:t>
      </w:r>
    </w:p>
    <w:p>
      <w:pPr>
        <w:ind w:left="180" w:hanging="154"/>
        <w:spacing w:after="0" w:line="211" w:lineRule="auto"/>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for additional information.</w:t>
      </w:r>
    </w:p>
    <w:p>
      <w:pPr>
        <w:ind w:left="180" w:hanging="154"/>
        <w:spacing w:after="0"/>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6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133.1</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864"/>
        </w:trPr>
        <w:tc>
          <w:tcPr>
            <w:tcW w:w="66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Segment Operations Review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52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Pr>
          <w:p>
            <w:pPr>
              <w:spacing w:after="0"/>
              <w:rPr>
                <w:sz w:val="20"/>
                <w:szCs w:val="20"/>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7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37,918</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33,841</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133,635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114,222</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103,523</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84,786</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7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11,214</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7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9,412</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74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5"/>
              </w:rPr>
              <w:t>7.0%</w:t>
            </w:r>
          </w:p>
        </w:tc>
      </w:tr>
      <w:tr>
        <w:trPr>
          <w:trHeight w:val="230"/>
        </w:trPr>
        <w:tc>
          <w:tcPr>
            <w:tcW w:w="748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4,935</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5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180" w:hanging="154"/>
        <w:spacing w:after="0"/>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2025 Results vs. First Quarter 2024 Results</w:t>
      </w:r>
    </w:p>
    <w:p>
      <w:pPr>
        <w:spacing w:after="0" w:line="106" w:lineRule="exact"/>
        <w:rPr>
          <w:sz w:val="20"/>
          <w:szCs w:val="20"/>
          <w:color w:val="auto"/>
        </w:rPr>
      </w:pPr>
    </w:p>
    <w:p>
      <w:pPr>
        <w:ind w:right="100" w:firstLine="405"/>
        <w:spacing w:after="0" w:line="243" w:lineRule="auto"/>
        <w:rPr>
          <w:sz w:val="20"/>
          <w:szCs w:val="20"/>
          <w:color w:val="auto"/>
        </w:rPr>
      </w:pPr>
      <w:r>
        <w:rPr>
          <w:rFonts w:ascii="Times New Roman" w:cs="Times New Roman" w:eastAsia="Times New Roman" w:hAnsi="Times New Roman"/>
          <w:sz w:val="18"/>
          <w:szCs w:val="18"/>
          <w:color w:val="auto"/>
        </w:rPr>
        <w:t>Net sales (sales less freight) in the first quarter of 2025 increased 17.0% versus the first quarter of 2024 primarily due to higher sales volume and the pass-through of higher metal costs, partially offset by a lower average conversion price add-on to metal costs associated with a shift in sales mix. Sales volume in the first quarter of 2025 increased 12.0% versus the first quarter of 2024 and 5.9% versus the fourth quarter of 2024. The Company saw increased shipments for specialty markets, primarily for solar panels within the electrical product group for both year-over-year and sequential periods and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aluminum framing systems versus the first quarter of last year. The Company estimates that the growth in the solar market was partly due to regaining share previously lost to imported aluminum extrusions.</w:t>
      </w:r>
    </w:p>
    <w:p>
      <w:pPr>
        <w:spacing w:after="0" w:line="6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Net new orders increased 36% in the first quarter of 2025 versus the first quarter of 2024 and 24% versus the fourth quarter of 2024, largely due to improving sales opportunities. The Company is experiencing strong demand and share gains for solar products within the electrical product group (as noted above) and curtainwall and institutional walkway covers within the non-residential B&amp;C product group. The first quarter of 2025 marked the tenth consecutive quarterly increase for this metric, supporting the Company’s belief that a steady recovery is underway.</w:t>
      </w:r>
    </w:p>
    <w:p>
      <w:pPr>
        <w:spacing w:after="0" w:line="58"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Open orders at the end of the first quarter of 2025 were 25 million pounds, which is up from 15 million pounds at the end of the first quarter of 2024 and 17 million pounds at the end of the fourth quarter of 2024 and is the highest level in the last two years. This level falls within the quarterly range of 21 to 27 million pounds in 2019 before pandemic-related disruptions that resulted in long lead times.</w:t>
      </w:r>
    </w:p>
    <w:p>
      <w:pPr>
        <w:spacing w:after="0" w:line="5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February 10, 2025, the Section 232 tariffs on all aluminum imports were increased from 10% to 25%, effective March 12, 2025, and certain country-specific and product-specific exclusions from the tariffs were revoked. This action also expanded the scope of the tariffs to include downstream products, including certain finished aluminum goods. These measures, which are in addition to existing antidumping and countervailing duties, are intended to prevent the circumvention of duties through the importation of downstream products. The tariffs on aluminum imports have been implemented with no country-specific or product-specific exclusions occurring to date. The Company believes that it has begun to regain some market share for business that was previously associated with imports, particularly in the specialty market, as noted above.</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2025 decreased $3.4 million versus the first quarter of 2024, primarily due to:</w:t>
      </w:r>
    </w:p>
    <w:p>
      <w:pPr>
        <w:spacing w:after="0" w:line="10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Flat contribution margin (net sales less variable costs) associated with:</w:t>
      </w:r>
    </w:p>
    <w:p>
      <w:pPr>
        <w:spacing w:after="0" w:line="103"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spread (the difference between selling prices and metal costs) associated with a shift in sales mix ($2.4 million), higher variable manufacturing costs associated with material yield, which was unfavorable to projected rates ($0.7 million unfavorable in the first quarter of 2025 versus $0.6 million favorable in the first quarter of 2024), increased labor, net of increased labor productivity ($0.6 million), to accommodate the rise in orders, unfavorable maintenance expense associated with extreme winter weather events and downed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left="1300" w:right="280"/>
        <w:spacing w:after="0" w:line="282" w:lineRule="auto"/>
        <w:rPr>
          <w:sz w:val="20"/>
          <w:szCs w:val="20"/>
          <w:color w:val="auto"/>
        </w:rPr>
      </w:pPr>
      <w:r>
        <w:rPr>
          <w:rFonts w:ascii="Times New Roman" w:cs="Times New Roman" w:eastAsia="Times New Roman" w:hAnsi="Times New Roman"/>
          <w:sz w:val="18"/>
          <w:szCs w:val="18"/>
          <w:color w:val="auto"/>
        </w:rPr>
        <w:t>equipment ($0.7 million), higher die expense associated with the timing of purchases and increasing volume ($1.0 million) and higher utilities ($0.2 million), partially offset by higher volume ($3.4 million); and</w:t>
      </w:r>
    </w:p>
    <w:p>
      <w:pPr>
        <w:spacing w:after="0" w:line="27" w:lineRule="exact"/>
        <w:rPr>
          <w:sz w:val="20"/>
          <w:szCs w:val="20"/>
          <w:color w:val="auto"/>
        </w:rPr>
      </w:pPr>
    </w:p>
    <w:p>
      <w:pPr>
        <w:ind w:left="1300" w:right="40" w:hanging="320"/>
        <w:spacing w:after="0" w:line="261"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$1.7 million in the first quarter of 2025 versus a charge of $1.3 million in the first quarter of 2024.</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associated with wage increases and added resources to support increasing volume ($1.0 million).</w:t>
      </w:r>
    </w:p>
    <w:p>
      <w:pPr>
        <w:spacing w:after="0" w:line="10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("SG&amp;A") expenses of $2.6 million primarily associated with employee-related compensation ($1.7 million), travel and consulting fees ($0.3 million) and routine environmental compliance costs ($0.4 million).</w:t>
      </w:r>
    </w:p>
    <w:p>
      <w:pPr>
        <w:spacing w:after="0" w:line="25" w:lineRule="exact"/>
        <w:rPr>
          <w:sz w:val="20"/>
          <w:szCs w:val="20"/>
          <w:color w:val="auto"/>
        </w:rPr>
      </w:pPr>
    </w:p>
    <w:p>
      <w:pPr>
        <w:ind w:right="520" w:firstLine="405"/>
        <w:spacing w:after="0" w:line="361"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$17 million in 2025, including $5 million for productivity projects and $12 million for capital expenditures required to support continuity of operations. Depreciation expense is projected to be $16 million in 2025. Amortization expense is projected to be $2 million in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4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41"/>
        </w:trPr>
        <w:tc>
          <w:tcPr>
            <w:tcW w:w="7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2024</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9,639</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(4.0)%</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25,537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3.2%</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11,977</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0.4%</w:t>
            </w:r>
          </w:p>
        </w:tc>
      </w:tr>
      <w:tr>
        <w:trPr>
          <w:trHeight w:val="229"/>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3,459</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(6.7)%</w:t>
            </w:r>
          </w:p>
        </w:tc>
      </w:tr>
      <w:tr>
        <w:trPr>
          <w:trHeight w:val="230"/>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2,592</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(3.0)%</w:t>
            </w:r>
          </w:p>
        </w:tc>
      </w:tr>
      <w:tr>
        <w:trPr>
          <w:trHeight w:val="230"/>
        </w:trPr>
        <w:tc>
          <w:tcPr>
            <w:tcW w:w="75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8.9%</w:t>
            </w:r>
          </w:p>
        </w:tc>
      </w:tr>
      <w:tr>
        <w:trPr>
          <w:trHeight w:val="230"/>
        </w:trPr>
        <w:tc>
          <w:tcPr>
            <w:tcW w:w="7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5"/>
              </w:rPr>
              <w:t>5.9%</w:t>
            </w:r>
          </w:p>
        </w:tc>
      </w:tr>
      <w:tr>
        <w:trPr>
          <w:trHeight w:val="230"/>
        </w:trPr>
        <w:tc>
          <w:tcPr>
            <w:tcW w:w="752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180" w:hanging="154"/>
        <w:spacing w:after="0"/>
        <w:tabs>
          <w:tab w:leader="none" w:pos="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2025 Results vs. First Quarter 2024 Results</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Net sales in the first quarter of 2025 increased 3.2% versus the first quarter of 2024, due to higher net sales in surface protection films. Surface Protection sales volume increased 4% in the first quarter of 2025 versus the first quarter of 2024 and decreased 5.6% versus the fourth quarter of 2024. Recent volume performance for Surface Protection has exceeded expectations, given high sales volume in the first half of 2024 associated with restocking of Surface Protection customer inventories. The Company believes there is the possibility that some display volume may have been pulled forward in anticipation of U.S. tariffs on imported televisions and mobile devices. To date, Surface Protection has not experienced an adverse impact on customer demand related to potential tariff actions; however, the situation remains fluid and the impact on consumer electronics is uncertain. Overwrap sales volume, which is predominantly manufactured and sold in the U.S. and used in consumer staple items, decreased 11.9% in the first quarter of 2025 versus a strong volume performance in the first quarter of 2024.</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2025 increased $0.6 million versus the first quarter of 2024, primarily due to:</w:t>
      </w:r>
    </w:p>
    <w:p>
      <w:pPr>
        <w:spacing w:after="0" w:line="10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contribution margin of $0.9 million resulting from: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left="1300" w:right="320" w:hanging="320"/>
        <w:spacing w:after="0" w:line="282"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increase from Surface Protection associated with increased volume, favorable sales mix and pricing ($0.7 million) and cost improvements ($0.8 million); and</w:t>
      </w:r>
    </w:p>
    <w:p>
      <w:pPr>
        <w:spacing w:after="0" w:line="26"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decrease from overwrap films primarily due to lower volume, unfavorable sales mix ($0.5 million) and unfavorable pricing ($0.1 million).</w:t>
      </w:r>
    </w:p>
    <w:p>
      <w:pPr>
        <w:spacing w:after="0" w:line="40" w:lineRule="exact"/>
        <w:rPr>
          <w:sz w:val="20"/>
          <w:szCs w:val="20"/>
          <w:color w:val="auto"/>
        </w:rPr>
      </w:pPr>
    </w:p>
    <w:p>
      <w:pPr>
        <w:ind w:firstLine="389"/>
        <w:spacing w:after="0" w:line="266" w:lineRule="auto"/>
        <w:rPr>
          <w:sz w:val="20"/>
          <w:szCs w:val="20"/>
          <w:color w:val="auto"/>
        </w:rPr>
      </w:pPr>
      <w:r>
        <w:rPr>
          <w:rFonts w:ascii="Times New Roman" w:cs="Times New Roman" w:eastAsia="Times New Roman" w:hAnsi="Times New Roman"/>
          <w:sz w:val="18"/>
          <w:szCs w:val="18"/>
          <w:color w:val="auto"/>
        </w:rPr>
        <w:t>There have been significant cyclical swings in the sales volume and EBITDA from ongoing operations for PE Films in the last three years, largely due to the unprecedented downturn in the display industry during the second half of 2022 and first half of 2023. EBITDA from ongoing operations for the past 3.25 years (first quarter of 2025, full year 2024, 2023 and 2022) has averaged approximately $4.7 million per quarter.</w:t>
      </w:r>
    </w:p>
    <w:p>
      <w:pPr>
        <w:spacing w:after="0" w:line="39" w:lineRule="exact"/>
        <w:rPr>
          <w:sz w:val="20"/>
          <w:szCs w:val="20"/>
          <w:color w:val="auto"/>
        </w:rPr>
      </w:pPr>
    </w:p>
    <w:p>
      <w:pPr>
        <w:ind w:right="900" w:firstLine="405"/>
        <w:spacing w:after="0" w:line="353"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PE Films are projected to be $3 million in 2025, including $2 million for productivity projects and $1 million for capital expenditures required to support continuity of current operations. Depreciation expense is projected to be $5 million in 2025. There is no amortization expense for PE Films.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 Interest &amp; Other</w:t>
      </w:r>
    </w:p>
    <w:p>
      <w:pPr>
        <w:spacing w:after="0" w:line="9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Corporate expenses, net in the first three months of 2025 increased $2.0 million compared to the first three months of 2024 primarily due to higher professional fees associated with business development activities ($2.2 million) and higher employee-related incentive compensation ($1.0 million), partially offset by lower external and internal audit fees ($0.4 million), lower professional fees associated with remediation activities related to internal control over financial reporting ($0.4 million), and lower software maintenance fees ($0.1 million).</w:t>
      </w:r>
    </w:p>
    <w:p>
      <w:pPr>
        <w:spacing w:after="0" w:line="5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Interest expense was $1.0 million in the first three months of 2025 in comparison to $1.2 million in the first three months of 2024, primarily due to lower weighted average total debt outstanding and lower interest rates.</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Net Sales and EBITDA from Ongoing Operations by Segment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segment financial information to consolidated results for the Company for the three months ended March 31, 2025 and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7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8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133,635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114,222</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25,537</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23"/>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159,172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138,957</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5,566</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30"/>
        </w:trPr>
        <w:tc>
          <w:tcPr>
            <w:tcW w:w="8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164,738</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143,972</w:t>
            </w:r>
          </w:p>
        </w:tc>
      </w:tr>
      <w:tr>
        <w:trPr>
          <w:trHeight w:val="257"/>
        </w:trPr>
        <w:tc>
          <w:tcPr>
            <w:tcW w:w="8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r>
      <w:tr>
        <w:trPr>
          <w:trHeight w:val="230"/>
        </w:trPr>
        <w:tc>
          <w:tcPr>
            <w:tcW w:w="87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23"/>
        </w:trPr>
        <w:tc>
          <w:tcPr>
            <w:tcW w:w="8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4,935</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r>
      <w:tr>
        <w:trPr>
          <w:trHeight w:val="23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r>
      <w:tr>
        <w:trPr>
          <w:trHeight w:val="229"/>
        </w:trPr>
        <w:tc>
          <w:tcPr>
            <w:tcW w:w="87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23"/>
        </w:trPr>
        <w:tc>
          <w:tcPr>
            <w:tcW w:w="8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6,270</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r>
      <w:tr>
        <w:trPr>
          <w:trHeight w:val="230"/>
        </w:trPr>
        <w:tc>
          <w:tcPr>
            <w:tcW w:w="8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10,038</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7,782</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9"/>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9,430</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bl>
    <w:p>
      <w:pPr>
        <w:spacing w:after="0" w:line="15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2024 to March 31, 2025 are summarized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$14.9 million (23.0%).</w:t>
      </w:r>
    </w:p>
    <w:p>
      <w:pPr>
        <w:spacing w:after="0" w:line="90" w:lineRule="exact"/>
        <w:rPr>
          <w:rFonts w:ascii="Times New Roman" w:cs="Times New Roman" w:eastAsia="Times New Roman" w:hAnsi="Times New Roman"/>
          <w:sz w:val="18"/>
          <w:szCs w:val="18"/>
          <w:color w:val="auto"/>
        </w:rPr>
      </w:pPr>
    </w:p>
    <w:p>
      <w:pPr>
        <w:ind w:left="820" w:right="180" w:hanging="407"/>
        <w:spacing w:after="0" w:line="261" w:lineRule="auto"/>
        <w:tabs>
          <w:tab w:leader="none" w:pos="8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Aluminum Extrusions increased $13.2 million primarily due to higher sales volume and the pass-through of higher metal costs, partially offset by a lower average conversion price add-on to metal costs associated with a shift in sales mix. DSO (represents trailing 12 months net sales divided by a rolling 12-month average of accounts and other receivables balances) was approximately 44.9 days for the 12 months ended March 31, 2025 and 44.7 days for the 12 months ended December 31, 2024.</w:t>
      </w:r>
    </w:p>
    <w:p>
      <w:pPr>
        <w:spacing w:after="0" w:line="58" w:lineRule="exact"/>
        <w:rPr>
          <w:rFonts w:ascii="Times New Roman" w:cs="Times New Roman" w:eastAsia="Times New Roman" w:hAnsi="Times New Roman"/>
          <w:sz w:val="18"/>
          <w:szCs w:val="18"/>
          <w:color w:val="auto"/>
        </w:rPr>
      </w:pPr>
    </w:p>
    <w:p>
      <w:pPr>
        <w:ind w:left="820" w:right="20" w:hanging="407"/>
        <w:spacing w:after="0" w:line="266" w:lineRule="auto"/>
        <w:tabs>
          <w:tab w:leader="none" w:pos="8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increased $1.2 million primarily due to the timing of cash collections and orders related to overwrap films during the first quarter of 2025 compared to the fourth quarter of 2024. DSO was approximately 25.2 days for the 12 months ended March 31, 2025 and 24.9 days for the 12 months ended December 31, 2024.</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$17.5 million (34.1%).</w:t>
      </w:r>
    </w:p>
    <w:p>
      <w:pPr>
        <w:spacing w:after="0" w:line="90" w:lineRule="exact"/>
        <w:rPr>
          <w:rFonts w:ascii="Times New Roman" w:cs="Times New Roman" w:eastAsia="Times New Roman" w:hAnsi="Times New Roman"/>
          <w:sz w:val="18"/>
          <w:szCs w:val="18"/>
          <w:color w:val="auto"/>
        </w:rPr>
      </w:pPr>
    </w:p>
    <w:p>
      <w:pPr>
        <w:ind w:left="820" w:right="40" w:hanging="407"/>
        <w:spacing w:after="0" w:line="272" w:lineRule="auto"/>
        <w:tabs>
          <w:tab w:leader="none" w:pos="816"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Inventories in Aluminum Extrusions increased $16.8 million primarily due to higher average aluminum prices and increased raw material levels from seasonally low levels at the end of last year. DIO (represents trailing 12 months costs of goods sold calculated on a FIFO basis divided by a rolling 12-month average of inventory balances calculated on the FIFO basis) was approximately 48.0 days for the 12 months ended</w:t>
      </w:r>
    </w:p>
    <w:p>
      <w:pPr>
        <w:spacing w:after="0" w:line="1"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March 31, 2025 and 47.4 days for the 12 months ended December 31, 2024.</w:t>
      </w:r>
    </w:p>
    <w:p>
      <w:pPr>
        <w:spacing w:after="0" w:line="85" w:lineRule="exact"/>
        <w:rPr>
          <w:rFonts w:ascii="Times New Roman" w:cs="Times New Roman" w:eastAsia="Times New Roman" w:hAnsi="Times New Roman"/>
          <w:sz w:val="17"/>
          <w:szCs w:val="17"/>
          <w:color w:val="auto"/>
        </w:rPr>
      </w:pPr>
    </w:p>
    <w:p>
      <w:pPr>
        <w:ind w:left="820" w:hanging="407"/>
        <w:spacing w:after="0" w:line="282" w:lineRule="auto"/>
        <w:tabs>
          <w:tab w:leader="none" w:pos="8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increased $0.8 million primarily due to higher raw materials levels. DIO was approximately 50.7 days for the 12 months ended March 31, 2025 and 50.3 days for the 12 months ended December 31, 2024.</w:t>
      </w:r>
    </w:p>
    <w:p>
      <w:pPr>
        <w:spacing w:after="0" w:line="40" w:lineRule="exact"/>
        <w:rPr>
          <w:rFonts w:ascii="Times New Roman" w:cs="Times New Roman" w:eastAsia="Times New Roman" w:hAnsi="Times New Roman"/>
          <w:sz w:val="18"/>
          <w:szCs w:val="18"/>
          <w:color w:val="auto"/>
        </w:rPr>
      </w:pPr>
    </w:p>
    <w:p>
      <w:pPr>
        <w:ind w:left="420" w:right="920" w:hanging="412"/>
        <w:spacing w:after="0" w:line="282" w:lineRule="auto"/>
        <w:tabs>
          <w:tab w:leader="none" w:pos="4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decreased $2.5 million primarily due to depreciation expense of $5.1 million, partially offset by capital expenditures of $2.7 million.</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$0.4 million (6.0%) due to amortization expense.</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$18.5 million (28.6%).</w:t>
      </w:r>
    </w:p>
    <w:p>
      <w:pPr>
        <w:spacing w:after="0" w:line="103" w:lineRule="exact"/>
        <w:rPr>
          <w:rFonts w:ascii="Times New Roman" w:cs="Times New Roman" w:eastAsia="Times New Roman" w:hAnsi="Times New Roman"/>
          <w:sz w:val="18"/>
          <w:szCs w:val="18"/>
          <w:color w:val="auto"/>
        </w:rPr>
      </w:pPr>
    </w:p>
    <w:p>
      <w:pPr>
        <w:ind w:left="820" w:hanging="407"/>
        <w:spacing w:after="0" w:line="261" w:lineRule="auto"/>
        <w:tabs>
          <w:tab w:leader="none" w:pos="8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increased $16.0 million primarily due to higher average aluminum prices and increased raw material purchases. DPO (represents trailing 12 months costs of goods sold calculated on a FIFO basis divided by a rolling 12-month average of accounts payable balances) was approximately 45.4 days for the 12 months ended March 31, 2025 and 44.5 days for the 12 months ended December 31, 2024.</w:t>
      </w:r>
    </w:p>
    <w:p>
      <w:pPr>
        <w:spacing w:after="0" w:line="44"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increased $0.9 million primarily due to higher raw material purchases. DPO was approximately 39.9 days for the 12 months ended March 31, 2025 and 41.3 days for the 12 months ended December 31, 2024.</w:t>
      </w:r>
    </w:p>
    <w:p>
      <w:pPr>
        <w:spacing w:after="0" w:line="40"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$5.0 million in the first three months of 2025 compared to net cash used in operating activities of $7.7 million in the first three months of 2024. The change in operating activities from the Company's continuing business segments is primarily due to lower working capital, partially offset by lower EBITDA from ongoing operations.</w:t>
      </w:r>
    </w:p>
    <w:p>
      <w:pPr>
        <w:spacing w:after="0" w:line="5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$6.9 million in the first three months of 2025 compared to net cash used in investing activities of $2.4 million the first three months of 2024. The change is primarily due to $9.8 million post-closing settlement proceeds associated with the sale of Terphane received in the first three months of 2025, partially offset by higher capital expenditures ($0.5 million).</w:t>
      </w:r>
    </w:p>
    <w:p>
      <w:pPr>
        <w:spacing w:after="0" w:line="41"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$5.3 million in the first three months of 2025 compared to net cash provided by financing activities of $2.0 million in the first three months of 2024. The change is primarily due to higher debt principal payments, net of borrowings ($7.3 million) under the ABL Facility (as defined below).</w:t>
      </w:r>
    </w:p>
    <w:p>
      <w:pPr>
        <w:spacing w:after="0" w:line="5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cash and cash equivalents of $3.7 million, including cash and cash equivalents held in locations outside the U.S. of $1.3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10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December 2023, the Company entered into Amendment No. 3 to the Second Amended and Restated Credit Agreement (the "Credit Agreement”), which, prior to the ABL Adjustment Date (as defined below), provided the Company with a $180 million senior secured asset-based revolving credit facility. In April 2024, the Company entered into Amendment No. 4 to the Credit Agreement (as amended by Amendment No. 3 and Amendment No. 4, the “ABL Facility”) that, among other items: (i) moved the ABL Adjustment Date (defined below) from March 31, 2025 to September 30, 2025 and (ii) required weekly reporting of the borrowing base financial covenant until the ABL Adjustment Date. The ABL Facility is secured by substantially all assets of the Company and its domestic subsidiaries, including equity in certain material first-tier foreign subsidiaries. Availability for borrowings under the ABL Facility is governed by a borrowing base, determined by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right="40"/>
        <w:spacing w:after="0" w:line="261" w:lineRule="auto"/>
        <w:rPr>
          <w:sz w:val="20"/>
          <w:szCs w:val="20"/>
          <w:color w:val="auto"/>
        </w:rPr>
      </w:pPr>
      <w:r>
        <w:rPr>
          <w:rFonts w:ascii="Times New Roman" w:cs="Times New Roman" w:eastAsia="Times New Roman" w:hAnsi="Times New Roman"/>
          <w:sz w:val="18"/>
          <w:szCs w:val="18"/>
          <w:color w:val="auto"/>
        </w:rPr>
        <w:t>application of specified advance rates against eligible assets, including a portion of trade accounts receivable, inventory, cash and cash equivalents, owned real properties, and owned machinery and equipment. Upon the earlier of September 30, 2025 or the date the Company received the proceeds from the sale of Terphane (the “ABL Adjustment Date”), the $180 million ABL Facility was to be reduced to $125 million. On November 1, 2024, with the closing of the sale of Terphane, the ABL Adjustment Date occurred. The ABL Facility was to expire on June 30, 2026.</w:t>
      </w:r>
    </w:p>
    <w:p>
      <w:pPr>
        <w:spacing w:after="0" w:line="4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10% of the $125 million commitment amount and continuing thereafter until availability is greater than 10% of the $125 million commitment amount for 30 consecutive days. As of March 31, 2025, funds available to borrow under the ABL Facility was $50.9 million, or 40.7% of the aggregate commitment of $125 million.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May 6, 2025, the Company entered into Amendment No. 5 (the "Amended ABL Facility") to the Credit Agreement. The material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ABL Facility include the following:</w:t>
      </w:r>
    </w:p>
    <w:p>
      <w:pPr>
        <w:spacing w:after="0" w:line="8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 $125 million asset-based facility.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May 6, 2030.</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margins were reduced to a range between 1.75%-2.25% for any Term Benchmark Loan and any RFR Loan (each as defined in the Amended ABL Facility) and 0.75%-1.25% for any ABR Loan (as defined in the Amended ABL Facility), in each case, based on average quarterly availability.</w:t>
      </w:r>
    </w:p>
    <w:p>
      <w:pPr>
        <w:spacing w:after="0" w:line="5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fee was decreased from 0.40% to (i) 0.25% if the Average Usage (as defined in the Amended ABL Facility) is greater than or equal to 50% and (ii) 0.375% if Average Usage is less than 50%.</w:t>
      </w:r>
    </w:p>
    <w:p>
      <w:pPr>
        <w:spacing w:after="0" w:line="2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base calculation was amended as follows: (i) real property is no longer eligible to be included in the borrowing base, (ii) the PP&amp;E Component (as defined in the Amended ABL Facility), as included in the borrowing base, was changed to the lesser of (a) 60% of the Net Orderly Liquidation Value (as defined in the Amended ABL Facility) in place of eligible equipment and (b) 30% of the borrowing base and (iii) the amount of eligible cash included in the borrowing base is now capped at 15% of the borrowing base.</w:t>
      </w:r>
    </w:p>
    <w:p>
      <w:pPr>
        <w:spacing w:after="0" w:line="58"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Dominion Period is now triggered when (x) availability falls below the greater of (i) 12.5% of the Line Cap (as defined in the Amended ABL Facility) and (ii) $12.6 million or (y) during the continuation of an event of default and continuing until (x) availability is above the greater of (i) 12.5% of the Line Cap and (ii) $12.6 million for 30 consecutive days and (y) no events of default are continuing.</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fixed charge coverage ratio of 1.00 to 1.00 is now triggered upon the occurrence of availability being less than the greater of</w:t>
      </w:r>
    </w:p>
    <w:p>
      <w:pPr>
        <w:spacing w:after="0" w:line="27" w:lineRule="exact"/>
        <w:rPr>
          <w:rFonts w:ascii="Times New Roman" w:cs="Times New Roman" w:eastAsia="Times New Roman" w:hAnsi="Times New Roman"/>
          <w:sz w:val="18"/>
          <w:szCs w:val="18"/>
          <w:color w:val="auto"/>
        </w:rPr>
      </w:pPr>
    </w:p>
    <w:p>
      <w:pPr>
        <w:ind w:left="6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10% of the Line Cap and (y) $10 million and will continue until availability is equal to or greater than the greater of (x) 10% of the Line Cap and (y) $10 million for 30 consecutive days, as long as no events of default are continuing.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t>The computation of Credit EBITDA,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March 31, 2025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March 31, 2025 (in thousands):</w:t>
            </w:r>
          </w:p>
        </w:tc>
        <w:tc>
          <w:tcPr>
            <w:tcW w:w="5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(57,752)</w:t>
            </w:r>
          </w:p>
        </w:tc>
        <w:tc>
          <w:tcPr>
            <w:tcW w:w="0" w:type="dxa"/>
            <w:vAlign w:val="bottom"/>
          </w:tcPr>
          <w:p>
            <w:pPr>
              <w:spacing w:after="0"/>
              <w:rPr>
                <w:sz w:val="1"/>
                <w:szCs w:val="1"/>
                <w:color w:val="auto"/>
              </w:rPr>
            </w:pPr>
          </w:p>
        </w:tc>
      </w:tr>
      <w:tr>
        <w:trPr>
          <w:trHeight w:val="229"/>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56,864</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22,784</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58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5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related of $10,000)</w:t>
            </w:r>
          </w:p>
        </w:tc>
        <w:tc>
          <w:tcPr>
            <w:tcW w:w="5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Terphane sale transaction costs in an amount not to exceed $10,000</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w:t>
            </w: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5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9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47,815</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EBITDA</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47,815</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Unfinanced capital expenditures</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0" w:type="dxa"/>
            <w:vAlign w:val="bottom"/>
          </w:tcPr>
          <w:p>
            <w:pPr>
              <w:spacing w:after="0"/>
              <w:rPr>
                <w:sz w:val="1"/>
                <w:szCs w:val="1"/>
                <w:color w:val="auto"/>
              </w:rPr>
            </w:pPr>
          </w:p>
        </w:tc>
      </w:tr>
      <w:tr>
        <w:trPr>
          <w:trHeight w:val="230"/>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charges</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bl>
    <w:p>
      <w:pPr>
        <w:ind w:left="260" w:right="80" w:hanging="234"/>
        <w:spacing w:after="0" w:line="222" w:lineRule="auto"/>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Fixed Charge Coverage Ratio is computed as the ratio of (a) Credit EBITDA minus Unfinanced Capital Expenditures to (b)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92" w:lineRule="exact"/>
        <w:rPr>
          <w:sz w:val="20"/>
          <w:szCs w:val="20"/>
          <w:color w:val="auto"/>
        </w:rPr>
      </w:pPr>
    </w:p>
    <w:p>
      <w:pPr>
        <w:ind w:right="100" w:firstLine="405"/>
        <w:spacing w:after="0" w:line="272" w:lineRule="auto"/>
        <w:rPr>
          <w:sz w:val="20"/>
          <w:szCs w:val="20"/>
          <w:color w:val="auto"/>
        </w:rPr>
      </w:pPr>
      <w:r>
        <w:rPr>
          <w:rFonts w:ascii="Times New Roman" w:cs="Times New Roman" w:eastAsia="Times New Roman" w:hAnsi="Times New Roman"/>
          <w:sz w:val="17"/>
          <w:szCs w:val="17"/>
          <w:color w:val="auto"/>
        </w:rPr>
        <w:t>On June 25, 2024, PE Films' business location in Guangzhou, China, Guangzhou Tredegar Film Products Co., Ltd. (“Guangzhou Tredegar”), entered into a 9.5 million Chinese Yuan revolving loan with the Industrial and Commercial Bank of China. The loan matures on July 3, 2025. The interest rate is the one year loan prime rate published by the National Interbank Funding Center for the working day immediately preceding the drawdown date, minus</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0.45%. As of March 31, 2025, the interest rate on the outstanding loan balance was 2.90%. The revolving loan is secured by a mortgage contract listing the Guangzhou Tredegar factory building as collateral. The mortgage contract has a maximum value of 30 million Chinese Yuan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right="400"/>
        <w:spacing w:after="0" w:line="282" w:lineRule="auto"/>
        <w:rPr>
          <w:sz w:val="20"/>
          <w:szCs w:val="20"/>
          <w:color w:val="auto"/>
        </w:rPr>
      </w:pPr>
      <w:r>
        <w:rPr>
          <w:rFonts w:ascii="Times New Roman" w:cs="Times New Roman" w:eastAsia="Times New Roman" w:hAnsi="Times New Roman"/>
          <w:sz w:val="18"/>
          <w:szCs w:val="18"/>
          <w:color w:val="auto"/>
        </w:rPr>
        <w:t>and is effective from June 25, 2024 through May 31, 2027. As of March 31, 2025 and December 31, 2024, this loan is presented as current debt on the consolidated balance sheets.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on the ABL Facility and the PE Films Guangzhou Loan, see Note 10.</w:t>
      </w:r>
    </w:p>
    <w:p>
      <w:pPr>
        <w:spacing w:after="0" w:line="10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w:t>
      </w:r>
    </w:p>
    <w:p>
      <w:pPr>
        <w:spacing w:after="0" w:line="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ABL Facility.</w:t>
      </w:r>
    </w:p>
    <w:p>
      <w:pPr>
        <w:spacing w:after="0" w:line="5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There is no assurance of the Company’s ability to pass through higher raw material and energy costs to its customers.</w:t>
      </w:r>
    </w:p>
    <w:p>
      <w:pPr>
        <w:spacing w:after="0" w:line="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for additional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68580</wp:posOffset>
            </wp:positionV>
            <wp:extent cx="5768975" cy="254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Source: Quarterly averages computed by the Company using London Metal Exchange daily aluminum cash prices plus the Midwest premium.</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77470</wp:posOffset>
            </wp:positionV>
            <wp:extent cx="5768975" cy="254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19"/>
          </w:cols>
          <w:pgMar w:left="540" w:top="985" w:right="1440" w:bottom="1440" w:gutter="0" w:footer="0" w:header="0"/>
        </w:sectPr>
      </w:pPr>
    </w:p>
    <w:bookmarkStart w:id="32" w:name="page33"/>
    <w:bookmarkEnd w:id="32"/>
    <w:p>
      <w:pPr>
        <w:ind w:left="42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right="340"/>
        <w:spacing w:after="0" w:line="235"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Oil Price Information Service (OPIS). In January 2023, OPIS reflected a 41 cents per pound non-market adjustment based on their estimate of the growth of discounts in the prior periods. The fourth quarter 2022 average rate of $0.60 per pound is shown on a pro forma basis as if the non-market adjustment was made in the fourth</w:t>
      </w:r>
    </w:p>
    <w:p>
      <w:pPr>
        <w:ind w:left="300"/>
        <w:spacing w:after="0"/>
        <w:rPr>
          <w:sz w:val="20"/>
          <w:szCs w:val="20"/>
          <w:color w:val="auto"/>
        </w:rPr>
      </w:pPr>
      <w:r>
        <w:rPr>
          <w:rFonts w:ascii="Times New Roman" w:cs="Times New Roman" w:eastAsia="Times New Roman" w:hAnsi="Times New Roman"/>
          <w:sz w:val="13"/>
          <w:szCs w:val="13"/>
          <w:color w:val="auto"/>
        </w:rPr>
        <w:t>quarter of 2022.</w:t>
      </w:r>
    </w:p>
    <w:p>
      <w:pPr>
        <w:spacing w:after="0" w:line="17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6"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Chinese Yuan in the chart on the below). Exports from the U.S. are generally denominated in U.S. Dollars. The Company’s foreign currency exposure on income from foreign operations relates to the Chinese Yuan.</w:t>
      </w:r>
    </w:p>
    <w:p>
      <w:pPr>
        <w:spacing w:after="0" w:line="5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Tredegar estimates that the change in the value of foreign currencies relative to the U.S. Dollar for PE Films did not have a material impact on EBITDA from ongoing operations during the first quarter of 2025 compared with the same period of 2024.</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8"/>
          <w:szCs w:val="18"/>
          <w:color w:val="auto"/>
        </w:rPr>
        <w:t>Trends for the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March 31, 2025.</w:t>
      </w:r>
    </w:p>
    <w:p>
      <w:pPr>
        <w:spacing w:after="0" w:line="4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Based on this evaluation of our disclosure controls and procedures as of March 31, 2025, the Company's Chief Executive Officer and Chief Financial Officer concluded that, as of such date, our disclosure controls and procedures were effective.</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March 31, 2025, that has materially affected, or is reasonably likely to materially affect, its internal control over financial reporting (as defined in Rules 13a-15(f) and 15d-15(f) under the Exchange Act).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2024 Form 10-K, there are a number of risks and uncertainties that can have a material effect on the operating results of our businesses and our financial condition. There are no material updates or changes to our risk factors previously disclosed in the 2024 Form 10-K.</w:t>
      </w:r>
    </w:p>
    <w:p>
      <w:pPr>
        <w:spacing w:after="0" w:line="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and Officer Trading Arrangements</w:t>
      </w:r>
    </w:p>
    <w:p>
      <w:pPr>
        <w:spacing w:after="0" w:line="10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90"/>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830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under the Securities Exchange Act of 1934, as adopted pursuant to Section 302 of the Sarbanes-Oxley Act of 2002.</w:t>
            </w:r>
          </w:p>
        </w:tc>
        <w:tc>
          <w:tcPr>
            <w:tcW w:w="15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55"/>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Exchange Act of 1934, as adopted pursuant to Section 302 of the Sarbanes-Oxley Act of 2002.</w:t>
            </w:r>
          </w:p>
        </w:tc>
        <w:tc>
          <w:tcPr>
            <w:tcW w:w="60" w:type="dxa"/>
            <w:vAlign w:val="bottom"/>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38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18 U.S.C. Section 1350, as adopted pursuant</w:t>
            </w:r>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55"/>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40" w:type="dxa"/>
            <w:vAlign w:val="bottom"/>
            <w:gridSpan w:val="4"/>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shd w:val="clear" w:color="auto" w:fill="CCEEFF"/>
          </w:tcPr>
          <w:p>
            <w:pPr>
              <w:spacing w:after="0"/>
              <w:rPr>
                <w:sz w:val="19"/>
                <w:szCs w:val="19"/>
                <w:color w:val="auto"/>
              </w:rPr>
            </w:pP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0628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200" w:hanging="1174"/>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2025</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M. Steitz</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2025</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2025</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2025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96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John M. Steitz John M. Steitz</w:t>
      </w:r>
    </w:p>
    <w:p>
      <w:pPr>
        <w:ind w:left="20" w:right="8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(Principal Executive Officer)</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751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2025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5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51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8,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0"/>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lvl w:ilvl="1">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lvl w:ilvl="1">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lvl w:ilvl="1">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2025-05-08T07:18:46Z</dcterms:created>
  <dcterms:modified xsi:type="dcterms:W3CDTF">2025-05-08T07:18:46Z</dcterms:modified>
</cp:coreProperties>
</file>