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51435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87630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680" w:right="20" w:hanging="463"/>
        <w:spacing w:after="0" w:line="238" w:lineRule="auto"/>
        <w:tabs>
          <w:tab w:leader="none" w:pos="6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443"/>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3"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304"/>
        </w:trPr>
        <w:tc>
          <w:tcPr>
            <w:tcW w:w="320" w:type="dxa"/>
            <w:vAlign w:val="bottom"/>
          </w:tcPr>
          <w:p>
            <w:pPr>
              <w:spacing w:after="0"/>
              <w:rPr>
                <w:sz w:val="24"/>
                <w:szCs w:val="24"/>
                <w:color w:val="auto"/>
              </w:rPr>
            </w:pPr>
          </w:p>
        </w:tc>
        <w:tc>
          <w:tcPr>
            <w:tcW w:w="376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Commission file number 1-10258</w:t>
            </w:r>
          </w:p>
        </w:tc>
        <w:tc>
          <w:tcPr>
            <w:tcW w:w="320" w:type="dxa"/>
            <w:vAlign w:val="bottom"/>
          </w:tcPr>
          <w:p>
            <w:pPr>
              <w:spacing w:after="0"/>
              <w:rPr>
                <w:sz w:val="24"/>
                <w:szCs w:val="24"/>
                <w:color w:val="auto"/>
              </w:rPr>
            </w:pPr>
          </w:p>
        </w:tc>
      </w:tr>
      <w:tr>
        <w:trPr>
          <w:trHeight w:val="102"/>
        </w:trPr>
        <w:tc>
          <w:tcPr>
            <w:tcW w:w="3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Tredegar Corporation</w:t>
      </w:r>
    </w:p>
    <w:p>
      <w:pPr>
        <w:spacing w:after="0" w:line="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55880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54-1497771</w:t>
      </w:r>
    </w:p>
    <w:p>
      <w:pPr>
        <w:spacing w:after="0" w:line="37" w:lineRule="exact"/>
        <w:rPr>
          <w:sz w:val="24"/>
          <w:szCs w:val="24"/>
          <w:color w:val="auto"/>
        </w:rPr>
      </w:pPr>
    </w:p>
    <w:p>
      <w:pPr>
        <w:sectPr>
          <w:pgSz w:w="11900" w:h="16838" w:orient="portrait"/>
          <w:cols w:equalWidth="0" w:num="2">
            <w:col w:w="7360" w:space="720"/>
            <w:col w:w="3100"/>
          </w:cols>
          <w:pgMar w:left="320" w:top="767" w:right="39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2">
            <w:col w:w="7220" w:space="720"/>
            <w:col w:w="3240"/>
          </w:cols>
          <w:pgMar w:left="320" w:top="767" w:right="39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17"/>
          <w:szCs w:val="17"/>
          <w:b w:val="1"/>
          <w:bCs w:val="1"/>
          <w:color w:val="auto"/>
        </w:rPr>
        <w:t>1100 Boulders Parkway</w:t>
      </w:r>
    </w:p>
    <w:p>
      <w:pPr>
        <w:spacing w:after="0" w:line="43"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Richmond, Virginia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23225</w:t>
      </w:r>
    </w:p>
    <w:p>
      <w:pPr>
        <w:spacing w:after="0" w:line="31" w:lineRule="exact"/>
        <w:rPr>
          <w:sz w:val="24"/>
          <w:szCs w:val="24"/>
          <w:color w:val="auto"/>
        </w:rPr>
      </w:pPr>
    </w:p>
    <w:p>
      <w:pPr>
        <w:sectPr>
          <w:pgSz w:w="11900" w:h="16838" w:orient="portrait"/>
          <w:cols w:equalWidth="0" w:num="2">
            <w:col w:w="8220" w:space="720"/>
            <w:col w:w="2240"/>
          </w:cols>
          <w:pgMar w:left="320" w:top="767" w:right="39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120" w:space="720"/>
            <w:col w:w="2340"/>
          </w:cols>
          <w:pgMar w:left="320" w:top="767" w:right="399" w:bottom="1440" w:gutter="0" w:footer="0" w:header="0"/>
          <w:type w:val="continuous"/>
        </w:sectPr>
      </w:pP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(804) 330-1000</w:t>
      </w:r>
    </w:p>
    <w:p>
      <w:pPr>
        <w:spacing w:after="0" w:line="1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3"/>
        </w:trPr>
        <w:tc>
          <w:tcPr>
            <w:tcW w:w="3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23"/>
        </w:trPr>
        <w:tc>
          <w:tcPr>
            <w:tcW w:w="3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TG</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91" w:lineRule="exact"/>
        <w:rPr>
          <w:sz w:val="24"/>
          <w:szCs w:val="24"/>
          <w:color w:val="auto"/>
        </w:rPr>
      </w:pPr>
    </w:p>
    <w:p>
      <w:pPr>
        <w:ind w:right="220" w:firstLine="405"/>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firstLine="445"/>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240" w:firstLine="445"/>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767" w:right="399" w:bottom="1440" w:gutter="0" w:footer="0" w:header="0"/>
          <w:type w:val="continuous"/>
        </w:sectPr>
      </w:pP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6">
            <w:col w:w="1560" w:space="720"/>
            <w:col w:w="2220" w:space="720"/>
            <w:col w:w="1400" w:space="720"/>
            <w:col w:w="180" w:space="120"/>
            <w:col w:w="2040" w:space="720"/>
            <w:col w:w="780"/>
          </w:cols>
          <w:pgMar w:left="320" w:top="767" w:right="399" w:bottom="1440" w:gutter="0" w:footer="0" w:header="0"/>
          <w:type w:val="continuous"/>
        </w:sectPr>
      </w:pPr>
    </w:p>
    <w:p>
      <w:pPr>
        <w:spacing w:after="0" w:line="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36" w:lineRule="exact"/>
        <w:rPr>
          <w:sz w:val="24"/>
          <w:szCs w:val="24"/>
          <w:color w:val="auto"/>
        </w:rPr>
      </w:pPr>
    </w:p>
    <w:p>
      <w:pPr>
        <w:sectPr>
          <w:pgSz w:w="11900" w:h="16838" w:orient="portrait"/>
          <w:cols w:equalWidth="0" w:num="4">
            <w:col w:w="1560" w:space="720"/>
            <w:col w:w="4640" w:space="720"/>
            <w:col w:w="2040" w:space="720"/>
            <w:col w:w="780"/>
          </w:cols>
          <w:pgMar w:left="320" w:top="767" w:right="399" w:bottom="1440" w:gutter="0" w:footer="0" w:header="0"/>
          <w:type w:val="continuous"/>
        </w:sectPr>
      </w:pPr>
    </w:p>
    <w:p>
      <w:pPr>
        <w:ind w:right="120" w:firstLine="405"/>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460" w:right="2140"/>
        <w:spacing w:after="0" w:line="2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The number of shares of Common Stock, no par value, outstanding as of April 28, 2023: 33,985,684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436880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Tredegar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3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400" w:type="dxa"/>
            <w:vAlign w:val="bottom"/>
            <w:gridSpan w:val="3"/>
          </w:tcPr>
          <w:p>
            <w:pPr>
              <w:spacing w:after="0"/>
              <w:rPr>
                <w:sz w:val="18"/>
                <w:szCs w:val="18"/>
                <w:color w:val="auto"/>
              </w:rPr>
            </w:pPr>
          </w:p>
        </w:tc>
        <w:tc>
          <w:tcPr>
            <w:tcW w:w="1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820" w:type="dxa"/>
            <w:vAlign w:val="bottom"/>
            <w:gridSpan w:val="11"/>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520" w:type="dxa"/>
            <w:vAlign w:val="bottom"/>
            <w:gridSpan w:val="8"/>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(Loss) (unaudited)</w:t>
            </w:r>
          </w:p>
        </w:tc>
        <w:tc>
          <w:tcPr>
            <w:tcW w:w="4540" w:type="dxa"/>
            <w:vAlign w:val="bottom"/>
            <w:gridSpan w:val="5"/>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(unaudited)</w:t>
            </w:r>
          </w:p>
        </w:tc>
        <w:tc>
          <w:tcPr>
            <w:tcW w:w="33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4740" w:type="dxa"/>
            <w:vAlign w:val="bottom"/>
            <w:gridSpan w:val="6"/>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(unaudited)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4100" w:type="dxa"/>
            <w:vAlign w:val="bottom"/>
            <w:gridSpan w:val="3"/>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400" w:type="dxa"/>
            <w:vAlign w:val="bottom"/>
            <w:gridSpan w:val="3"/>
          </w:tcPr>
          <w:p>
            <w:pPr>
              <w:spacing w:after="0"/>
              <w:rPr>
                <w:sz w:val="18"/>
                <w:szCs w:val="18"/>
                <w:color w:val="auto"/>
              </w:rPr>
            </w:pPr>
          </w:p>
        </w:tc>
        <w:tc>
          <w:tcPr>
            <w:tcW w:w="9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3</w:t>
            </w:r>
            <w:r>
              <w:rPr>
                <w:rFonts w:ascii="Times New Roman" w:cs="Times New Roman" w:eastAsia="Times New Roman" w:hAnsi="Times New Roman"/>
                <w:sz w:val="18"/>
                <w:szCs w:val="18"/>
                <w:color w:val="000000"/>
                <w:w w:val="94"/>
              </w:rPr>
              <w:t>.</w:t>
            </w:r>
          </w:p>
        </w:tc>
        <w:tc>
          <w:tcPr>
            <w:tcW w:w="400" w:type="dxa"/>
            <w:vAlign w:val="bottom"/>
            <w:gridSpan w:val="3"/>
          </w:tcPr>
          <w:p>
            <w:pPr>
              <w:spacing w:after="0"/>
              <w:rPr>
                <w:sz w:val="18"/>
                <w:szCs w:val="18"/>
                <w:color w:val="auto"/>
              </w:rPr>
            </w:pPr>
          </w:p>
        </w:tc>
        <w:tc>
          <w:tcPr>
            <w:tcW w:w="64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400" w:type="dxa"/>
            <w:vAlign w:val="bottom"/>
            <w:gridSpan w:val="3"/>
          </w:tcPr>
          <w:p>
            <w:pPr>
              <w:spacing w:after="0"/>
              <w:rPr>
                <w:sz w:val="18"/>
                <w:szCs w:val="18"/>
                <w:color w:val="auto"/>
              </w:rPr>
            </w:pP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2"/>
          </w:tcPr>
          <w:p>
            <w:pPr>
              <w:spacing w:after="0"/>
              <w:rPr>
                <w:sz w:val="18"/>
                <w:szCs w:val="18"/>
                <w:color w:val="auto"/>
              </w:rPr>
            </w:pPr>
          </w:p>
        </w:tc>
        <w:tc>
          <w:tcPr>
            <w:tcW w:w="4980" w:type="dxa"/>
            <w:vAlign w:val="bottom"/>
            <w:gridSpan w:val="7"/>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380" w:type="dxa"/>
            <w:vAlign w:val="bottom"/>
            <w:gridSpan w:val="2"/>
          </w:tcPr>
          <w:p>
            <w:pPr>
              <w:spacing w:after="0"/>
              <w:rPr>
                <w:sz w:val="24"/>
                <w:szCs w:val="24"/>
                <w:color w:val="auto"/>
              </w:rPr>
            </w:pPr>
          </w:p>
        </w:tc>
        <w:tc>
          <w:tcPr>
            <w:tcW w:w="1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7880" w:type="dxa"/>
            <w:vAlign w:val="bottom"/>
            <w:gridSpan w:val="12"/>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2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2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Exhibits</w:t>
            </w:r>
          </w:p>
        </w:tc>
        <w:tc>
          <w:tcPr>
            <w:tcW w:w="8420" w:type="dxa"/>
            <w:vAlign w:val="bottom"/>
            <w:gridSpan w:val="13"/>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99"/>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84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8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w:t>
            </w:r>
          </w:p>
        </w:tc>
      </w:tr>
      <w:tr>
        <w:trPr>
          <w:trHeight w:val="230"/>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89,104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84,544</w:t>
            </w:r>
          </w:p>
        </w:tc>
      </w:tr>
      <w:tr>
        <w:trPr>
          <w:trHeight w:val="22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recoverable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9"/>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113,633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127,771</w:t>
            </w:r>
          </w:p>
        </w:tc>
      </w:tr>
      <w:tr>
        <w:trPr>
          <w:trHeight w:val="230"/>
        </w:trPr>
        <w:tc>
          <w:tcPr>
            <w:tcW w:w="84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10,011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w:t>
            </w:r>
          </w:p>
        </w:tc>
      </w:tr>
      <w:tr>
        <w:trPr>
          <w:trHeight w:val="223"/>
        </w:trPr>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228,740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242,584</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537,862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531,921</w:t>
            </w:r>
          </w:p>
        </w:tc>
      </w:tr>
      <w:tr>
        <w:trPr>
          <w:trHeight w:val="229"/>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(350,896)</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(345,510)</w:t>
            </w:r>
          </w:p>
        </w:tc>
      </w:tr>
      <w:tr>
        <w:trPr>
          <w:trHeight w:val="223"/>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186,966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186,411</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leased assets</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13,854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11,207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70,608</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70,608</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w:t>
            </w:r>
          </w:p>
        </w:tc>
      </w:tr>
      <w:tr>
        <w:trPr>
          <w:trHeight w:val="229"/>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3,137</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r>
      <w:tr>
        <w:trPr>
          <w:trHeight w:val="230"/>
        </w:trPr>
        <w:tc>
          <w:tcPr>
            <w:tcW w:w="84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526,174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542,093</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92,275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114,938</w:t>
            </w:r>
          </w:p>
        </w:tc>
      </w:tr>
      <w:tr>
        <w:trPr>
          <w:trHeight w:val="230"/>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21,904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31,603</w:t>
            </w:r>
          </w:p>
        </w:tc>
      </w:tr>
      <w:tr>
        <w:trPr>
          <w:trHeight w:val="230"/>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liability, short-term</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r>
      <w:tr>
        <w:trPr>
          <w:trHeight w:val="229"/>
        </w:trPr>
        <w:tc>
          <w:tcPr>
            <w:tcW w:w="84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23"/>
        </w:trPr>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116,591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149,713</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long-term</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12,738</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155,000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137,000</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obligations,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35,377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35,046</w:t>
            </w:r>
          </w:p>
        </w:tc>
      </w:tr>
      <w:tr>
        <w:trPr>
          <w:trHeight w:val="230"/>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5,139</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w:t>
            </w:r>
          </w:p>
        </w:tc>
      </w:tr>
      <w:tr>
        <w:trPr>
          <w:trHeight w:val="223"/>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324,565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340,331</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6"/>
        </w:trPr>
        <w:tc>
          <w:tcPr>
            <w:tcW w:w="84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no par value (issued and outstanding 33,970,282 shares at March 31, 2023 and 34,000,642</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at December 31, 2022)</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59,423</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58,824</w:t>
            </w:r>
          </w:p>
        </w:tc>
      </w:tr>
      <w:tr>
        <w:trPr>
          <w:trHeight w:val="175"/>
        </w:trPr>
        <w:tc>
          <w:tcPr>
            <w:tcW w:w="84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held in trust for savings restoration plan (114,741 shares at March 31, 2023 and 113,316 shares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at December 31, 2022)</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30"/>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(86,079)</w:t>
            </w:r>
          </w:p>
        </w:tc>
      </w:tr>
      <w:tr>
        <w:trPr>
          <w:trHeight w:val="229"/>
        </w:trPr>
        <w:tc>
          <w:tcPr>
            <w:tcW w:w="8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Gain (loss) on derivative financial instruments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r>
      <w:tr>
        <w:trPr>
          <w:trHeight w:val="230"/>
        </w:trPr>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Pension and other postretirement benefit adjustments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(59,036)</w:t>
            </w:r>
          </w:p>
        </w:tc>
      </w:tr>
      <w:tr>
        <w:trPr>
          <w:trHeight w:val="230"/>
        </w:trPr>
        <w:tc>
          <w:tcPr>
            <w:tcW w:w="84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287,308</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292,721</w:t>
            </w:r>
          </w:p>
        </w:tc>
      </w:tr>
      <w:tr>
        <w:trPr>
          <w:trHeight w:val="223"/>
        </w:trPr>
        <w:tc>
          <w:tcPr>
            <w:tcW w:w="84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201,609</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201,762</w:t>
            </w:r>
          </w:p>
        </w:tc>
      </w:tr>
      <w:tr>
        <w:trPr>
          <w:trHeight w:val="230"/>
        </w:trPr>
        <w:tc>
          <w:tcPr>
            <w:tcW w:w="84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526,174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542,093</w:t>
            </w:r>
          </w:p>
        </w:tc>
      </w:tr>
    </w:tbl>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03"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6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7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other items:</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191,122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236,566</w:t>
            </w:r>
          </w:p>
        </w:tc>
      </w:tr>
      <w:tr>
        <w:trPr>
          <w:trHeight w:val="229"/>
        </w:trPr>
        <w:tc>
          <w:tcPr>
            <w:tcW w:w="7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7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191,402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236,264</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159,525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183,260</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Freight</w:t>
            </w:r>
          </w:p>
        </w:tc>
        <w:tc>
          <w:tcPr>
            <w:tcW w:w="90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6,043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19,006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21,282</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90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3,418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2,311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9"/>
        </w:trPr>
        <w:tc>
          <w:tcPr>
            <w:tcW w:w="7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Asset impairments and costs associated with exit and disposal activities, net of adjustments</w:t>
            </w:r>
          </w:p>
        </w:tc>
        <w:tc>
          <w:tcPr>
            <w:tcW w:w="9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6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192,080</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219,064</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r>
      <w:tr>
        <w:trPr>
          <w:trHeight w:val="230"/>
        </w:trPr>
        <w:tc>
          <w:tcPr>
            <w:tcW w:w="7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30"/>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16,422</w:t>
            </w:r>
          </w:p>
        </w:tc>
      </w:tr>
      <w:tr>
        <w:trPr>
          <w:trHeight w:val="256"/>
        </w:trPr>
        <w:tc>
          <w:tcPr>
            <w:tcW w:w="76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30"/>
        </w:trPr>
        <w:tc>
          <w:tcPr>
            <w:tcW w:w="7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37"/>
        </w:trPr>
        <w:tc>
          <w:tcPr>
            <w:tcW w:w="7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 used to compute earnings (loss) per share:</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33,895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33,654</w:t>
            </w:r>
          </w:p>
        </w:tc>
      </w:tr>
      <w:tr>
        <w:trPr>
          <w:trHeight w:val="234"/>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33,895</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33,696</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8"/>
          <w:szCs w:val="18"/>
          <w:color w:val="auto"/>
        </w:rPr>
        <w:t>Three Months Ended March</w:t>
      </w:r>
    </w:p>
    <w:p>
      <w:pPr>
        <w:jc w:val="center"/>
        <w:ind w:left="9000"/>
        <w:spacing w:after="0"/>
        <w:rPr>
          <w:sz w:val="20"/>
          <w:szCs w:val="20"/>
          <w:color w:val="auto"/>
        </w:rPr>
      </w:pPr>
      <w:r>
        <w:rPr>
          <w:rFonts w:ascii="Times New Roman" w:cs="Times New Roman" w:eastAsia="Times New Roman" w:hAnsi="Times New Roman"/>
          <w:sz w:val="18"/>
          <w:szCs w:val="18"/>
          <w:color w:val="auto"/>
        </w:rPr>
        <w:t>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(1,009)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r>
      <w:tr>
        <w:trPr>
          <w:trHeight w:val="230"/>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75"/>
        </w:trPr>
        <w:tc>
          <w:tcPr>
            <w:tcW w:w="90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foreign currency translation adjustment (net of tax expense of $436 in 2023 and net of tax expense of $728</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2022)</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1,120</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r>
      <w:tr>
        <w:trPr>
          <w:trHeight w:val="176"/>
        </w:trPr>
        <w:tc>
          <w:tcPr>
            <w:tcW w:w="90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Derivative financial instruments adjustment (net of tax expense of $836 in 2023 and net of tax expense of $2,916 in</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1"/>
                <w:szCs w:val="21"/>
                <w:color w:val="auto"/>
              </w:rPr>
            </w:pPr>
          </w:p>
        </w:tc>
        <w:tc>
          <w:tcPr>
            <w:tcW w:w="8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1,269</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r>
      <w:tr>
        <w:trPr>
          <w:trHeight w:val="176"/>
        </w:trPr>
        <w:tc>
          <w:tcPr>
            <w:tcW w:w="90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Amortization of prior service costs and net gains or losses (net of tax expense of $637 in 2023 and net of tax expense of</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9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$712 in 2022)</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2,287</w:t>
            </w: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r>
      <w:tr>
        <w:trPr>
          <w:trHeight w:val="223"/>
        </w:trPr>
        <w:tc>
          <w:tcPr>
            <w:tcW w:w="9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8"/>
              </w:rPr>
              <w:t>4,676</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14,004</w:t>
            </w:r>
          </w:p>
        </w:tc>
      </w:tr>
      <w:tr>
        <w:trPr>
          <w:trHeight w:val="230"/>
        </w:trPr>
        <w:tc>
          <w:tcPr>
            <w:tcW w:w="9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3,667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30,426</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808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7"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9220"/>
        <w:spacing w:after="0"/>
        <w:rPr>
          <w:sz w:val="20"/>
          <w:szCs w:val="20"/>
          <w:color w:val="auto"/>
        </w:rPr>
      </w:pPr>
      <w:r>
        <w:rPr>
          <w:rFonts w:ascii="Times New Roman" w:cs="Times New Roman" w:eastAsia="Times New Roman" w:hAnsi="Times New Roman"/>
          <w:sz w:val="18"/>
          <w:szCs w:val="18"/>
          <w:color w:val="auto"/>
        </w:rPr>
        <w:t>March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6,340</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Reduction of right-of-use lease asset</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3,418</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investment in kaléo</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(24,351)</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14,840</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recoverable/payable</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r>
      <w:tr>
        <w:trPr>
          <w:trHeight w:val="230"/>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(28,977)</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liability</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 plan contributions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(50,158)</w:t>
            </w:r>
          </w:p>
        </w:tc>
      </w:tr>
      <w:tr>
        <w:trPr>
          <w:trHeight w:val="229"/>
        </w:trPr>
        <w:tc>
          <w:tcPr>
            <w:tcW w:w="6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23"/>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(54,737)</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r>
      <w:tr>
        <w:trPr>
          <w:trHeight w:val="230"/>
        </w:trPr>
        <w:tc>
          <w:tcPr>
            <w:tcW w:w="6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kaléo</w:t>
            </w:r>
          </w:p>
        </w:tc>
        <w:tc>
          <w:tcPr>
            <w:tcW w:w="2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37,250</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109,500</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principal payments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(51,250)</w:t>
            </w: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r>
      <w:tr>
        <w:trPr>
          <w:trHeight w:val="230"/>
        </w:trPr>
        <w:tc>
          <w:tcPr>
            <w:tcW w:w="6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3"/>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13,581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53,795</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&amp; cash equivalents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19,232</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30,521</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15,025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25,648</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887"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March 31,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Accumulated Other</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200" w:type="dxa"/>
            <w:vAlign w:val="bottom"/>
          </w:tcPr>
          <w:p>
            <w:pPr>
              <w:spacing w:after="0"/>
              <w:rPr>
                <w:sz w:val="16"/>
                <w:szCs w:val="16"/>
                <w:color w:val="auto"/>
              </w:rPr>
            </w:pPr>
          </w:p>
        </w:tc>
        <w:tc>
          <w:tcPr>
            <w:tcW w:w="94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6"/>
                <w:szCs w:val="16"/>
                <w:color w:val="auto"/>
              </w:rPr>
            </w:pPr>
          </w:p>
        </w:tc>
        <w:tc>
          <w:tcPr>
            <w:tcW w:w="10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22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292,721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201,762</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($0.13 per share)</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176"/>
        </w:trPr>
        <w:tc>
          <w:tcPr>
            <w:tcW w:w="4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175"/>
        </w:trPr>
        <w:tc>
          <w:tcPr>
            <w:tcW w:w="4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 savings</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restoration plan</w:t>
            </w:r>
          </w:p>
        </w:tc>
        <w:tc>
          <w:tcPr>
            <w:tcW w:w="4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59,423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287,308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(142,919)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201,609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March 31,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Accumulated Other</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Common</w:t>
            </w:r>
          </w:p>
        </w:tc>
        <w:tc>
          <w:tcPr>
            <w:tcW w:w="200" w:type="dxa"/>
            <w:vAlign w:val="bottom"/>
          </w:tcPr>
          <w:p>
            <w:pPr>
              <w:spacing w:after="0"/>
              <w:rPr>
                <w:sz w:val="15"/>
                <w:szCs w:val="15"/>
                <w:color w:val="auto"/>
              </w:rPr>
            </w:pPr>
          </w:p>
        </w:tc>
        <w:tc>
          <w:tcPr>
            <w:tcW w:w="9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Retained</w:t>
            </w: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5"/>
                <w:szCs w:val="15"/>
                <w:color w:val="auto"/>
              </w:rPr>
            </w:pPr>
          </w:p>
        </w:tc>
        <w:tc>
          <w:tcPr>
            <w:tcW w:w="138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20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281,187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184,722</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16,422</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5,536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5,930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2,538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($0.12 per share)</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1,175</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175"/>
        </w:trPr>
        <w:tc>
          <w:tcPr>
            <w:tcW w:w="4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75"/>
        </w:trPr>
        <w:tc>
          <w:tcPr>
            <w:tcW w:w="4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 savings</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restoration plan</w:t>
            </w:r>
          </w:p>
        </w:tc>
        <w:tc>
          <w:tcPr>
            <w:tcW w:w="4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55,953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293,563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211,868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08"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financial statements of Tredegar Corporation and its subsidiaries (“Tredegar,” “the Company,” “we,” “us” or “our”) contain all adjustments necessary to state fairly, in all material respects, Tredegar’s condensed consolidated financial position as of March 31, 2023, the condensed consolidated results of operations for the three months ended March 31, 2023 and 2022, the condensed consolidated cash flows for the three months ended March 31, 2023 and 2022, and the condensed consolidated changes in shareholders’ equity for the three months ended March 31, 2023 and 2022, in accordance with U.S. generally accepted accounting principles (“GAAP”). All such adjustments, unless otherwise detailed in the notes to the condensed consolidated financial statements, are deemed to be of a normal, recurring nature.</w:t>
      </w:r>
    </w:p>
    <w:p>
      <w:pPr>
        <w:spacing w:after="0" w:line="5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Company operates on a calendar fiscal year except for the Aluminum Extrusions segment, which operates on a 52/53-week fiscal year basis. As such, the fiscal first quarter for 2023 and 2022 for this segment references 13-week periods ended March 26, 2023 and March 27, 2022, respectively.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 There was no intercompany funding with Aluminum Extrusions between March 26, 2023 and March 31, 2023.</w:t>
      </w:r>
    </w:p>
    <w:p>
      <w:pPr>
        <w:spacing w:after="0" w:line="6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as of December 31, 2022 that is included herein was derived from the audited consolidated financial statements provided in the Company’s Annual Report on Form 10-K for the year ended December 31, 2022 (“2022 Form 10-K”) but does not include all disclosures required by GAAP. These financial statements should be read in conjunction with the consolidated financial statements and related notes included in the 2022 Form 10-K.</w:t>
      </w:r>
    </w:p>
    <w:p>
      <w:pPr>
        <w:spacing w:after="0" w:line="45" w:lineRule="exact"/>
        <w:rPr>
          <w:sz w:val="20"/>
          <w:szCs w:val="20"/>
          <w:color w:val="auto"/>
        </w:rPr>
      </w:pPr>
    </w:p>
    <w:p>
      <w:pPr>
        <w:ind w:right="400" w:firstLine="405"/>
        <w:spacing w:after="0" w:line="360" w:lineRule="auto"/>
        <w:rPr>
          <w:sz w:val="20"/>
          <w:szCs w:val="20"/>
          <w:color w:val="auto"/>
        </w:rPr>
      </w:pPr>
      <w:r>
        <w:rPr>
          <w:rFonts w:ascii="Times New Roman" w:cs="Times New Roman" w:eastAsia="Times New Roman" w:hAnsi="Times New Roman"/>
          <w:sz w:val="18"/>
          <w:szCs w:val="18"/>
          <w:color w:val="auto"/>
        </w:rPr>
        <w:t xml:space="preserve">The results of operations for the three months ended March 31, 2023, are not necessarily indicative of the results to be expected for the full year. </w:t>
      </w:r>
      <w:r>
        <w:rPr>
          <w:rFonts w:ascii="Times New Roman" w:cs="Times New Roman" w:eastAsia="Times New Roman" w:hAnsi="Times New Roman"/>
          <w:sz w:val="18"/>
          <w:szCs w:val="18"/>
          <w:b w:val="1"/>
          <w:bCs w:val="1"/>
          <w:i w:val="1"/>
          <w:iCs w:val="1"/>
          <w:color w:val="auto"/>
        </w:rPr>
        <w:t>Impairment of Goodwill and Long-Lived Assets</w:t>
      </w: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assesses goodwill for impairment when events or circumstances indicate that the carrying value may not be recoverable, or, at a minimum, on an annual basis (December 1st of each year). In addition, the Company reviews long-lived assets for possible impairment when events indicate that an impairment may exist. As of March 31, 2023, the Company’s reporting units with goodwill were Surface Protection in PE Films and Futura in Aluminum Extrusions. No events or circumstances were identified during the first quarter of 2023 that indicate that it is not more likely than not that the fair values of each reporting unit was less than its carrying amount.</w:t>
      </w:r>
    </w:p>
    <w:p>
      <w:pPr>
        <w:spacing w:after="0" w:line="4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valuation of both goodwill and long-lived assets depends on a variety of factors, including macroeconomic conditions, industry and market considerations, cost factors and overall financial performance. Failure to successfully achieve projections could result in future impairments. Furthermore, impairment to the Surface Protection reporting unit, which is also the asset group, may be caused by factors outside the Company’s control, such as increasing competitive pricing pressures, weak consumer electronic market demand, lower than expected sales and profit growth rates, and various other factors. Consumer demand for electronics has significantly softened, causing manufacturers in the supply chain to experience reduced capacity utilization and inventory corrections. In addition, these market conditions are adversely impacting mix through reduced sales to Surface Protection’s highest value-added customers and products. Given the uncertain demand for Surface Protections products, it is reasonably possible that the cash flow estimates used in deriving such impairment valuations may change in the future.</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2023, the Surface Protection reporting unit had goodwill of $57.3 million and long-lived identifiable assets of $28.5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Accounting Standard Updates issued by the Financial Accounting Standards Board were adopted during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2023 and December 31, 2022, accounts receivable and other receivables, net include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1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94"/>
              </w:rPr>
              <w:t>2023</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receivables</w:t>
            </w:r>
          </w:p>
        </w:tc>
        <w:tc>
          <w:tcPr>
            <w:tcW w:w="1740" w:type="dxa"/>
            <w:vAlign w:val="bottom"/>
            <w:shd w:val="clear" w:color="auto" w:fill="CCEEFF"/>
          </w:tcPr>
          <w:p>
            <w:pPr>
              <w:spacing w:after="0"/>
              <w:rPr>
                <w:sz w:val="19"/>
                <w:szCs w:val="19"/>
                <w:color w:val="auto"/>
              </w:rPr>
            </w:pPr>
          </w:p>
        </w:tc>
        <w:tc>
          <w:tcPr>
            <w:tcW w:w="19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88,907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83,667</w:t>
            </w:r>
          </w:p>
        </w:tc>
      </w:tr>
      <w:tr>
        <w:trPr>
          <w:trHeight w:val="229"/>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7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2,858</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w:t>
            </w:r>
          </w:p>
        </w:tc>
      </w:tr>
      <w:tr>
        <w:trPr>
          <w:trHeight w:val="223"/>
        </w:trPr>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accounts and other receivables</w:t>
            </w:r>
          </w:p>
        </w:tc>
        <w:tc>
          <w:tcPr>
            <w:tcW w:w="17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91,765</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87,541</w:t>
            </w:r>
          </w:p>
        </w:tc>
      </w:tr>
      <w:tr>
        <w:trPr>
          <w:trHeight w:val="229"/>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bad debts</w:t>
            </w:r>
          </w:p>
        </w:tc>
        <w:tc>
          <w:tcPr>
            <w:tcW w:w="17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230"/>
        </w:trPr>
        <w:tc>
          <w:tcPr>
            <w:tcW w:w="51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and other receivables, net</w:t>
            </w:r>
          </w:p>
        </w:tc>
        <w:tc>
          <w:tcPr>
            <w:tcW w:w="174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89,104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84,544</w:t>
            </w:r>
          </w:p>
        </w:tc>
      </w:tr>
      <w:tr>
        <w:trPr>
          <w:trHeight w:val="72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1"/>
        </w:trPr>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1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March 31, 2023</w:t>
            </w:r>
          </w:p>
        </w:tc>
        <w:tc>
          <w:tcPr>
            <w:tcW w:w="24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33,033</w:t>
            </w:r>
          </w:p>
        </w:tc>
        <w:tc>
          <w:tcPr>
            <w:tcW w:w="9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34,686</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740" w:type="dxa"/>
            <w:vAlign w:val="bottom"/>
          </w:tcPr>
          <w:p>
            <w:pPr>
              <w:spacing w:after="0"/>
              <w:rPr>
                <w:sz w:val="19"/>
                <w:szCs w:val="19"/>
                <w:color w:val="auto"/>
              </w:rPr>
            </w:pPr>
          </w:p>
        </w:tc>
        <w:tc>
          <w:tcPr>
            <w:tcW w:w="19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16,585</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15,604</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740" w:type="dxa"/>
            <w:vAlign w:val="bottom"/>
            <w:shd w:val="clear" w:color="auto" w:fill="CCEEFF"/>
          </w:tcPr>
          <w:p>
            <w:pPr>
              <w:spacing w:after="0"/>
              <w:rPr>
                <w:sz w:val="19"/>
                <w:szCs w:val="19"/>
                <w:color w:val="auto"/>
              </w:rPr>
            </w:pPr>
          </w:p>
        </w:tc>
        <w:tc>
          <w:tcPr>
            <w:tcW w:w="190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96"/>
              </w:rPr>
              <w:t>44,113</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58,262</w:t>
            </w:r>
          </w:p>
        </w:tc>
      </w:tr>
      <w:tr>
        <w:trPr>
          <w:trHeight w:val="229"/>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Stores, supplies and other</w:t>
            </w:r>
          </w:p>
        </w:tc>
        <w:tc>
          <w:tcPr>
            <w:tcW w:w="17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19,902</w:t>
            </w: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19,219</w:t>
            </w:r>
          </w:p>
        </w:tc>
      </w:tr>
      <w:tr>
        <w:trPr>
          <w:trHeight w:val="230"/>
        </w:trPr>
        <w:tc>
          <w:tcPr>
            <w:tcW w:w="51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9"/>
              </w:rPr>
              <w:t>113,633</w:t>
            </w:r>
          </w:p>
        </w:tc>
        <w:tc>
          <w:tcPr>
            <w:tcW w:w="96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127,771</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PENSION AND OTHER POSTRETIREMENT BENEFITS</w:t>
      </w:r>
    </w:p>
    <w:p>
      <w:pPr>
        <w:spacing w:after="0" w:line="10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Tredegar sponsors a noncontributory defined benefit (pension) plan covering certain current and former U.S. employees.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In connection therewith, on February 9, 2022, the Company contributed $50 million to the pension plan (the “Special Contribution”). The Company estimates that, with the Special Contribution, there will be no required minimum contributions to the pension plan until final settlement.</w:t>
      </w:r>
    </w:p>
    <w:p>
      <w:pPr>
        <w:spacing w:after="0" w:line="62"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Tredegar also has a non-qualified supplemental pension plan covering certain employees. Effective December 31, 2005, further participation in this plan was terminated and benefit accruals for existing participants were frozen. Pension expense recognized for this plan was immaterial in the first quarter of 2023 and 2022, respectively. This information has been included in the pension benefit table below.</w:t>
      </w:r>
    </w:p>
    <w:p>
      <w:pPr>
        <w:spacing w:after="0" w:line="41" w:lineRule="exact"/>
        <w:rPr>
          <w:sz w:val="20"/>
          <w:szCs w:val="20"/>
          <w:color w:val="auto"/>
        </w:rPr>
      </w:pPr>
    </w:p>
    <w:p>
      <w:pPr>
        <w:ind w:right="580" w:firstLine="405"/>
        <w:spacing w:after="0" w:line="276" w:lineRule="auto"/>
        <w:rPr>
          <w:sz w:val="20"/>
          <w:szCs w:val="20"/>
          <w:color w:val="auto"/>
        </w:rPr>
      </w:pPr>
      <w:r>
        <w:rPr>
          <w:rFonts w:ascii="Times New Roman" w:cs="Times New Roman" w:eastAsia="Times New Roman" w:hAnsi="Times New Roman"/>
          <w:sz w:val="18"/>
          <w:szCs w:val="18"/>
          <w:color w:val="auto"/>
        </w:rPr>
        <w:t>The components of net periodic benefit cost for the pension and other postretirement benefit programs reflected in the condensed consolidated statements of income for the three months ended March 31, 2023 and 2022, are shown below:</w:t>
      </w:r>
    </w:p>
    <w:tbl>
      <w:tblPr>
        <w:tblLayout w:type="fixed"/>
        <w:tblInd w:w="0" w:type="dxa"/>
        <w:tblCellMar>
          <w:top w:w="0" w:type="dxa"/>
          <w:left w:w="0" w:type="dxa"/>
          <w:bottom w:w="0" w:type="dxa"/>
          <w:right w:w="0" w:type="dxa"/>
        </w:tblCellMar>
      </w:tblPr>
      <w:tr>
        <w:trPr>
          <w:trHeight w:val="192"/>
        </w:trPr>
        <w:tc>
          <w:tcPr>
            <w:tcW w:w="67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3"/>
          </w:tcPr>
          <w:p>
            <w:pPr>
              <w:jc w:val="center"/>
              <w:ind w:right="110"/>
              <w:spacing w:after="0" w:line="193" w:lineRule="exact"/>
              <w:rPr>
                <w:sz w:val="20"/>
                <w:szCs w:val="20"/>
                <w:color w:val="auto"/>
              </w:rPr>
            </w:pPr>
            <w:r>
              <w:rPr>
                <w:rFonts w:ascii="Times New Roman" w:cs="Times New Roman" w:eastAsia="Times New Roman" w:hAnsi="Times New Roman"/>
                <w:sz w:val="18"/>
                <w:szCs w:val="18"/>
                <w:color w:val="auto"/>
                <w:w w:val="99"/>
              </w:rPr>
              <w:t>Other Post-Retirement</w:t>
            </w:r>
          </w:p>
        </w:tc>
      </w:tr>
      <w:tr>
        <w:trPr>
          <w:trHeight w:val="234"/>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Pension Benefits</w:t>
            </w:r>
          </w:p>
        </w:tc>
        <w:tc>
          <w:tcPr>
            <w:tcW w:w="200" w:type="dxa"/>
            <w:vAlign w:val="bottom"/>
          </w:tcPr>
          <w:p>
            <w:pPr>
              <w:spacing w:after="0"/>
              <w:rPr>
                <w:sz w:val="20"/>
                <w:szCs w:val="20"/>
                <w:color w:val="auto"/>
              </w:rPr>
            </w:pPr>
          </w:p>
        </w:tc>
        <w:tc>
          <w:tcPr>
            <w:tcW w:w="12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Benefits</w:t>
            </w:r>
          </w:p>
        </w:tc>
        <w:tc>
          <w:tcPr>
            <w:tcW w:w="760" w:type="dxa"/>
            <w:vAlign w:val="bottom"/>
          </w:tcPr>
          <w:p>
            <w:pPr>
              <w:spacing w:after="0"/>
              <w:rPr>
                <w:sz w:val="20"/>
                <w:szCs w:val="20"/>
                <w:color w:val="auto"/>
              </w:rPr>
            </w:pPr>
          </w:p>
        </w:tc>
      </w:tr>
      <w:tr>
        <w:trPr>
          <w:trHeight w:val="178"/>
        </w:trPr>
        <w:tc>
          <w:tcPr>
            <w:tcW w:w="6700" w:type="dxa"/>
            <w:vAlign w:val="bottom"/>
          </w:tcPr>
          <w:p>
            <w:pPr>
              <w:spacing w:after="0"/>
              <w:rPr>
                <w:sz w:val="15"/>
                <w:szCs w:val="15"/>
                <w:color w:val="auto"/>
              </w:rPr>
            </w:pPr>
          </w:p>
        </w:tc>
        <w:tc>
          <w:tcPr>
            <w:tcW w:w="2220" w:type="dxa"/>
            <w:vAlign w:val="bottom"/>
            <w:tcBorders>
              <w:top w:val="single" w:sz="8" w:color="auto"/>
            </w:tcBorders>
            <w:gridSpan w:val="4"/>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Three Months Ended March</w:t>
            </w:r>
          </w:p>
        </w:tc>
        <w:tc>
          <w:tcPr>
            <w:tcW w:w="100" w:type="dxa"/>
            <w:vAlign w:val="bottom"/>
          </w:tcPr>
          <w:p>
            <w:pPr>
              <w:spacing w:after="0"/>
              <w:rPr>
                <w:sz w:val="15"/>
                <w:szCs w:val="15"/>
                <w:color w:val="auto"/>
              </w:rPr>
            </w:pPr>
          </w:p>
        </w:tc>
        <w:tc>
          <w:tcPr>
            <w:tcW w:w="2220" w:type="dxa"/>
            <w:vAlign w:val="bottom"/>
            <w:tcBorders>
              <w:top w:val="single" w:sz="8" w:color="auto"/>
            </w:tcBorders>
            <w:gridSpan w:val="4"/>
          </w:tcPr>
          <w:p>
            <w:pPr>
              <w:jc w:val="center"/>
              <w:spacing w:after="0" w:line="177" w:lineRule="exact"/>
              <w:rPr>
                <w:sz w:val="20"/>
                <w:szCs w:val="20"/>
                <w:color w:val="auto"/>
              </w:rPr>
            </w:pPr>
            <w:r>
              <w:rPr>
                <w:rFonts w:ascii="Times New Roman" w:cs="Times New Roman" w:eastAsia="Times New Roman" w:hAnsi="Times New Roman"/>
                <w:sz w:val="18"/>
                <w:szCs w:val="18"/>
                <w:color w:val="auto"/>
              </w:rPr>
              <w:t>Three Months Ended March</w:t>
            </w:r>
          </w:p>
        </w:tc>
      </w:tr>
      <w:tr>
        <w:trPr>
          <w:trHeight w:val="234"/>
        </w:trPr>
        <w:tc>
          <w:tcPr>
            <w:tcW w:w="6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31,</w:t>
            </w:r>
          </w:p>
        </w:tc>
        <w:tc>
          <w:tcPr>
            <w:tcW w:w="7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Pr>
          <w:p>
            <w:pPr>
              <w:spacing w:after="0"/>
              <w:rPr>
                <w:sz w:val="19"/>
                <w:szCs w:val="19"/>
                <w:color w:val="auto"/>
              </w:rPr>
            </w:pPr>
          </w:p>
        </w:tc>
        <w:tc>
          <w:tcPr>
            <w:tcW w:w="11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(2,607)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(gains) losses and net transition asset</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71" w:lineRule="exact"/>
        <w:rPr>
          <w:sz w:val="20"/>
          <w:szCs w:val="20"/>
          <w:color w:val="auto"/>
        </w:rPr>
      </w:pPr>
    </w:p>
    <w:p>
      <w:pPr>
        <w:jc w:val="both"/>
        <w:ind w:right="500" w:firstLine="405"/>
        <w:spacing w:after="0" w:line="266" w:lineRule="auto"/>
        <w:rPr>
          <w:sz w:val="20"/>
          <w:szCs w:val="20"/>
          <w:color w:val="auto"/>
        </w:rPr>
      </w:pPr>
      <w:r>
        <w:rPr>
          <w:rFonts w:ascii="Times New Roman" w:cs="Times New Roman" w:eastAsia="Times New Roman" w:hAnsi="Times New Roman"/>
          <w:sz w:val="18"/>
          <w:szCs w:val="18"/>
          <w:color w:val="auto"/>
        </w:rPr>
        <w:t>Pension and other postretirement liabilities were $36.1 million and $35.7 million at March 31, 2023 and December 31, 2022, respectively ($0.7 million included in “Accrued expenses” at March 31, 2023 and December 31, 2022, respectively, with the remainder included in “Pension and other postretirement benefit obligations, net” in the condensed consolidated balance sheets).</w:t>
      </w:r>
    </w:p>
    <w:p>
      <w:pPr>
        <w:spacing w:after="0" w:line="41"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Tredegar funds its other postretirement benefits on a claims-made basis; for 2023, the Company anticipates the amount will be consistent with amounts paid for the year ended December 31, 2022, or approximately $0.5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5. OTHER INCOME (EXPENSE), NET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(expense), net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Gain on investment in kaléo</w:t>
            </w:r>
            <w:r>
              <w:rPr>
                <w:rFonts w:ascii="Times New Roman" w:cs="Times New Roman" w:eastAsia="Times New Roman" w:hAnsi="Times New Roman"/>
                <w:sz w:val="23"/>
                <w:szCs w:val="23"/>
                <w:color w:val="auto"/>
                <w:vertAlign w:val="superscript"/>
              </w:rPr>
              <w:t>(a)</w:t>
            </w:r>
          </w:p>
        </w:tc>
        <w:tc>
          <w:tcPr>
            <w:tcW w:w="2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COVID-19-related expenses, net of relief </w:t>
            </w:r>
            <w:r>
              <w:rPr>
                <w:rFonts w:ascii="Times New Roman" w:cs="Times New Roman" w:eastAsia="Times New Roman" w:hAnsi="Times New Roman"/>
                <w:sz w:val="23"/>
                <w:szCs w:val="23"/>
                <w:color w:val="auto"/>
                <w:vertAlign w:val="superscript"/>
              </w:rPr>
              <w:t>(b)</w:t>
            </w:r>
          </w:p>
        </w:tc>
        <w:tc>
          <w:tcPr>
            <w:tcW w:w="28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20" w:right="100" w:firstLine="6"/>
        <w:spacing w:after="0" w:line="223" w:lineRule="auto"/>
        <w:tabs>
          <w:tab w:leader="none" w:pos="2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2023, additional cash consideration of $0.3 million was received related to the customary post-closing adjustments on the sale of the investment in kaleo, Inc ("kaléo"), which was sold in December 2021.</w:t>
      </w:r>
    </w:p>
    <w:p>
      <w:pPr>
        <w:ind w:left="260" w:right="140" w:hanging="234"/>
        <w:spacing w:after="0" w:line="231" w:lineRule="auto"/>
        <w:tabs>
          <w:tab w:leader="none" w:pos="246"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associated with operating under COVID-19 conditions include employee overtime expenses associated with absenteeism, personal protective equipment supplies and facility maintenance.</w:t>
      </w:r>
    </w:p>
    <w:p>
      <w:pPr>
        <w:spacing w:after="0" w:line="172"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9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(loss) by the weighted average number of shares of common stock outstanding. Diluted earnings per share is computed by dividing net income (loss) by the weighted average common and potentially dilutive common equivalent shares outstanding, determined as follows:</w:t>
      </w:r>
    </w:p>
    <w:tbl>
      <w:tblPr>
        <w:tblLayout w:type="fixed"/>
        <w:tblInd w:w="0" w:type="dxa"/>
        <w:tblCellMar>
          <w:top w:w="0" w:type="dxa"/>
          <w:left w:w="0" w:type="dxa"/>
          <w:bottom w:w="0" w:type="dxa"/>
          <w:right w:w="0" w:type="dxa"/>
        </w:tblCellMar>
      </w:tblPr>
      <w:tr>
        <w:trPr>
          <w:trHeight w:val="237"/>
        </w:trPr>
        <w:tc>
          <w:tcPr>
            <w:tcW w:w="7240" w:type="dxa"/>
            <w:vAlign w:val="bottom"/>
            <w:tcBorders>
              <w:top w:val="single" w:sz="8" w:color="auto"/>
            </w:tcBorders>
          </w:tcPr>
          <w:p>
            <w:pPr>
              <w:spacing w:after="0"/>
              <w:rPr>
                <w:sz w:val="20"/>
                <w:szCs w:val="20"/>
                <w:color w:val="auto"/>
              </w:rPr>
            </w:pPr>
          </w:p>
        </w:tc>
        <w:tc>
          <w:tcPr>
            <w:tcW w:w="4000" w:type="dxa"/>
            <w:vAlign w:val="bottom"/>
            <w:tcBorders>
              <w:top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0"/>
        </w:trPr>
        <w:tc>
          <w:tcPr>
            <w:tcW w:w="7240" w:type="dxa"/>
            <w:vAlign w:val="bottom"/>
          </w:tcPr>
          <w:p>
            <w:pPr>
              <w:spacing w:after="0"/>
              <w:rPr>
                <w:sz w:val="19"/>
                <w:szCs w:val="19"/>
                <w:color w:val="auto"/>
              </w:rPr>
            </w:pPr>
          </w:p>
        </w:tc>
        <w:tc>
          <w:tcPr>
            <w:tcW w:w="3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March 31,</w:t>
            </w:r>
          </w:p>
        </w:tc>
        <w:tc>
          <w:tcPr>
            <w:tcW w:w="1000" w:type="dxa"/>
            <w:vAlign w:val="bottom"/>
          </w:tcPr>
          <w:p>
            <w:pPr>
              <w:spacing w:after="0"/>
              <w:rPr>
                <w:sz w:val="19"/>
                <w:szCs w:val="19"/>
                <w:color w:val="auto"/>
              </w:rPr>
            </w:pPr>
          </w:p>
        </w:tc>
      </w:tr>
      <w:tr>
        <w:trPr>
          <w:trHeight w:val="234"/>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used to compute basic earnings per share</w:t>
            </w:r>
          </w:p>
        </w:tc>
        <w:tc>
          <w:tcPr>
            <w:tcW w:w="30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33,895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33,654</w:t>
            </w:r>
          </w:p>
        </w:tc>
      </w:tr>
      <w:tr>
        <w:trPr>
          <w:trHeight w:val="230"/>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Incremental dilutive shares attributable to stock options and restricted stock</w:t>
            </w:r>
          </w:p>
        </w:tc>
        <w:tc>
          <w:tcPr>
            <w:tcW w:w="3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7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tc>
        <w:tc>
          <w:tcPr>
            <w:tcW w:w="300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33,895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33,696</w:t>
            </w:r>
          </w:p>
        </w:tc>
      </w:tr>
    </w:tbl>
    <w:p>
      <w:pPr>
        <w:spacing w:after="0" w:line="171"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Incremental shares attributable to stock options and restricted stock are computed under the treasury stock method using the average market price during the related period. The Company had a net loss for the three months ended March 31, 2023, so there is no dilutive impact for such shares. If the Company had reported net income for the three months ended March 31, 2023, average out-of-the-money options to purchase shares that were excluded from the calculation of incremental shares attributable to stock options and restricted stock would have been 2,642,365. The average out-of-the-money options to purchase shares that were excluded from the calculation of incremental shares attributable to stock options and restricted stock were 2,477,708 for the three months ended March 31, 2022.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ACCUMULATED OTHER COMPREHENSIVE INCOME (LOSS)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March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Foreign Currency</w:t>
            </w:r>
          </w:p>
        </w:tc>
        <w:tc>
          <w:tcPr>
            <w:tcW w:w="2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center"/>
              <w:ind w:right="110"/>
              <w:spacing w:after="0" w:line="202" w:lineRule="exact"/>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Translation</w:t>
            </w:r>
          </w:p>
        </w:tc>
        <w:tc>
          <w:tcPr>
            <w:tcW w:w="2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(59,036)</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(147,595)</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1,557</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3,078</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1,120</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1,991</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2,924</w:t>
            </w:r>
          </w:p>
        </w:tc>
        <w:tc>
          <w:tcPr>
            <w:tcW w:w="24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169"/>
        </w:trPr>
        <w:tc>
          <w:tcPr>
            <w:tcW w:w="3480" w:type="dxa"/>
            <w:vAlign w:val="bottom"/>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2,287</w:t>
            </w:r>
          </w:p>
        </w:tc>
        <w:tc>
          <w:tcPr>
            <w:tcW w:w="24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169"/>
        </w:trPr>
        <w:tc>
          <w:tcPr>
            <w:tcW w:w="3480" w:type="dxa"/>
            <w:vAlign w:val="bottom"/>
          </w:tcPr>
          <w:p>
            <w:pPr>
              <w:ind w:left="240"/>
              <w:spacing w:after="0" w:line="169"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1,120</w:t>
            </w:r>
          </w:p>
        </w:tc>
        <w:tc>
          <w:tcPr>
            <w:tcW w:w="2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1,269</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2,287</w:t>
            </w:r>
          </w:p>
        </w:tc>
        <w:tc>
          <w:tcPr>
            <w:tcW w:w="2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(56,749)</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(142,919)</w:t>
            </w:r>
          </w:p>
        </w:tc>
        <w:tc>
          <w:tcPr>
            <w:tcW w:w="0" w:type="dxa"/>
            <w:vAlign w:val="bottom"/>
          </w:tcPr>
          <w:p>
            <w:pPr>
              <w:spacing w:after="0"/>
              <w:rPr>
                <w:sz w:val="1"/>
                <w:szCs w:val="1"/>
                <w:color w:val="auto"/>
              </w:rPr>
            </w:pPr>
          </w:p>
        </w:tc>
      </w:tr>
      <w:tr>
        <w:trPr>
          <w:trHeight w:val="850"/>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March 31,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Foreign Currency</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80"/>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Translation</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(64,613)</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(149,504)</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6,264</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10,003</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16,267</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5,536</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6,813</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12,349</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3,250</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178"/>
        </w:trPr>
        <w:tc>
          <w:tcPr>
            <w:tcW w:w="348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2,538</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178"/>
        </w:trPr>
        <w:tc>
          <w:tcPr>
            <w:tcW w:w="3480" w:type="dxa"/>
            <w:vAlign w:val="bottom"/>
          </w:tcPr>
          <w:p>
            <w:pPr>
              <w:ind w:left="2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5,536</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5,930</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2,538</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14,004</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(62,075)</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related to pension and other postretirement benefits is included in the computation of net periodic pension costs, see Note 4 for additional details.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w:t>
      </w:r>
    </w:p>
    <w:p>
      <w:pPr>
        <w:spacing w:after="0" w:line="10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Tredegar uses derivative financial instruments for the purpose of hedging margin exposure from fixed-price forward sales contracts in Aluminum Extrusions and exposure from currency volatility that exists as part of ongoing business operations in Flexible Packaging Films. These derivative financial instruments are designated as and qualify as cash flow hedges and are recognized in the condensed consolidated balance sheet at fair value. If individual derivative instruments with the same counterparty can be settled on a net basis, the Company records the corresponding derivative fair values as a net asset or net liability.</w:t>
      </w:r>
    </w:p>
    <w:p>
      <w:pPr>
        <w:spacing w:after="0" w:line="6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certain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have durations generally no longer than 12 months. The notional amount of aluminum futures contracts that hedged future purchases of aluminum to meet fixed-price forward sales contract obligations was $27.8 million (18.7 million pounds of aluminum) at March 31, 2023 and $30.7 million (20.3 million pounds of aluminum) at December 31, 2022.</w:t>
      </w:r>
    </w:p>
    <w:p>
      <w:pPr>
        <w:spacing w:after="0" w:line="54" w:lineRule="exact"/>
        <w:rPr>
          <w:sz w:val="20"/>
          <w:szCs w:val="20"/>
          <w:color w:val="auto"/>
        </w:rPr>
      </w:pPr>
    </w:p>
    <w:p>
      <w:pPr>
        <w:ind w:right="40" w:firstLine="405"/>
        <w:spacing w:after="0" w:line="276"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aluminum futures contract fair values (Level 2) in the condensed consolidated balance sheets as of March 31, 2023 and December 31, 2022:</w:t>
      </w:r>
    </w:p>
    <w:tbl>
      <w:tblPr>
        <w:tblLayout w:type="fixed"/>
        <w:tblInd w:w="0" w:type="dxa"/>
        <w:tblCellMar>
          <w:top w:w="0" w:type="dxa"/>
          <w:left w:w="0" w:type="dxa"/>
          <w:bottom w:w="0" w:type="dxa"/>
          <w:right w:w="0" w:type="dxa"/>
        </w:tblCellMar>
      </w:tblPr>
      <w:tr>
        <w:trPr>
          <w:trHeight w:val="238"/>
        </w:trPr>
        <w:tc>
          <w:tcPr>
            <w:tcW w:w="5160" w:type="dxa"/>
            <w:vAlign w:val="bottom"/>
            <w:tcBorders>
              <w:top w:val="single" w:sz="8" w:color="auto"/>
            </w:tcBorders>
          </w:tcPr>
          <w:p>
            <w:pPr>
              <w:spacing w:after="0"/>
              <w:rPr>
                <w:sz w:val="20"/>
                <w:szCs w:val="20"/>
                <w:color w:val="auto"/>
              </w:rPr>
            </w:pPr>
          </w:p>
        </w:tc>
        <w:tc>
          <w:tcPr>
            <w:tcW w:w="220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March 31, 2023</w:t>
            </w:r>
          </w:p>
        </w:tc>
        <w:tc>
          <w:tcPr>
            <w:tcW w:w="7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2022</w:t>
            </w:r>
          </w:p>
        </w:tc>
        <w:tc>
          <w:tcPr>
            <w:tcW w:w="740" w:type="dxa"/>
            <w:vAlign w:val="bottom"/>
            <w:tcBorders>
              <w:top w:val="single" w:sz="8" w:color="auto"/>
              <w:bottom w:val="single" w:sz="8" w:color="auto"/>
            </w:tcBorders>
          </w:tcPr>
          <w:p>
            <w:pPr>
              <w:spacing w:after="0"/>
              <w:rPr>
                <w:sz w:val="20"/>
                <w:szCs w:val="20"/>
                <w:color w:val="auto"/>
              </w:rPr>
            </w:pPr>
          </w:p>
        </w:tc>
      </w:tr>
      <w:tr>
        <w:trPr>
          <w:trHeight w:val="178"/>
        </w:trPr>
        <w:tc>
          <w:tcPr>
            <w:tcW w:w="5160" w:type="dxa"/>
            <w:vAlign w:val="bottom"/>
          </w:tcPr>
          <w:p>
            <w:pPr>
              <w:spacing w:after="0"/>
              <w:rPr>
                <w:sz w:val="15"/>
                <w:szCs w:val="15"/>
                <w:color w:val="auto"/>
              </w:rPr>
            </w:pPr>
          </w:p>
        </w:tc>
        <w:tc>
          <w:tcPr>
            <w:tcW w:w="1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20" w:type="dxa"/>
            <w:vAlign w:val="bottom"/>
          </w:tcPr>
          <w:p>
            <w:pPr>
              <w:spacing w:after="0"/>
              <w:rPr>
                <w:sz w:val="15"/>
                <w:szCs w:val="15"/>
                <w:color w:val="auto"/>
              </w:rPr>
            </w:pPr>
          </w:p>
        </w:tc>
        <w:tc>
          <w:tcPr>
            <w:tcW w:w="780" w:type="dxa"/>
            <w:vAlign w:val="bottom"/>
          </w:tcPr>
          <w:p>
            <w:pPr>
              <w:jc w:val="center"/>
              <w:ind w:right="90"/>
              <w:spacing w:after="0" w:line="177"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Pr>
          <w:p>
            <w:pPr>
              <w:spacing w:after="0"/>
              <w:rPr>
                <w:sz w:val="15"/>
                <w:szCs w:val="15"/>
                <w:color w:val="auto"/>
              </w:rPr>
            </w:pPr>
          </w:p>
        </w:tc>
        <w:tc>
          <w:tcPr>
            <w:tcW w:w="18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Balance Sheet</w:t>
            </w:r>
          </w:p>
        </w:tc>
        <w:tc>
          <w:tcPr>
            <w:tcW w:w="380" w:type="dxa"/>
            <w:vAlign w:val="bottom"/>
          </w:tcPr>
          <w:p>
            <w:pPr>
              <w:spacing w:after="0"/>
              <w:rPr>
                <w:sz w:val="15"/>
                <w:szCs w:val="15"/>
                <w:color w:val="auto"/>
              </w:rPr>
            </w:pPr>
          </w:p>
        </w:tc>
        <w:tc>
          <w:tcPr>
            <w:tcW w:w="740" w:type="dxa"/>
            <w:vAlign w:val="bottom"/>
          </w:tcPr>
          <w:p>
            <w:pPr>
              <w:jc w:val="right"/>
              <w:ind w:right="250"/>
              <w:spacing w:after="0" w:line="177" w:lineRule="exact"/>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Value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184"/>
        </w:trPr>
        <w:tc>
          <w:tcPr>
            <w:tcW w:w="5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Asset derivatives:</w:t>
            </w:r>
          </w:p>
        </w:tc>
        <w:tc>
          <w:tcPr>
            <w:tcW w:w="1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Prepaid expenses and</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184"/>
        </w:trPr>
        <w:tc>
          <w:tcPr>
            <w:tcW w:w="5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Liability derivatives:</w:t>
            </w:r>
          </w:p>
        </w:tc>
        <w:tc>
          <w:tcPr>
            <w:tcW w:w="1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4"/>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r>
      <w:tr>
        <w:trPr>
          <w:trHeight w:val="184"/>
        </w:trPr>
        <w:tc>
          <w:tcPr>
            <w:tcW w:w="5160" w:type="dxa"/>
            <w:vAlign w:val="bottom"/>
          </w:tcPr>
          <w:p>
            <w:pPr>
              <w:spacing w:after="0"/>
              <w:rPr>
                <w:sz w:val="16"/>
                <w:szCs w:val="16"/>
                <w:color w:val="auto"/>
              </w:rPr>
            </w:pPr>
          </w:p>
        </w:tc>
        <w:tc>
          <w:tcPr>
            <w:tcW w:w="1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Other non-current</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5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18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r>
    </w:tbl>
    <w:p>
      <w:pPr>
        <w:spacing w:after="0" w:line="17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The Company's earnings are exposed to foreign currency exchange risk primarily through the translation of the financial statements of subsidiaries that have a functional currency other than the U.S. Dollar. The Company estimates that the net mismatch translation exposure for the Flexible Packaging Film's business unit in Brazil (“Terphane Ltda.”) of its sales and raw materials quoted or priced in U.S. Dollars and its variable conversion, fixed conversion and sales, general and administrative costs (before depreciation and amortization) quoted or priced in Brazilian Real ("R$") will be an annual net cost of R$177 million for the full year of 2023.</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Terphane Ltda. has the following outstanding foreign exchange average forward rate contracts to purchase Brazilian Real and sell U.S. Dollars: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2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Average Forward Rate</w:t>
            </w:r>
          </w:p>
        </w:tc>
        <w:tc>
          <w:tcPr>
            <w:tcW w:w="25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Estimated % of Terphane</w:t>
            </w:r>
          </w:p>
        </w:tc>
        <w:tc>
          <w:tcPr>
            <w:tcW w:w="0" w:type="dxa"/>
            <w:vAlign w:val="bottom"/>
          </w:tcPr>
          <w:p>
            <w:pPr>
              <w:spacing w:after="0"/>
              <w:rPr>
                <w:sz w:val="1"/>
                <w:szCs w:val="1"/>
                <w:color w:val="auto"/>
              </w:rPr>
            </w:pPr>
          </w:p>
        </w:tc>
      </w:tr>
      <w:tr>
        <w:trPr>
          <w:trHeight w:val="180"/>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USD Notional Amount (000s)</w:t>
            </w:r>
          </w:p>
        </w:tc>
        <w:tc>
          <w:tcPr>
            <w:tcW w:w="2040" w:type="dxa"/>
            <w:vAlign w:val="bottom"/>
            <w:vMerge w:val="continue"/>
          </w:tcPr>
          <w:p>
            <w:pPr>
              <w:spacing w:after="0"/>
              <w:rPr>
                <w:sz w:val="15"/>
                <w:szCs w:val="15"/>
                <w:color w:val="auto"/>
              </w:rPr>
            </w:pPr>
          </w:p>
        </w:tc>
        <w:tc>
          <w:tcPr>
            <w:tcW w:w="25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R$ Equivalent Amount (000s)</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Applicable Month</w:t>
            </w:r>
          </w:p>
        </w:tc>
        <w:tc>
          <w:tcPr>
            <w:tcW w:w="2380" w:type="dxa"/>
            <w:vAlign w:val="bottom"/>
          </w:tcPr>
          <w:p>
            <w:pPr>
              <w:jc w:val="center"/>
              <w:ind w:left="30"/>
              <w:spacing w:after="0" w:line="181" w:lineRule="exact"/>
              <w:rPr>
                <w:sz w:val="20"/>
                <w:szCs w:val="20"/>
                <w:color w:val="auto"/>
              </w:rPr>
            </w:pPr>
            <w:r>
              <w:rPr>
                <w:rFonts w:ascii="Times New Roman" w:cs="Times New Roman" w:eastAsia="Times New Roman" w:hAnsi="Times New Roman"/>
                <w:sz w:val="18"/>
                <w:szCs w:val="18"/>
                <w:color w:val="auto"/>
              </w:rPr>
              <w:t>Ltda. R$ Operating Cost</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Contracted on USD/BRL</w:t>
            </w:r>
          </w:p>
        </w:tc>
        <w:tc>
          <w:tcPr>
            <w:tcW w:w="254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Exposure Hedged</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$1,903</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5.5379</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R$10,539</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Apr-23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$1,873</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5.5753</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R$10,443</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$1,928</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5.6118</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R$10,820</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$2,154</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5.6378</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R$12,144</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$2,020</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5.6831</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R$11,480</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$2,071</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5.7174</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R$11,841</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Sep-23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$2,013</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5.7556</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R$11,586</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$2,018</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5.7836</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R$11,671</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$1,786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5.8312</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R$10,414</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5.7360</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R$3,780</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5.7562</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R$3,793</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Feb-24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5.7774</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R$3,807</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5.8000</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R$3,822</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Apr-24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5.8207</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R$3,836</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5.8419</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R$3,850</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5.8636</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R$3,864</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5.8872</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R$3,880</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5.9118</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R$3,896</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Sep-24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5.9350</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R$3,911</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5.9581</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R$3,926</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5.9813</w:t>
            </w:r>
          </w:p>
        </w:tc>
        <w:tc>
          <w:tcPr>
            <w:tcW w:w="254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R$3,942</w:t>
            </w:r>
          </w:p>
        </w:tc>
        <w:tc>
          <w:tcPr>
            <w:tcW w:w="1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Dec-24</w:t>
            </w:r>
          </w:p>
        </w:tc>
        <w:tc>
          <w:tcPr>
            <w:tcW w:w="23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$25,674</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5.7352</w:t>
            </w:r>
          </w:p>
        </w:tc>
        <w:tc>
          <w:tcPr>
            <w:tcW w:w="2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R$147,245</w:t>
            </w:r>
          </w:p>
        </w:tc>
        <w:tc>
          <w:tcPr>
            <w:tcW w:w="19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These foreign currency exchange contracts have been designated and qualify as cash flow hedges of Terphane Ltda.’s forecasted sales to customers quoted or priced in U.S. Dollars over that period. By changing the currency risk associated with these U.S. Dollar sales, the derivatives have the effect of offsetting operating costs quoted or priced in Brazilian Real and decreasing the net exposure to Brazilian Real in the condensed consolidated statements of income.</w:t>
      </w:r>
    </w:p>
    <w:p>
      <w:pPr>
        <w:spacing w:after="0" w:line="45" w:lineRule="exact"/>
        <w:rPr>
          <w:sz w:val="20"/>
          <w:szCs w:val="20"/>
          <w:color w:val="auto"/>
        </w:rPr>
      </w:pPr>
    </w:p>
    <w:p>
      <w:pPr>
        <w:ind w:right="100" w:firstLine="405"/>
        <w:spacing w:after="0" w:line="276"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foreign currency forward contract fair values (Level 2) in the condensed consolidated balance sheets as of March 31, 2023 and December 31, 2022:</w:t>
      </w:r>
    </w:p>
    <w:tbl>
      <w:tblPr>
        <w:tblLayout w:type="fixed"/>
        <w:tblInd w:w="0" w:type="dxa"/>
        <w:tblCellMar>
          <w:top w:w="0" w:type="dxa"/>
          <w:left w:w="0" w:type="dxa"/>
          <w:bottom w:w="0" w:type="dxa"/>
          <w:right w:w="0" w:type="dxa"/>
        </w:tblCellMar>
      </w:tblPr>
      <w:tr>
        <w:trPr>
          <w:trHeight w:val="238"/>
        </w:trPr>
        <w:tc>
          <w:tcPr>
            <w:tcW w:w="5160" w:type="dxa"/>
            <w:vAlign w:val="bottom"/>
            <w:tcBorders>
              <w:top w:val="single" w:sz="8" w:color="auto"/>
            </w:tcBorders>
          </w:tcPr>
          <w:p>
            <w:pPr>
              <w:spacing w:after="0"/>
              <w:rPr>
                <w:sz w:val="20"/>
                <w:szCs w:val="20"/>
                <w:color w:val="auto"/>
              </w:rPr>
            </w:pPr>
          </w:p>
        </w:tc>
        <w:tc>
          <w:tcPr>
            <w:tcW w:w="218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March 31, 2023</w:t>
            </w: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2022</w:t>
            </w:r>
          </w:p>
        </w:tc>
        <w:tc>
          <w:tcPr>
            <w:tcW w:w="760" w:type="dxa"/>
            <w:vAlign w:val="bottom"/>
            <w:tcBorders>
              <w:top w:val="single" w:sz="8" w:color="auto"/>
              <w:bottom w:val="single" w:sz="8" w:color="auto"/>
            </w:tcBorders>
          </w:tcPr>
          <w:p>
            <w:pPr>
              <w:spacing w:after="0"/>
              <w:rPr>
                <w:sz w:val="20"/>
                <w:szCs w:val="20"/>
                <w:color w:val="auto"/>
              </w:rPr>
            </w:pPr>
          </w:p>
        </w:tc>
      </w:tr>
      <w:tr>
        <w:trPr>
          <w:trHeight w:val="178"/>
        </w:trPr>
        <w:tc>
          <w:tcPr>
            <w:tcW w:w="5160" w:type="dxa"/>
            <w:vAlign w:val="bottom"/>
          </w:tcPr>
          <w:p>
            <w:pPr>
              <w:spacing w:after="0"/>
              <w:rPr>
                <w:sz w:val="15"/>
                <w:szCs w:val="15"/>
                <w:color w:val="auto"/>
              </w:rPr>
            </w:pPr>
          </w:p>
        </w:tc>
        <w:tc>
          <w:tcPr>
            <w:tcW w:w="18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40" w:type="dxa"/>
            <w:vAlign w:val="bottom"/>
          </w:tcPr>
          <w:p>
            <w:pPr>
              <w:spacing w:after="0"/>
              <w:rPr>
                <w:sz w:val="15"/>
                <w:szCs w:val="15"/>
                <w:color w:val="auto"/>
              </w:rPr>
            </w:pPr>
          </w:p>
        </w:tc>
        <w:tc>
          <w:tcPr>
            <w:tcW w:w="78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5"/>
                <w:szCs w:val="15"/>
                <w:color w:val="auto"/>
              </w:rPr>
            </w:pPr>
          </w:p>
        </w:tc>
        <w:tc>
          <w:tcPr>
            <w:tcW w:w="1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80" w:type="dxa"/>
            <w:vAlign w:val="bottom"/>
          </w:tcPr>
          <w:p>
            <w:pPr>
              <w:spacing w:after="0"/>
              <w:rPr>
                <w:sz w:val="15"/>
                <w:szCs w:val="15"/>
                <w:color w:val="auto"/>
              </w:rPr>
            </w:pPr>
          </w:p>
        </w:tc>
        <w:tc>
          <w:tcPr>
            <w:tcW w:w="760" w:type="dxa"/>
            <w:vAlign w:val="bottom"/>
          </w:tcPr>
          <w:p>
            <w:pPr>
              <w:jc w:val="right"/>
              <w:ind w:right="270"/>
              <w:spacing w:after="0" w:line="177" w:lineRule="exact"/>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4"/>
        </w:trPr>
        <w:tc>
          <w:tcPr>
            <w:tcW w:w="5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Asset derivatives:</w:t>
            </w:r>
          </w:p>
        </w:tc>
        <w:tc>
          <w:tcPr>
            <w:tcW w:w="18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84"/>
        </w:trPr>
        <w:tc>
          <w:tcPr>
            <w:tcW w:w="5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Liability derivatives:</w:t>
            </w:r>
          </w:p>
        </w:tc>
        <w:tc>
          <w:tcPr>
            <w:tcW w:w="1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4"/>
        </w:trPr>
        <w:tc>
          <w:tcPr>
            <w:tcW w:w="5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18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864"/>
        </w:trPr>
        <w:tc>
          <w:tcPr>
            <w:tcW w:w="5160" w:type="dxa"/>
            <w:vAlign w:val="bottom"/>
          </w:tcPr>
          <w:p>
            <w:pPr>
              <w:spacing w:after="0"/>
              <w:rPr>
                <w:sz w:val="24"/>
                <w:szCs w:val="24"/>
                <w:color w:val="auto"/>
              </w:rPr>
            </w:pPr>
          </w:p>
        </w:tc>
        <w:tc>
          <w:tcPr>
            <w:tcW w:w="184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These derivative contracts involve elements of market risk that are not reflected on the condensed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best and most credit-worthy customers. The counterparties to the Company’s foreign currency cash flow hedge contracts are major financial institutions.</w:t>
      </w:r>
    </w:p>
    <w:p>
      <w:pPr>
        <w:spacing w:after="0" w:line="48" w:lineRule="exact"/>
        <w:rPr>
          <w:sz w:val="20"/>
          <w:szCs w:val="20"/>
          <w:color w:val="auto"/>
        </w:rPr>
      </w:pPr>
    </w:p>
    <w:p>
      <w:pPr>
        <w:ind w:right="80" w:firstLine="405"/>
        <w:spacing w:after="0" w:line="276" w:lineRule="auto"/>
        <w:rPr>
          <w:sz w:val="20"/>
          <w:szCs w:val="20"/>
          <w:color w:val="auto"/>
        </w:rPr>
      </w:pPr>
      <w:r>
        <w:rPr>
          <w:rFonts w:ascii="Times New Roman" w:cs="Times New Roman" w:eastAsia="Times New Roman" w:hAnsi="Times New Roman"/>
          <w:sz w:val="18"/>
          <w:szCs w:val="18"/>
          <w:color w:val="auto"/>
        </w:rPr>
        <w:t>The pre-tax effect on net income (loss) and other comprehensive income (loss) of derivative instruments classified as cash flow hedges and described in the previous paragraphs for the three month periods ended March 31, 2023 and 2022 is summarized in the table below:</w:t>
      </w:r>
    </w:p>
    <w:tbl>
      <w:tblPr>
        <w:tblLayout w:type="fixed"/>
        <w:tblInd w:w="0" w:type="dxa"/>
        <w:tblCellMar>
          <w:top w:w="0" w:type="dxa"/>
          <w:left w:w="0" w:type="dxa"/>
          <w:bottom w:w="0" w:type="dxa"/>
          <w:right w:w="0" w:type="dxa"/>
        </w:tblCellMar>
      </w:tblPr>
      <w:tr>
        <w:trPr>
          <w:trHeight w:val="238"/>
        </w:trPr>
        <w:tc>
          <w:tcPr>
            <w:tcW w:w="53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940" w:type="dxa"/>
            <w:vAlign w:val="bottom"/>
            <w:tcBorders>
              <w:top w:val="single" w:sz="8" w:color="auto"/>
              <w:bottom w:val="single" w:sz="8" w:color="auto"/>
            </w:tcBorders>
            <w:gridSpan w:val="5"/>
          </w:tcPr>
          <w:p>
            <w:pPr>
              <w:jc w:val="center"/>
              <w:ind w:left="530"/>
              <w:spacing w:after="0"/>
              <w:rPr>
                <w:sz w:val="20"/>
                <w:szCs w:val="20"/>
                <w:color w:val="auto"/>
              </w:rPr>
            </w:pPr>
            <w:r>
              <w:rPr>
                <w:rFonts w:ascii="Times New Roman" w:cs="Times New Roman" w:eastAsia="Times New Roman" w:hAnsi="Times New Roman"/>
                <w:sz w:val="18"/>
                <w:szCs w:val="18"/>
                <w:color w:val="auto"/>
                <w:w w:val="99"/>
              </w:rPr>
              <w:t>Cash Flow Derivative Hedges</w:t>
            </w:r>
          </w:p>
        </w:tc>
        <w:tc>
          <w:tcPr>
            <w:tcW w:w="7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5"/>
          </w:tcPr>
          <w:p>
            <w:pPr>
              <w:jc w:val="center"/>
              <w:ind w:left="51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right w:val="single" w:sz="8" w:color="auto"/>
            </w:tcBorders>
            <w:gridSpan w:val="3"/>
          </w:tcPr>
          <w:p>
            <w:pPr>
              <w:jc w:val="center"/>
              <w:ind w:right="210"/>
              <w:spacing w:after="0" w:line="177" w:lineRule="exact"/>
              <w:rPr>
                <w:sz w:val="20"/>
                <w:szCs w:val="20"/>
                <w:color w:val="auto"/>
              </w:rPr>
            </w:pPr>
            <w:r>
              <w:rPr>
                <w:rFonts w:ascii="Times New Roman" w:cs="Times New Roman" w:eastAsia="Times New Roman" w:hAnsi="Times New Roman"/>
                <w:sz w:val="18"/>
                <w:szCs w:val="18"/>
                <w:color w:val="auto"/>
              </w:rPr>
              <w:t>Aluminum Futures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Borders>
              <w:right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color w:val="auto"/>
              </w:rPr>
              <w:t>Contracts</w:t>
            </w:r>
          </w:p>
        </w:tc>
        <w:tc>
          <w:tcPr>
            <w:tcW w:w="140" w:type="dxa"/>
            <w:vAlign w:val="bottom"/>
          </w:tcPr>
          <w:p>
            <w:pPr>
              <w:spacing w:after="0"/>
              <w:rPr>
                <w:sz w:val="19"/>
                <w:szCs w:val="19"/>
                <w:color w:val="auto"/>
              </w:rPr>
            </w:pPr>
          </w:p>
        </w:tc>
        <w:tc>
          <w:tcPr>
            <w:tcW w:w="288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78"/>
        </w:trPr>
        <w:tc>
          <w:tcPr>
            <w:tcW w:w="532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Amount of pre-tax gain (loss) recognized in other comprehensive</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184"/>
        </w:trPr>
        <w:tc>
          <w:tcPr>
            <w:tcW w:w="53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Location of gain (loss) reclassified from accumulated other</w:t>
            </w:r>
          </w:p>
        </w:tc>
        <w:tc>
          <w:tcPr>
            <w:tcW w:w="160" w:type="dxa"/>
            <w:vAlign w:val="bottom"/>
          </w:tcPr>
          <w:p>
            <w:pPr>
              <w:spacing w:after="0"/>
              <w:rPr>
                <w:sz w:val="16"/>
                <w:szCs w:val="16"/>
                <w:color w:val="auto"/>
              </w:rPr>
            </w:pPr>
          </w:p>
        </w:tc>
        <w:tc>
          <w:tcPr>
            <w:tcW w:w="8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8"/>
              </w:rPr>
              <w:t>Cost of</w:t>
            </w:r>
          </w:p>
        </w:tc>
        <w:tc>
          <w:tcPr>
            <w:tcW w:w="220" w:type="dxa"/>
            <w:vAlign w:val="bottom"/>
          </w:tcPr>
          <w:p>
            <w:pPr>
              <w:spacing w:after="0"/>
              <w:rPr>
                <w:sz w:val="16"/>
                <w:szCs w:val="16"/>
                <w:color w:val="auto"/>
              </w:rPr>
            </w:pPr>
          </w:p>
        </w:tc>
        <w:tc>
          <w:tcPr>
            <w:tcW w:w="860" w:type="dxa"/>
            <w:vAlign w:val="bottom"/>
            <w:tcBorders>
              <w:right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Cost of</w:t>
            </w:r>
          </w:p>
        </w:tc>
        <w:tc>
          <w:tcPr>
            <w:tcW w:w="140" w:type="dxa"/>
            <w:vAlign w:val="bottom"/>
          </w:tcPr>
          <w:p>
            <w:pPr>
              <w:spacing w:after="0"/>
              <w:rPr>
                <w:sz w:val="16"/>
                <w:szCs w:val="16"/>
                <w:color w:val="auto"/>
              </w:rPr>
            </w:pPr>
          </w:p>
        </w:tc>
        <w:tc>
          <w:tcPr>
            <w:tcW w:w="8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Cost of</w:t>
            </w:r>
          </w:p>
        </w:tc>
        <w:tc>
          <w:tcPr>
            <w:tcW w:w="88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rPr>
              <w:t>Selling,</w:t>
            </w:r>
          </w:p>
        </w:tc>
        <w:tc>
          <w:tcPr>
            <w:tcW w:w="220" w:type="dxa"/>
            <w:vAlign w:val="bottom"/>
          </w:tcPr>
          <w:p>
            <w:pPr>
              <w:spacing w:after="0"/>
              <w:rPr>
                <w:sz w:val="16"/>
                <w:szCs w:val="16"/>
                <w:color w:val="auto"/>
              </w:rPr>
            </w:pPr>
          </w:p>
        </w:tc>
        <w:tc>
          <w:tcPr>
            <w:tcW w:w="7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Cost of</w:t>
            </w:r>
          </w:p>
        </w:tc>
        <w:tc>
          <w:tcPr>
            <w:tcW w:w="180" w:type="dxa"/>
            <w:vAlign w:val="bottom"/>
          </w:tcPr>
          <w:p>
            <w:pPr>
              <w:spacing w:after="0"/>
              <w:rPr>
                <w:sz w:val="16"/>
                <w:szCs w:val="16"/>
                <w:color w:val="auto"/>
              </w:rPr>
            </w:pPr>
          </w:p>
        </w:tc>
        <w:tc>
          <w:tcPr>
            <w:tcW w:w="86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rPr>
              <w:t>Selling,</w:t>
            </w:r>
          </w:p>
        </w:tc>
        <w:tc>
          <w:tcPr>
            <w:tcW w:w="0" w:type="dxa"/>
            <w:vAlign w:val="bottom"/>
          </w:tcPr>
          <w:p>
            <w:pPr>
              <w:spacing w:after="0"/>
              <w:rPr>
                <w:sz w:val="1"/>
                <w:szCs w:val="1"/>
                <w:color w:val="auto"/>
              </w:rPr>
            </w:pPr>
          </w:p>
        </w:tc>
      </w:tr>
      <w:tr>
        <w:trPr>
          <w:trHeight w:val="180"/>
        </w:trPr>
        <w:tc>
          <w:tcPr>
            <w:tcW w:w="53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comprehensive income (loss) into net income (effective portion)</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8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general &amp;</w:t>
            </w: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rPr>
              <w:t>general &amp;</w:t>
            </w:r>
          </w:p>
        </w:tc>
        <w:tc>
          <w:tcPr>
            <w:tcW w:w="0" w:type="dxa"/>
            <w:vAlign w:val="bottom"/>
          </w:tcPr>
          <w:p>
            <w:pPr>
              <w:spacing w:after="0"/>
              <w:rPr>
                <w:sz w:val="1"/>
                <w:szCs w:val="1"/>
                <w:color w:val="auto"/>
              </w:rPr>
            </w:pPr>
          </w:p>
        </w:tc>
      </w:tr>
      <w:tr>
        <w:trPr>
          <w:trHeight w:val="229"/>
        </w:trPr>
        <w:tc>
          <w:tcPr>
            <w:tcW w:w="532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goods sold</w:t>
            </w:r>
          </w:p>
        </w:tc>
        <w:tc>
          <w:tcPr>
            <w:tcW w:w="10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goods sold</w:t>
            </w:r>
          </w:p>
        </w:tc>
        <w:tc>
          <w:tcPr>
            <w:tcW w:w="9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goods sold</w:t>
            </w: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admin</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goods sold</w:t>
            </w:r>
          </w:p>
        </w:tc>
        <w:tc>
          <w:tcPr>
            <w:tcW w:w="180" w:type="dxa"/>
            <w:vAlign w:val="bottom"/>
          </w:tcPr>
          <w:p>
            <w:pPr>
              <w:spacing w:after="0"/>
              <w:rPr>
                <w:sz w:val="19"/>
                <w:szCs w:val="19"/>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admin</w:t>
            </w:r>
          </w:p>
        </w:tc>
        <w:tc>
          <w:tcPr>
            <w:tcW w:w="0" w:type="dxa"/>
            <w:vAlign w:val="bottom"/>
          </w:tcPr>
          <w:p>
            <w:pPr>
              <w:spacing w:after="0"/>
              <w:rPr>
                <w:sz w:val="1"/>
                <w:szCs w:val="1"/>
                <w:color w:val="auto"/>
              </w:rPr>
            </w:pPr>
          </w:p>
        </w:tc>
      </w:tr>
      <w:tr>
        <w:trPr>
          <w:trHeight w:val="184"/>
        </w:trPr>
        <w:tc>
          <w:tcPr>
            <w:tcW w:w="53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Amount of pre-tax gain (loss) reclassified from accumulated other</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 to net income (effective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15 $</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As of March 31, 2023, the Company expects $0.9 million of unrealized after-tax losses on aluminum and foreign currency derivative instruments reported in accumulated other comprehensive income (loss) to be reclassified to earnings within the next 12 months. For the three month periods ended March 31, 2023 and 2022, net gains or losses realized, from previously unrealized net gains or losses on hedges that had been discontinued, were not material.</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08" w:lineRule="exact"/>
        <w:rPr>
          <w:sz w:val="20"/>
          <w:szCs w:val="20"/>
          <w:color w:val="auto"/>
        </w:rPr>
      </w:pPr>
    </w:p>
    <w:p>
      <w:pPr>
        <w:jc w:val="both"/>
        <w:ind w:right="100" w:firstLine="405"/>
        <w:spacing w:after="0" w:line="270" w:lineRule="auto"/>
        <w:rPr>
          <w:sz w:val="20"/>
          <w:szCs w:val="20"/>
          <w:color w:val="auto"/>
        </w:rPr>
      </w:pPr>
      <w:r>
        <w:rPr>
          <w:rFonts w:ascii="Times New Roman" w:cs="Times New Roman" w:eastAsia="Times New Roman" w:hAnsi="Times New Roman"/>
          <w:sz w:val="17"/>
          <w:szCs w:val="17"/>
          <w:color w:val="auto"/>
        </w:rPr>
        <w:t>Tredegar recorded tax expense of $0.3 million on pre-tax loss of $0.7 million in the first three months of 2023. Therefore, the effective tax rate in the first three months of 2023 was (48.8)%, compared to 4.5% in the first three months of 2022. The change in the effective tax rate is primarily due to a pre-tax loss in first three months of 2023 versus pre-tax income in first three months of 2022, lower Brazil tax incentives, and a large discrete benefit recorded in the first quarter of 2022, resulting from the implementation of new U.S. tax regulations associated with foreign tax credits published by the U.S.</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Treasury and Internal Revenue Service on January 4, 2022. These regulations overhauled various components of the foreign tax credit regime including the determination of creditable foreign taxes and limit the amount of foreign taxes that are creditable against U.S. income taxes. As the result of these regulations, future Brazilian income tax will be deductible, but not creditable, in the U.S. The accounting rules require a reduction of the U.S. deferred tax liability previously established related to anticipated future income from Brazil. The tax effect of the reduction of the U.S. deferred tax liability resulted in the discrete tax benefit described above. Total deferred tax assets declined during the first quarter of 2023 compared to December 31, 2022 primarily due to changes in other comprehensive income.</w:t>
      </w:r>
    </w:p>
    <w:p>
      <w:pPr>
        <w:spacing w:after="0" w:line="6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Tredegar accrues U.S. federal income taxes on unremitted earnings of foreign subsidiaries where required. However, due to changes in the taxation of dividends under the U.S. Tax Cuts and Jobs Act of 2017, Tredegar will only record U.S. federal income taxes on unremitted earnings of its foreign subsidiaries where Tredegar cannot take steps to eliminate any potential tax on future distributions from its foreign subsidiaries.</w:t>
      </w:r>
    </w:p>
    <w:p>
      <w:pPr>
        <w:spacing w:after="0" w:line="41"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Brazilian federal statutory income tax rate is a composite of 34.0% (25.0% of income tax and 9.0% of social contribution on income). Terphane Ltda.’s manufacturing facility in Brazil is the beneficiary of certain income tax incentives that allow for a reduction in the statutory Brazilian federal income tax rate to 15.25% levied on the operating profit on certain of its products. The incentives have been granted for a 10-year period, from the commencement date of January 1, 2015 and expiring at the end of 2024. The benefit from the tax incentives was $0.6 million and $1.5 million in the first three months of 2023 and 2022, respectively.</w:t>
      </w:r>
    </w:p>
    <w:p>
      <w:pPr>
        <w:spacing w:after="0" w:line="6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Tredegar and its subsidiaries file income tax returns in the U.S., various states, and jurisdictions outside the U.S. With exceptions for some U.S. states and non-U.S. jurisdictions, Tredegar and its subsidiaries as of March 31, 2023 are no longer subject to U.S. federal, state or non-U.S. income tax examinations by tax authorities for years before 2018.</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10. BUSINESS SEGMENTS</w:t>
      </w:r>
    </w:p>
    <w:p>
      <w:pPr>
        <w:spacing w:after="0" w:line="10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Company’s business segments are Aluminum Extrusions, PE Films, and Flexible Packaging Films. Information by business segment is reported below. There are no accounting transactions between segments and no allocations to segments.</w:t>
      </w:r>
    </w:p>
    <w:p>
      <w:pPr>
        <w:spacing w:after="0" w:line="2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 The Company uses sales less freight (“net sales”) as its measure of revenues from external customers at the segment level. This measure is separately included in the financial information regularly provided to the CODM.</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14" w:name="page15"/>
    <w:bookmarkEnd w:id="14"/>
    <w:p>
      <w:pPr>
        <w:ind w:left="420"/>
        <w:spacing w:after="0"/>
        <w:rPr>
          <w:sz w:val="20"/>
          <w:szCs w:val="20"/>
          <w:color w:val="auto"/>
        </w:rPr>
      </w:pPr>
      <w:r>
        <w:rPr>
          <w:rFonts w:ascii="Times New Roman" w:cs="Times New Roman" w:eastAsia="Times New Roman" w:hAnsi="Times New Roman"/>
          <w:sz w:val="18"/>
          <w:szCs w:val="18"/>
          <w:color w:val="auto"/>
        </w:rPr>
        <w:t>The following table presents net sales and EBITDA from ongoing operations by segment for the three months ended March 31, 2023 and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40" w:type="dxa"/>
            <w:vAlign w:val="bottom"/>
            <w:tcBorders>
              <w:top w:val="single" w:sz="8" w:color="auto"/>
            </w:tcBorders>
          </w:tcPr>
          <w:p>
            <w:pPr>
              <w:spacing w:after="0"/>
              <w:rPr>
                <w:sz w:val="21"/>
                <w:szCs w:val="21"/>
                <w:color w:val="auto"/>
              </w:rPr>
            </w:pPr>
          </w:p>
        </w:tc>
        <w:tc>
          <w:tcPr>
            <w:tcW w:w="28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133,370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158,110</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20,182</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31,131</w:t>
            </w: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31,527</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39,244</w:t>
            </w:r>
          </w:p>
        </w:tc>
      </w:tr>
      <w:tr>
        <w:trPr>
          <w:trHeight w:val="223"/>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185,079</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228,485</w:t>
            </w: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6,043</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w:t>
            </w: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as shown in the condensed consolidated statements of income (loss)</w:t>
            </w:r>
          </w:p>
        </w:tc>
        <w:tc>
          <w:tcPr>
            <w:tcW w:w="3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191,122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236,566</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from Ongoing Operations</w:t>
            </w: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14,638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23,919</w:t>
            </w:r>
          </w:p>
        </w:tc>
      </w:tr>
      <w:tr>
        <w:trPr>
          <w:trHeight w:val="230"/>
        </w:trPr>
        <w:tc>
          <w:tcPr>
            <w:tcW w:w="5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w:t>
            </w: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10,227</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19,658</w:t>
            </w: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1,849</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r>
      <w:tr>
        <w:trPr>
          <w:trHeight w:val="229"/>
        </w:trPr>
        <w:tc>
          <w:tcPr>
            <w:tcW w:w="5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w:t>
            </w: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1,350</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r>
      <w:tr>
        <w:trPr>
          <w:trHeight w:val="230"/>
        </w:trPr>
        <w:tc>
          <w:tcPr>
            <w:tcW w:w="5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r>
      <w:tr>
        <w:trPr>
          <w:trHeight w:val="230"/>
        </w:trPr>
        <w:tc>
          <w:tcPr>
            <w:tcW w:w="5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10,514</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29,345</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2,311</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 in kaléo</w:t>
            </w: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option-based compensation costs</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net</w:t>
            </w:r>
          </w:p>
        </w:tc>
        <w:tc>
          <w:tcPr>
            <w:tcW w:w="2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8,956</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10,757</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r>
      <w:tr>
        <w:trPr>
          <w:trHeight w:val="864"/>
        </w:trPr>
        <w:tc>
          <w:tcPr>
            <w:tcW w:w="5440" w:type="dxa"/>
            <w:vAlign w:val="bottom"/>
          </w:tcPr>
          <w:p>
            <w:pPr>
              <w:spacing w:after="0"/>
              <w:rPr>
                <w:sz w:val="24"/>
                <w:szCs w:val="24"/>
                <w:color w:val="auto"/>
              </w:rPr>
            </w:pPr>
          </w:p>
        </w:tc>
        <w:tc>
          <w:tcPr>
            <w:tcW w:w="28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ind w:left="420"/>
        <w:spacing w:after="0"/>
        <w:rPr>
          <w:sz w:val="20"/>
          <w:szCs w:val="20"/>
          <w:color w:val="auto"/>
        </w:rPr>
      </w:pPr>
      <w:r>
        <w:rPr>
          <w:rFonts w:ascii="Times New Roman" w:cs="Times New Roman" w:eastAsia="Times New Roman" w:hAnsi="Times New Roman"/>
          <w:sz w:val="18"/>
          <w:szCs w:val="18"/>
          <w:color w:val="auto"/>
        </w:rPr>
        <w:t>The following table presents identifiable assets by segment at March 31, 2023 and December 31,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96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March 31, 2023</w:t>
            </w:r>
          </w:p>
        </w:tc>
        <w:tc>
          <w:tcPr>
            <w:tcW w:w="26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296,861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293,308</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9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99,725</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102,431</w:t>
            </w:r>
          </w:p>
        </w:tc>
      </w:tr>
      <w:tr>
        <w:trPr>
          <w:trHeight w:val="229"/>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9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93,467</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103,448</w:t>
            </w:r>
          </w:p>
        </w:tc>
      </w:tr>
      <w:tr>
        <w:trPr>
          <w:trHeight w:val="223"/>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9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490,053</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499,187</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29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w:t>
            </w:r>
          </w:p>
        </w:tc>
      </w:tr>
      <w:tr>
        <w:trPr>
          <w:trHeight w:val="229"/>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19,232</w:t>
            </w:r>
          </w:p>
        </w:tc>
      </w:tr>
      <w:tr>
        <w:trPr>
          <w:trHeight w:val="230"/>
        </w:trPr>
        <w:tc>
          <w:tcPr>
            <w:tcW w:w="4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526,174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542,093</w:t>
            </w:r>
          </w:p>
        </w:tc>
      </w:tr>
    </w:tbl>
    <w:p>
      <w:pPr>
        <w:spacing w:after="0" w:line="157"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disaggregate the Company’s revenue by geographic area and product group for the three months ended March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Area (a)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0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150,611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182,138</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Exports from the United States to:</w:t>
            </w:r>
          </w:p>
        </w:tc>
        <w:tc>
          <w:tcPr>
            <w:tcW w:w="3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30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w:t>
            </w:r>
          </w:p>
        </w:tc>
      </w:tr>
      <w:tr>
        <w:trPr>
          <w:trHeight w:val="229"/>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Latin America</w:t>
            </w:r>
          </w:p>
        </w:tc>
        <w:tc>
          <w:tcPr>
            <w:tcW w:w="30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2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30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4,284</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0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860</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3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Brazil</w:t>
            </w:r>
          </w:p>
        </w:tc>
        <w:tc>
          <w:tcPr>
            <w:tcW w:w="30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21,628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26,885</w:t>
            </w:r>
          </w:p>
        </w:tc>
      </w:tr>
      <w:tr>
        <w:trPr>
          <w:trHeight w:val="229"/>
        </w:trPr>
        <w:tc>
          <w:tcPr>
            <w:tcW w:w="55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30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185,079</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228,485</w:t>
            </w: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 Export sales relate mostly to PE Films. Operations in Brazil relate to Flexible Packaging Films.</w:t>
      </w:r>
    </w:p>
    <w:p>
      <w:pPr>
        <w:spacing w:after="0" w:line="20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$3.4 million and $6.5 million in the first three months of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Net Sales by Product Group</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4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7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7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Nonresidential building &amp; construction</w:t>
            </w:r>
          </w:p>
        </w:tc>
        <w:tc>
          <w:tcPr>
            <w:tcW w:w="2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78,629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80,921</w:t>
            </w: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Consumer durables</w:t>
            </w:r>
          </w:p>
        </w:tc>
        <w:tc>
          <w:tcPr>
            <w:tcW w:w="2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16,891</w:t>
            </w: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Automotive</w:t>
            </w:r>
          </w:p>
        </w:tc>
        <w:tc>
          <w:tcPr>
            <w:tcW w:w="27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12,122</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13,841</w:t>
            </w: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building &amp; construction</w:t>
            </w:r>
          </w:p>
        </w:tc>
        <w:tc>
          <w:tcPr>
            <w:tcW w:w="2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w:t>
            </w: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Electrical</w:t>
            </w:r>
          </w:p>
        </w:tc>
        <w:tc>
          <w:tcPr>
            <w:tcW w:w="27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8,129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w:t>
            </w: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&amp; equipment</w:t>
            </w:r>
          </w:p>
        </w:tc>
        <w:tc>
          <w:tcPr>
            <w:tcW w:w="2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10,724</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w:t>
            </w:r>
          </w:p>
        </w:tc>
      </w:tr>
      <w:tr>
        <w:trPr>
          <w:trHeight w:val="229"/>
        </w:trPr>
        <w:tc>
          <w:tcPr>
            <w:tcW w:w="5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1,816</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9,760</w:t>
            </w:r>
          </w:p>
        </w:tc>
      </w:tr>
      <w:tr>
        <w:trPr>
          <w:trHeight w:val="223"/>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2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133,370</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158,110</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Surface protection films</w:t>
            </w:r>
          </w:p>
        </w:tc>
        <w:tc>
          <w:tcPr>
            <w:tcW w:w="2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12,855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22,148</w:t>
            </w:r>
          </w:p>
        </w:tc>
      </w:tr>
      <w:tr>
        <w:trPr>
          <w:trHeight w:val="229"/>
        </w:trPr>
        <w:tc>
          <w:tcPr>
            <w:tcW w:w="5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Overwrap packaging</w:t>
            </w:r>
          </w:p>
        </w:tc>
        <w:tc>
          <w:tcPr>
            <w:tcW w:w="2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7,327</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w:t>
            </w:r>
          </w:p>
        </w:tc>
      </w:tr>
      <w:tr>
        <w:trPr>
          <w:trHeight w:val="223"/>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2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20,182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31,131</w:t>
            </w:r>
          </w:p>
        </w:tc>
      </w:tr>
      <w:tr>
        <w:trPr>
          <w:trHeight w:val="229"/>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31,527</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39,244</w:t>
            </w:r>
          </w:p>
        </w:tc>
      </w:tr>
      <w:tr>
        <w:trPr>
          <w:trHeight w:val="230"/>
        </w:trPr>
        <w:tc>
          <w:tcPr>
            <w:tcW w:w="57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185,079</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228,485</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SUPPLY CHAIN FINANCING</w:t>
      </w:r>
    </w:p>
    <w:p>
      <w:pPr>
        <w:spacing w:after="0" w:line="108"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Company has supply chain finance service agreements with third-party financial institutions to provide platforms that facilitate the ability of participating suppliers to finance payment obligations from the Company with the third-party financial institution. The Company’s obligations to its suppliers, including amounts due and scheduled payment dates, are not affected by suppliers’ decisions to finance amounts under the supply chain finance agreements. As of March 31, 2023 and December 31, 2022, $11.4 million and $25.9 million, respectively, of the Company’s accounts payable were financed by participating suppliers through third-party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7" w:name="page18"/>
    <w:bookmarkEnd w:id="17"/>
    <w:p>
      <w:pPr>
        <w:jc w:val="right"/>
        <w:ind w:right="362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and Cautionary Statements</w:t>
      </w:r>
    </w:p>
    <w:p>
      <w:pPr>
        <w:spacing w:after="0" w:line="1"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Factors that could cause actual results to differ materially from expectations include, without limitation, the following:</w:t>
      </w:r>
    </w:p>
    <w:p>
      <w:pPr>
        <w:spacing w:after="0" w:line="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gain of sales to significant customers on which the Company’s business is highly dependent;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sales to new customers to replace lost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efficiently manufacture and deliver new products at competitive prices;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customers to achieve success or maintain market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doing business in countries outside the U.S. that affect our international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regulatory factors concerning the Company’s products;</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economic conditions in countries in which the Company does business, including continued high inflation and the effects of the Russian invasion of Ukraine;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manufacturers, including manufacturers in lower-cost countries and manufacturers benefiting from government subsidies;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fluctuations in foreign exchange rates;</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movement of pension plan assets and liabilities relating to differences between the ultimate settlement benefit obligation and the projected benefit obligation, census data, administrative costs, and the effectiveness of hedging activities;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operating costs incurred by the Company’s business units, including, for example, the cost of raw materials and energy;</w:t>
      </w:r>
    </w:p>
    <w:p>
      <w:pPr>
        <w:spacing w:after="0" w:line="9"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problems or delays with the implementation of an enterprise resource planning and manufacturing executions systems, or security breaches and other disruptions to the Company's information technology infrastructure;</w:t>
      </w:r>
    </w:p>
    <w:p>
      <w:pPr>
        <w:ind w:left="660" w:right="48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identify, complete or integrate strategic acquisitions; failure to realize the expected benefits of such acquisitions and assumption of unanticipated risks in such acquisitions;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manufacturing facilities, including those resulting from labor shortages;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attract, develop and retain certain key officers or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on employees, production and the global economy, such as the COVID-19 pandemic;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technology system failure or breach;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imposition of tariffs and sanctions on imported aluminum ingot used by Bonnell Aluminum;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tariffs, duties or other trade restrictions imposed as a result of trade tensions between the U.S. and other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anti-dumping duties on products imported to Brazil that compete with products produced by Flexible Packaging;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the Surface Protection reporting unit's goodwill;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and maintain effective internal control over financial reporting;</w:t>
      </w:r>
    </w:p>
    <w:p>
      <w:pPr>
        <w:spacing w:after="0" w:line="8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and the other factors discussed in the reports Tredegar files with or furnishes to the Securities and Exchange Commission (the “SEC”) from time to time, including the risks and important factors set forth in additional detail in Part I, Item 1A of Tredegar’s Annual Report on Form 10-K for the year ended December 31, 2022 (the “2022 Form 10-K”). Readers are urged to review and consider carefully the disclosures Tredegar makes in its filings with the SEC.</w:t>
      </w:r>
    </w:p>
    <w:p>
      <w:pPr>
        <w:spacing w:after="0" w:line="23" w:lineRule="exact"/>
        <w:rPr>
          <w:sz w:val="20"/>
          <w:szCs w:val="20"/>
          <w:color w:val="auto"/>
        </w:rPr>
      </w:pPr>
    </w:p>
    <w:p>
      <w:pPr>
        <w:ind w:right="460" w:firstLine="405"/>
        <w:spacing w:after="0" w:line="312" w:lineRule="auto"/>
        <w:rPr>
          <w:sz w:val="20"/>
          <w:szCs w:val="20"/>
          <w:color w:val="auto"/>
        </w:rPr>
      </w:pPr>
      <w:r>
        <w:rPr>
          <w:rFonts w:ascii="Times New Roman" w:cs="Times New Roman" w:eastAsia="Times New Roman" w:hAnsi="Times New Roman"/>
          <w:sz w:val="17"/>
          <w:szCs w:val="17"/>
          <w:color w:val="auto"/>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18"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References herein to “Tredegar,” “the Company,” “we,” “us” and “our” are to Tredegar Corporation and its subsidiaries, collectively, unless the context otherwise indicates or requires.</w:t>
      </w:r>
    </w:p>
    <w:p>
      <w:pPr>
        <w:spacing w:after="0" w:line="40"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Unless otherwise stated or indicated, all comparisons are to the prior year period. References to "Notes" are to notes to our condensed consolidated financial statements found in Part I, Item 1 of this Form 10-Q.</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9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makes a number of estimates and assumptions relating to the reporting of results of operations and financial position in the preparation of financial statements in conformity with generally accepted accounting standards in the United States ("GAAP"). The Company believes the estimates, assumptions and judgments described in the section “Management’s Discussion and Analysis of Financial Condition and Results of Operations – Critical Accounting Policies and Estimates” in the 2022 Form 10-K have the greatest potential impact on our financial statements, so Tredegar considers these to be its critical accounting policies. Since December 31, 2022, there have been no changes in these policies or estimates that have had a material impact on our results of operations or financial position.</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0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Tredegar Corporation is an industrial manufacturer with three primary businesses: custom aluminum extrusions for the North American building and construction ("B&amp;C"), automotive and specialty end-use markets through its Aluminum Extrusions segment; surface protection films for high-technology applications in the global electronics industry through its PE Films segment; and specialized polyester films primarily for the Latin American flexible packaging market through its Flexible Packaging Films segment. With approximately 2,200 employees, the Company operates manufacturing facilities in North America, South America, and Asia.</w:t>
      </w:r>
    </w:p>
    <w:p>
      <w:pPr>
        <w:spacing w:after="0" w:line="4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from ongoing operations is the measure of segment profit and loss used by Tredegar’s chief operating decision maker ("CODM") for purposes of assessing financial performance. The Company uses sales less freight (“net sales”) as its measure of revenues from external customers at the segment level. This measure is separately included in the financial information regularly provided to the CODM.</w:t>
      </w:r>
    </w:p>
    <w:p>
      <w:pPr>
        <w:spacing w:after="0" w:line="58"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Earnings before interest and taxes ("EBIT") from ongoing operations is a non-GAAP financial measure included in the reconciliation of segment financial information to consolidated results for the Company in Note 10. It is not intended to represent the stand-alone results for Tredegar's ongoing operations under GAAP and should not be considered as an alternative to net income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46"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First quarter 2023 net income (loss) was $(1.0) million ($(0.03) per diluted share) compared with net income of $16.4 million ($0.49 per diluted share) in the first quarter of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Financial Results Highlights</w:t>
      </w:r>
    </w:p>
    <w:p>
      <w:pPr>
        <w:spacing w:after="0" w:line="108" w:lineRule="exact"/>
        <w:rPr>
          <w:sz w:val="20"/>
          <w:szCs w:val="20"/>
          <w:color w:val="auto"/>
        </w:rPr>
      </w:pPr>
    </w:p>
    <w:p>
      <w:pPr>
        <w:ind w:left="340" w:right="8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Aluminum Extrusions of $14.6 million declined $9.3 million primarily due to an abnormally strong first quarter of 2022. Sales volume of 37.6 million pounds was consistent with the weak fourth quarter of 2022.</w:t>
      </w:r>
    </w:p>
    <w:p>
      <w:pPr>
        <w:spacing w:after="0" w:line="40"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PE Films of $1.8 million was $5.2 million lower than the strong first quarter of 2022. Sales volume of 7.4 million pounds improved by 1.0 million pounds compared with the weak average third and fourth quarter volume levels in 2022.</w:t>
      </w:r>
    </w:p>
    <w:p>
      <w:pPr>
        <w:spacing w:after="0" w:line="26"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Flexible Packaging Films of $1.4 million was $3.7 million lower than the first quarter of 2022 mainly due to soft market demand during the first quarter of 2023.</w:t>
      </w:r>
    </w:p>
    <w:p>
      <w:pPr>
        <w:spacing w:after="0" w:line="4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A significant slowdown in the Company’s businesses and markets has been exacerbated by customer inventory corrections. The timing of recovery for our businesses, particularly Aluminum Extrusions and PE Films, remains uncertain. Excess inventories, lower sales and lower EBITDA from ongoing operations have resulted in negative cash flow from operations after capital expenditures and dividends in each of the last three quarters, resulting in higher debt, net of cash, and an increase in the net leverage ratio.</w:t>
      </w:r>
    </w:p>
    <w:p>
      <w:pPr>
        <w:spacing w:after="0" w:line="5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 xml:space="preserve">Other losses related to asset impairments and costs associated with exit and disposal activities were not material for the three months ended March 31, 2023 and 2022, respectively. Gains and losses associated with plant shutdowns, asset impairments, restructurings and other items are described in </w:t>
      </w:r>
      <w:r>
        <w:rPr>
          <w:rFonts w:ascii="Times New Roman" w:cs="Times New Roman" w:eastAsia="Times New Roman" w:hAnsi="Times New Roman"/>
          <w:sz w:val="18"/>
          <w:szCs w:val="18"/>
          <w:b w:val="1"/>
          <w:bCs w:val="1"/>
          <w:i w:val="1"/>
          <w:iCs w:val="1"/>
          <w:color w:val="auto"/>
        </w:rPr>
        <w:t>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of Operations </w:t>
      </w: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jc w:val="cente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Quarter of 2023 Compared with the First Quarter of 2022</w:t>
      </w:r>
    </w:p>
    <w:p>
      <w:pPr>
        <w:spacing w:after="0" w:line="106"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the first quarter of 2022 to the first quarter of 2023 with management's related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for the three months ended March 31, 2022</w:t>
            </w:r>
          </w:p>
        </w:tc>
        <w:tc>
          <w:tcPr>
            <w:tcW w:w="24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r>
      <w:tr>
        <w:trPr>
          <w:trHeight w:val="229"/>
        </w:trPr>
        <w:tc>
          <w:tcPr>
            <w:tcW w:w="7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for the three months ended March 31, 2022</w:t>
            </w:r>
          </w:p>
        </w:tc>
        <w:tc>
          <w:tcPr>
            <w:tcW w:w="2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2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2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(45,444)</w:t>
            </w:r>
          </w:p>
        </w:tc>
      </w:tr>
      <w:tr>
        <w:trPr>
          <w:trHeight w:val="229"/>
        </w:trPr>
        <w:tc>
          <w:tcPr>
            <w:tcW w:w="7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3"/>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(44,862)</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2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2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2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29"/>
        </w:trPr>
        <w:tc>
          <w:tcPr>
            <w:tcW w:w="7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23"/>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26,984</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for the three months ended March 31, 2023</w:t>
            </w:r>
          </w:p>
        </w:tc>
        <w:tc>
          <w:tcPr>
            <w:tcW w:w="2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30"/>
        </w:trPr>
        <w:tc>
          <w:tcPr>
            <w:tcW w:w="7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7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 for the three months ended March 31, 2023</w:t>
            </w:r>
          </w:p>
        </w:tc>
        <w:tc>
          <w:tcPr>
            <w:tcW w:w="2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r>
    </w:tbl>
    <w:p>
      <w:pPr>
        <w:spacing w:after="0" w:line="15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 xml:space="preserve">Sales in the first quarter of 2023 decreased by $45.4 million compared with the first quarter of 2022. Net sales (sales less freight) in Aluminum Extrusions decreased $24.7 million, primarily due to lower sales volume and the pass-through of lower metal costs, partially offset by an increase in selling prices to cover higher operating costs. Net sales in PE Films decreased $10.9 million, primarily due to weakening market demand and unfavorable product mix. Net sales in Flexible Packaging Films decreased $7.7 million, primarily due to lower sales volume, partially offset by favorable product mix and higher selling prices from the pass-through of higher resin costs. For more information on net sales and volume,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below.</w:t>
      </w:r>
    </w:p>
    <w:p>
      <w:pPr>
        <w:spacing w:after="0" w:line="6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Other income (expense), net was $0.3 million in the first three months of 2023 compared to other income (expense), net of $(0.3) million in the first three months of 2022. The change in other income (expense), net is primarily due to lower COVID-19-related expenses of $0.2 million and additional cash consideration of $0.3 million received in the first three months of 2023 related to the customary post-closing adjustments on the sale of the investment in kaleo, Inc, which was sold in December 2021. See Note 5 for additional information.</w:t>
      </w:r>
    </w:p>
    <w:p>
      <w:pPr>
        <w:spacing w:after="0" w:line="45"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Consolidated gross profit (sales minus cost of goods sold and freight) as a percentage of sales (gross profit margin) was 13.4% in the first quarter of 2023 compared to 19.1% in the first quarter of 2022. The gross profit margin in Aluminum Extrusions decreased primarily due to lower sales volume, higher labor and employee-related costs, lower labor productivity, higher supply expense, unfavorable inflationary costs for other supplies, higher utility costs, and higher freight rates, partially offset by higher pricing. Additionally, the timing of the flow through under the first-in first-out method of aluminum raw material costs passed through to customers, previously acquired at lower prices in a quickly changing commodity pricing environment, resulted in a benefit of $1.7 million in the first quarter of 2023 versus a benefit of $7.1 million in the first quarter of 2022. The gross profit margin in PE Films decreased primarily due to a lower Surface Protection contribution margin for non-transitioning products associated with a market slowdown, customer inventory corrections, and previously disclosed customer product transitions. The gross profit margin in Flexible Packaging Films decreased primarily due to lower sales volume and higher fixed and variable costs, partially offset by favorable product mix and lower raw material costs.</w:t>
      </w:r>
    </w:p>
    <w:p>
      <w:pPr>
        <w:spacing w:after="0" w:line="67"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As a percentage of sales, selling, general and administrative (“SG&amp;A”) and research and development ("R&amp;D") expenses were 10.6% in the first quarter of 2023, compared with 9.6% in the first quarter of 2022. While first quarter SG&amp;A expenses and sales decreased year-over-year, R&amp;D expenses remained relatively consistent with the prior year period. Lower SG&amp;A spending is primarily due to lower accruals for employee-related compensation, lower professional fees associated with business development activities and lower stock-based compensation.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right="80" w:firstLine="405"/>
        <w:spacing w:after="0" w:line="281" w:lineRule="auto"/>
        <w:rPr>
          <w:sz w:val="20"/>
          <w:szCs w:val="20"/>
          <w:color w:val="auto"/>
        </w:rPr>
      </w:pPr>
      <w:r>
        <w:rPr>
          <w:rFonts w:ascii="Times New Roman" w:cs="Times New Roman" w:eastAsia="Times New Roman" w:hAnsi="Times New Roman"/>
          <w:sz w:val="17"/>
          <w:szCs w:val="17"/>
          <w:color w:val="auto"/>
        </w:rPr>
        <w:t>The effective tax rate used to compute income taxes for the first quarter of 2023 was (48.8)%, compared to 4.5% in the first quarter of 2022. The change in the effective tax rate is primarily due to a pre-tax loss in first three months of 2023 versus pre-tax income in first three months of 2022, lower Brazil tax incentives, and a large discrete benefit recorded in the first quarter of 2022, resulting from the implementation of new U.S. tax regulations associated with foreign tax credits published by the U.S. Treasury and Internal Revenue Service on January 4, 2022. See Note 9 for additional information.</w:t>
      </w:r>
    </w:p>
    <w:p>
      <w:pPr>
        <w:spacing w:after="0" w:line="29"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Pre-tax gains and losses associated with plant shutdowns, asset impairments, restructurings and other items for the first quarters of 2023 and 2022 detailed below are shown in the statements of net sales and EBITDA from ongoing operations by segment table in Note 10 and are included in “Asset impairments and costs associated with exit and disposal activities, net of adjustments” in the condensed consolidated statements of income,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8"/>
          <w:szCs w:val="18"/>
          <w:color w:val="auto"/>
        </w:rPr>
        <w:t>Three Months Ended March</w:t>
      </w:r>
    </w:p>
    <w:p>
      <w:pPr>
        <w:spacing w:after="0" w:line="2"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8"/>
          <w:szCs w:val="18"/>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Storm damage to the Newnan, Georgia plant</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920" w:type="dxa"/>
            <w:vAlign w:val="bottom"/>
            <w:tcBorders>
              <w:bottom w:val="single" w:sz="8" w:color="auto"/>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COVID-19-related expenses, net of relief</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20" w:type="dxa"/>
            <w:vAlign w:val="bottom"/>
            <w:tcBorders>
              <w:bottom w:val="single" w:sz="8" w:color="auto"/>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COVID-19-related expenses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Other restructuring costs - severance</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Flexible Packaging Films</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9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3"/>
                <w:szCs w:val="23"/>
                <w:color w:val="auto"/>
                <w:vertAlign w:val="superscript"/>
              </w:rPr>
              <w:t>2</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9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remediation activities related to internal control over financial reporting</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181"/>
        </w:trPr>
        <w:tc>
          <w:tcPr>
            <w:tcW w:w="892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Stock-based compensation expense associated with the fair value remeasurement of awards granted at the time of the</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8"/>
        </w:trPr>
        <w:tc>
          <w:tcPr>
            <w:tcW w:w="8920" w:type="dxa"/>
            <w:vAlign w:val="bottom"/>
          </w:tcPr>
          <w:p>
            <w:pPr>
              <w:ind w:left="360"/>
              <w:spacing w:after="0" w:line="237" w:lineRule="exact"/>
              <w:rPr>
                <w:sz w:val="20"/>
                <w:szCs w:val="20"/>
                <w:color w:val="auto"/>
              </w:rPr>
            </w:pPr>
            <w:r>
              <w:rPr>
                <w:rFonts w:ascii="Times New Roman" w:cs="Times New Roman" w:eastAsia="Times New Roman" w:hAnsi="Times New Roman"/>
                <w:sz w:val="18"/>
                <w:szCs w:val="18"/>
                <w:color w:val="auto"/>
              </w:rPr>
              <w:t>2020 special dividend</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92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periodic benefit cost for the frozen defined benefit pension plan in process of termination</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8"/>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80" w:hanging="154"/>
        <w:spacing w:after="0"/>
        <w:tabs>
          <w:tab w:leader="none" w:pos="1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condensed consolidated statements of income.</w:t>
      </w:r>
    </w:p>
    <w:p>
      <w:pPr>
        <w:ind w:left="180" w:hanging="154"/>
        <w:spacing w:after="0" w:line="211" w:lineRule="auto"/>
        <w:tabs>
          <w:tab w:leader="none" w:pos="1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condensed consolidated statements of income.</w:t>
      </w:r>
    </w:p>
    <w:p>
      <w:pPr>
        <w:ind w:left="180" w:hanging="154"/>
        <w:spacing w:after="0"/>
        <w:tabs>
          <w:tab w:leader="none" w:pos="1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“Corporate Expenses, Interest, &amp; Other” below and Note 4 for additional information.</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Average debt outstanding and interest rates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outstanding debt balance</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147.0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103.4</w:t>
            </w:r>
          </w:p>
        </w:tc>
      </w:tr>
      <w:tr>
        <w:trPr>
          <w:trHeight w:val="236"/>
        </w:trPr>
        <w:tc>
          <w:tcPr>
            <w:tcW w:w="67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rate</w:t>
            </w:r>
          </w:p>
        </w:tc>
        <w:tc>
          <w:tcPr>
            <w:tcW w:w="13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4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bl>
    <w:p>
      <w:pPr>
        <w:ind w:left="180" w:right="260" w:hanging="154"/>
        <w:spacing w:after="0" w:line="219" w:lineRule="auto"/>
        <w:tabs>
          <w:tab w:leader="none" w:pos="1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entry into the Second Amended and Restated Credit Agreement on June 29, 2022, borrowings bear an interest rate equal to Secured Overnight Financing Rate ("SOFR") plus a credit spread adjustment of 10 basis points and an amount depending on the type of borrowing and commitment fees charged on the unused amount under the Second Amended and Restated Credit Agreement. Prior to entry into the Second Amended and Restated Credit Agreement, the interest rate was based on the London Inter-Bank Offered Rate ("LIBOR") plus an applicable credit spread.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jc w:val="cente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Segment Operations Review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Aluminum Extrusions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Aluminum Extrusions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14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22"/>
        </w:trPr>
        <w:tc>
          <w:tcPr>
            <w:tcW w:w="7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7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80" w:type="dxa"/>
            <w:vAlign w:val="bottom"/>
          </w:tcPr>
          <w:p>
            <w:pPr>
              <w:jc w:val="center"/>
              <w:ind w:left="10"/>
              <w:spacing w:after="0" w:line="164" w:lineRule="exact"/>
              <w:rPr>
                <w:sz w:val="20"/>
                <w:szCs w:val="20"/>
                <w:color w:val="auto"/>
              </w:rPr>
            </w:pPr>
            <w:r>
              <w:rPr>
                <w:rFonts w:ascii="Times New Roman" w:cs="Times New Roman" w:eastAsia="Times New Roman" w:hAnsi="Times New Roman"/>
                <w:sz w:val="18"/>
                <w:szCs w:val="18"/>
                <w:color w:val="auto"/>
                <w:w w:val="99"/>
              </w:rPr>
              <w:t>(Unfavorable)</w:t>
            </w:r>
          </w:p>
        </w:tc>
        <w:tc>
          <w:tcPr>
            <w:tcW w:w="0" w:type="dxa"/>
            <w:vAlign w:val="bottom"/>
          </w:tcPr>
          <w:p>
            <w:pPr>
              <w:spacing w:after="0"/>
              <w:rPr>
                <w:sz w:val="1"/>
                <w:szCs w:val="1"/>
                <w:color w:val="auto"/>
              </w:rPr>
            </w:pPr>
          </w:p>
        </w:tc>
      </w:tr>
      <w:tr>
        <w:trPr>
          <w:trHeight w:val="234"/>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37,562</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43,010</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6"/>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133,370</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158,110</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14,638</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23,919</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(3.5)%</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10,227</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36"/>
        </w:trPr>
        <w:tc>
          <w:tcPr>
            <w:tcW w:w="7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7,742</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right="860" w:firstLine="18"/>
        <w:spacing w:after="0" w:line="404" w:lineRule="auto"/>
        <w:rPr>
          <w:sz w:val="20"/>
          <w:szCs w:val="20"/>
          <w:color w:val="auto"/>
        </w:rPr>
      </w:pPr>
      <w:r>
        <w:rPr>
          <w:rFonts w:ascii="Times New Roman" w:cs="Times New Roman" w:eastAsia="Times New Roman" w:hAnsi="Times New Roman"/>
          <w:sz w:val="18"/>
          <w:szCs w:val="18"/>
          <w:color w:val="auto"/>
        </w:rPr>
        <w:t xml:space="preserve">*See the table in Note 10 for a reconciliation of this non-GAAP measure to the most comparable measure calculated in accordance with GAAP. </w:t>
      </w:r>
      <w:r>
        <w:rPr>
          <w:rFonts w:ascii="Times New Roman" w:cs="Times New Roman" w:eastAsia="Times New Roman" w:hAnsi="Times New Roman"/>
          <w:sz w:val="18"/>
          <w:szCs w:val="18"/>
          <w:i w:val="1"/>
          <w:iCs w:val="1"/>
          <w:u w:val="single" w:color="auto"/>
          <w:color w:val="auto"/>
        </w:rPr>
        <w:t>First Quarter 2023 Results vs. First Quarter 2022 Results</w:t>
      </w: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Net sales (sales less freight) in the first quarter of 2023 decreased 15.6% versus the first quarter of 2022 primarily due to lower sales volume and the pass-through of lower metal costs, partially offset by an increase in prices to cover higher operating costs. Sales volume in the first quarter of 2023 declined 12.7% versus the first quarter of 2022. Nonresidential B&amp;C sales volume, which represented 53% of 2022 volume, was relatively flat in the first quarter of 2023 versus the first quarter of 2022. Sales volume in the specialty market, which represented 29% of total volume in 2022, decreased 30.5% in the first quarter of 2023 versus the first quarter of 2022. Sales volume in the automotive market, which represented 8% of total volume in 2022, decreased 8.2% in the first quarter of 2023 versus the first quarter of 2022. The Company has observed slowing order input and order cancellations as customers continue to report high inventory levels. With a reduced level of incoming orders, overall open orders at the end of the first quarter of 2023 were 27 million pounds, which is at the high end of the pre-pandemic range of 21 to 27 million pounds quarterly in 2019, versus 41 million pounds at the end of the fourth quarter of 2022.</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first quarter of 2023 decreased $9.3 million versus the first quarter of 2022 primarily due to:</w:t>
      </w:r>
    </w:p>
    <w:p>
      <w:pPr>
        <w:spacing w:after="0" w:line="90" w:lineRule="exact"/>
        <w:rPr>
          <w:sz w:val="20"/>
          <w:szCs w:val="20"/>
          <w:color w:val="auto"/>
        </w:rPr>
      </w:pPr>
    </w:p>
    <w:p>
      <w:pPr>
        <w:ind w:left="660" w:right="2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volume ($4.2 million), higher labor and employee-related costs ($1.7 million) and lower labor productivity ($0.5 million); higher supply expense, including higher paint expense associated with a shift to more painted product and inflationary costs for other supplies ($2.1 million); higher utility costs ($0.5 million); higher freight rates ($0.7 million); and increased SG&amp;A expenses ($0.8 million), partially offset by higher pricing ($6.6 million); and</w:t>
      </w:r>
    </w:p>
    <w:p>
      <w:pPr>
        <w:spacing w:after="0" w:line="58"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flow-through under the first-in first-out method of aluminum raw material costs passed through to customers, previously acquired at lower prices in a quickly changing commodity pricing environment, resulted in a benefit of $1.7 million in the first quarter of 2023 versus a benefit of $7.1 million in the first quarter of 2022.</w:t>
      </w:r>
    </w:p>
    <w:p>
      <w:pPr>
        <w:spacing w:after="0" w:line="52" w:lineRule="exact"/>
        <w:rPr>
          <w:sz w:val="20"/>
          <w:szCs w:val="20"/>
          <w:color w:val="auto"/>
        </w:rPr>
      </w:pPr>
    </w:p>
    <w:p>
      <w:pPr>
        <w:ind w:right="400" w:firstLine="405"/>
        <w:spacing w:after="0" w:line="284" w:lineRule="auto"/>
        <w:rPr>
          <w:sz w:val="20"/>
          <w:szCs w:val="20"/>
          <w:color w:val="auto"/>
        </w:rPr>
      </w:pPr>
      <w:r>
        <w:rPr>
          <w:rFonts w:ascii="Times New Roman" w:cs="Times New Roman" w:eastAsia="Times New Roman" w:hAnsi="Times New Roman"/>
          <w:sz w:val="18"/>
          <w:szCs w:val="18"/>
          <w:color w:val="auto"/>
        </w:rPr>
        <w:t xml:space="preserve">Aluminum Extrusions has secured supply sources to meet expected needs for aluminum raw materials in 2023. Refer to Item 3. </w:t>
      </w:r>
      <w:r>
        <w:rPr>
          <w:rFonts w:ascii="Times New Roman" w:cs="Times New Roman" w:eastAsia="Times New Roman" w:hAnsi="Times New Roman"/>
          <w:sz w:val="18"/>
          <w:szCs w:val="18"/>
          <w:i w:val="1"/>
          <w:iCs w:val="1"/>
          <w:color w:val="auto"/>
        </w:rPr>
        <w:t>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Disclosures About Market Risk </w:t>
      </w:r>
      <w:r>
        <w:rPr>
          <w:rFonts w:ascii="Times New Roman" w:cs="Times New Roman" w:eastAsia="Times New Roman" w:hAnsi="Times New Roman"/>
          <w:sz w:val="18"/>
          <w:szCs w:val="18"/>
          <w:color w:val="auto"/>
        </w:rPr>
        <w:t>in this Form 10-Q for additional information on aluminum prices.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0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Capital expenditures for Bonnell Aluminum are projected to be $26 million in 2023, including $11 million for the multi-year implementation of a new enterprise resource planning and manufacturing execution systems ("ERP/MES"), $6 million for infrastructure upgrades at the facilities located in Niles, Michigan, Carthage, Tennessee and Newnan, Georgia and $2 million for other strategic projects. The ERP/MES project commenced in 2022 and is expected to cost approximately $30 million. In addition to strategic projects, approximately $7 million will be required to support continuity of current operations. Depreciation expense is projected to be $15 million in 2023. Amortization expense is projected to be $2 million in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PE Films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PE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14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30"/>
        </w:trPr>
        <w:tc>
          <w:tcPr>
            <w:tcW w:w="7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80" w:type="dxa"/>
            <w:vAlign w:val="bottom"/>
            <w:vMerge w:val="restart"/>
          </w:tcPr>
          <w:p>
            <w:pPr>
              <w:jc w:val="center"/>
              <w:ind w:left="10"/>
              <w:spacing w:after="0" w:line="181" w:lineRule="exact"/>
              <w:rPr>
                <w:sz w:val="20"/>
                <w:szCs w:val="20"/>
                <w:color w:val="auto"/>
              </w:rPr>
            </w:pPr>
            <w:r>
              <w:rPr>
                <w:rFonts w:ascii="Times New Roman" w:cs="Times New Roman" w:eastAsia="Times New Roman" w:hAnsi="Times New Roman"/>
                <w:sz w:val="18"/>
                <w:szCs w:val="18"/>
                <w:color w:val="auto"/>
                <w:w w:val="99"/>
              </w:rPr>
              <w:t>(Unfavorable)</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60" w:type="dxa"/>
            <w:vAlign w:val="bottom"/>
          </w:tcPr>
          <w:p>
            <w:pPr>
              <w:spacing w:after="0" w:line="20" w:lineRule="exact"/>
              <w:rPr>
                <w:sz w:val="1"/>
                <w:szCs w:val="1"/>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Pr>
          <w:p>
            <w:pPr>
              <w:spacing w:after="0" w:line="20" w:lineRule="exact"/>
              <w:rPr>
                <w:sz w:val="1"/>
                <w:szCs w:val="1"/>
                <w:color w:val="auto"/>
              </w:rPr>
            </w:pPr>
          </w:p>
        </w:tc>
        <w:tc>
          <w:tcPr>
            <w:tcW w:w="8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7,368</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7"/>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20,182</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31,131</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1,849</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(3.0)%</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37"/>
        </w:trPr>
        <w:tc>
          <w:tcPr>
            <w:tcW w:w="7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 See the table in Note 10 for a reconciliation of this non-GAAP measure to the most comparable measure calculated in accordance with GAAP.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Quarter 2023 Results vs. First Quarter 2022 Results</w:t>
      </w:r>
    </w:p>
    <w:p>
      <w:pPr>
        <w:spacing w:after="0" w:line="79" w:lineRule="exact"/>
        <w:rPr>
          <w:sz w:val="20"/>
          <w:szCs w:val="20"/>
          <w:color w:val="auto"/>
        </w:rPr>
      </w:pPr>
    </w:p>
    <w:p>
      <w:pPr>
        <w:ind w:right="20" w:firstLine="405"/>
        <w:spacing w:after="0" w:line="241" w:lineRule="auto"/>
        <w:rPr>
          <w:sz w:val="20"/>
          <w:szCs w:val="20"/>
          <w:color w:val="auto"/>
        </w:rPr>
      </w:pPr>
      <w:r>
        <w:rPr>
          <w:rFonts w:ascii="Times New Roman" w:cs="Times New Roman" w:eastAsia="Times New Roman" w:hAnsi="Times New Roman"/>
          <w:sz w:val="18"/>
          <w:szCs w:val="18"/>
          <w:color w:val="auto"/>
        </w:rPr>
        <w:t>Net sales in the first quarter of 2023 decreased 35.2% compared to the first quarter of 2022. Sales volume decreased in both Surface Protection and overwrap films versus the first quarter of 2022. Surface Protection sales volume in the first quarter of 2023 declined 36% versus the first quarter of 2022 but was in the range of the volume levels for the third and fourth quarters of 2022. Surface Protection sales continue to be adversely impacted by weak market demand which began in the third quarter of last year. Consumer demand for electronics has significantly softened, causing manufacturers in the supply chain to experience reduced capacity utilization and inventory corrections. In addition, these market conditions are adversely impacting mix through reduced sales to our highest value-added customers.</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first quarter of 2023 decreased $5.2 million versus the first quarter of 2022, primarily due to:</w:t>
      </w:r>
    </w:p>
    <w:p>
      <w:pPr>
        <w:spacing w:after="0" w:line="104" w:lineRule="exact"/>
        <w:rPr>
          <w:sz w:val="20"/>
          <w:szCs w:val="20"/>
          <w:color w:val="auto"/>
        </w:rPr>
      </w:pPr>
    </w:p>
    <w:p>
      <w:pPr>
        <w:ind w:left="660" w:hanging="24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$4.9 million decrease from Surface Protection:</w:t>
      </w:r>
    </w:p>
    <w:p>
      <w:pPr>
        <w:spacing w:after="0" w:line="103" w:lineRule="exact"/>
        <w:rPr>
          <w:rFonts w:ascii="Times New Roman" w:cs="Times New Roman" w:eastAsia="Times New Roman" w:hAnsi="Times New Roman"/>
          <w:sz w:val="18"/>
          <w:szCs w:val="18"/>
          <w:color w:val="auto"/>
        </w:rPr>
      </w:pPr>
    </w:p>
    <w:p>
      <w:pPr>
        <w:ind w:left="1300" w:right="180" w:hanging="239"/>
        <w:spacing w:after="0" w:line="266"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contribution margin for non-transitioning products associated with a market slowdown and customer inventory corrections ($4.1 million) and for previously disclosed customer product transitions ($0.7 million), partially offset by lower SG&amp;A and other employee-related expenses ($0.6 million); and</w:t>
      </w:r>
    </w:p>
    <w:p>
      <w:pPr>
        <w:spacing w:after="0" w:line="40" w:lineRule="exact"/>
        <w:rPr>
          <w:rFonts w:ascii="Times New Roman" w:cs="Times New Roman" w:eastAsia="Times New Roman" w:hAnsi="Times New Roman"/>
          <w:sz w:val="18"/>
          <w:szCs w:val="18"/>
          <w:color w:val="auto"/>
        </w:rPr>
      </w:pPr>
    </w:p>
    <w:p>
      <w:pPr>
        <w:ind w:left="1300" w:right="280" w:hanging="239"/>
        <w:spacing w:after="0" w:line="282"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pass-through lag associated with resin costs ($0.1 million charge in the first quarter of 2023 versus a benefit of $0.5 million in the first quarter of 2022).</w:t>
      </w:r>
    </w:p>
    <w:p>
      <w:pPr>
        <w:spacing w:after="0" w:line="40" w:lineRule="exact"/>
        <w:rPr>
          <w:rFonts w:ascii="Times New Roman" w:cs="Times New Roman" w:eastAsia="Times New Roman" w:hAnsi="Times New Roman"/>
          <w:sz w:val="18"/>
          <w:szCs w:val="18"/>
          <w:color w:val="auto"/>
        </w:rPr>
      </w:pPr>
    </w:p>
    <w:p>
      <w:pPr>
        <w:ind w:left="660" w:right="60" w:hanging="247"/>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$0.3 million decrease from overwrap films primarily due to the pass-through lag associated with resin costs (a charge of $0.1 million in the first quarter of 2023 versus a benefit of $0.3 million in the first quarter of 2022) and lower volume ($0.1 million), partially offset by lower fixed costs ($0.2 million).</w:t>
      </w:r>
    </w:p>
    <w:p>
      <w:pPr>
        <w:spacing w:after="0" w:line="52" w:lineRule="exact"/>
        <w:rPr>
          <w:sz w:val="20"/>
          <w:szCs w:val="20"/>
          <w:color w:val="auto"/>
        </w:rPr>
      </w:pPr>
    </w:p>
    <w:p>
      <w:pPr>
        <w:ind w:right="900" w:firstLine="405"/>
        <w:spacing w:after="0" w:line="353"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resin prices. </w:t>
      </w:r>
      <w:r>
        <w:rPr>
          <w:rFonts w:ascii="Times New Roman" w:cs="Times New Roman" w:eastAsia="Times New Roman" w:hAnsi="Times New Roman"/>
          <w:sz w:val="18"/>
          <w:szCs w:val="18"/>
          <w:i w:val="1"/>
          <w:iCs w:val="1"/>
          <w:color w:val="auto"/>
        </w:rPr>
        <w:t>Customer Product Transitions in Surface Protection</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Surface Protection component of PE Films supports manufacturers of optical and other specialty substrates used in flat panel display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films are primarily used by customers to protect components of displays in the manufacturing and transportation processes and then discarded.</w:t>
      </w:r>
    </w:p>
    <w:p>
      <w:pPr>
        <w:spacing w:after="0" w:line="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previously reported the risk that a portion of its film products used in surface protection applications would be made obsolete by</w:t>
      </w:r>
    </w:p>
    <w:p>
      <w:pPr>
        <w:spacing w:after="0" w:line="5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customer product transitions, which principally relate to one customer, to less costly alternative processes or materials. The Company estimates that these transitions, which were complete as of the second quarter of 2022, resulted in a total decline of $7 million in pre-tax income as reported under GAAP and EBITDA from ongoing operations during 2022 versus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92"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PE Films are projected to be $3 million in 2022, including $1 million for productivity projects and $2 million for capital expenditures required to support continuity of current operations. Depreciation expense is projected to be $7 million in 2023. There is no amortization expense for PE Films.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Flexible Packaging Films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Flexible Packaging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14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30"/>
        </w:trPr>
        <w:tc>
          <w:tcPr>
            <w:tcW w:w="7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gridSpan w:val="3"/>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March 31,</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vMerge w:val="continue"/>
          </w:tcPr>
          <w:p>
            <w:pPr>
              <w:spacing w:after="0"/>
              <w:rPr>
                <w:sz w:val="12"/>
                <w:szCs w:val="12"/>
                <w:color w:val="auto"/>
              </w:rPr>
            </w:pPr>
          </w:p>
        </w:tc>
        <w:tc>
          <w:tcPr>
            <w:tcW w:w="1480" w:type="dxa"/>
            <w:vAlign w:val="bottom"/>
            <w:vMerge w:val="restart"/>
          </w:tcPr>
          <w:p>
            <w:pPr>
              <w:jc w:val="center"/>
              <w:ind w:left="10"/>
              <w:spacing w:after="0" w:line="181" w:lineRule="exact"/>
              <w:rPr>
                <w:sz w:val="20"/>
                <w:szCs w:val="20"/>
                <w:color w:val="auto"/>
              </w:rPr>
            </w:pPr>
            <w:r>
              <w:rPr>
                <w:rFonts w:ascii="Times New Roman" w:cs="Times New Roman" w:eastAsia="Times New Roman" w:hAnsi="Times New Roman"/>
                <w:sz w:val="18"/>
                <w:szCs w:val="18"/>
                <w:color w:val="auto"/>
                <w:w w:val="99"/>
              </w:rPr>
              <w:t>(Unfavorable)</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180" w:type="dxa"/>
            <w:vAlign w:val="bottom"/>
          </w:tcPr>
          <w:p>
            <w:pPr>
              <w:spacing w:after="0" w:line="20" w:lineRule="exact"/>
              <w:rPr>
                <w:sz w:val="1"/>
                <w:szCs w:val="1"/>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line="20" w:lineRule="exact"/>
              <w:rPr>
                <w:sz w:val="1"/>
                <w:szCs w:val="1"/>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19,845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26,005</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31,527</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39,244</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 See the table in Note 10 for a reconciliation of this non-GAAP measure to the most comparable measure calculated in accordance with GAAP.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Quarter 2023 Results vs. First Quarter 2022 Results</w:t>
      </w:r>
    </w:p>
    <w:p>
      <w:pPr>
        <w:spacing w:after="0" w:line="92"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Net sales in the first quarter of 2023 decreased 19.7% compared to the first quarter of 2022, primarily due to lower sales volume, partially offset by favorable product mix and higher selling prices from the pass-through of higher resin costs. The Company believes that lower sales volume was primarily due to soft market demand, which is projected to improve from existing levels for the remainder of the year.</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first quarter of 2023 decreased by $3.7 million versus the first quarter of 2022, primarily due to:</w:t>
      </w:r>
    </w:p>
    <w:p>
      <w:pPr>
        <w:spacing w:after="0" w:line="104" w:lineRule="exact"/>
        <w:rPr>
          <w:sz w:val="20"/>
          <w:szCs w:val="20"/>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sales volume ($3.1 million) and higher fixed ($0.9 million) and variable ($0.6 million) costs, partially offset by favorable product mix ($0.4 million), lower raw material costs ($0.2 million), and lower SG&amp;A expenses ($0.1 million); and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unfavorable foreign currency translation of Real-denominated operating costs ($0.5 million);</w:t>
      </w:r>
    </w:p>
    <w:p>
      <w:pPr>
        <w:spacing w:after="0" w:line="10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lower foreign currency transaction losses ($0.1 million) in the first quarter of 2023 compared to foreign currency transaction losses ($0.9 million) in the first quarter of 2022.</w:t>
      </w:r>
    </w:p>
    <w:p>
      <w:pPr>
        <w:spacing w:after="0" w:line="38" w:lineRule="exact"/>
        <w:rPr>
          <w:sz w:val="20"/>
          <w:szCs w:val="20"/>
          <w:color w:val="auto"/>
        </w:rPr>
      </w:pPr>
    </w:p>
    <w:p>
      <w:pPr>
        <w:ind w:right="4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polyester fiber and component price trends.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06"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Flexible Packaging Films are projected to be $7 million in 2023, including $2 million for new capacity for value-added products and productivity projects and $5 million for capital expenditures required to support continuity of current operations. Depreciation expense is projected to be $3 million in 2023. Amortization expense is projected to be $0.1 million in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Expenses, Interest &amp; Other</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Corporate expenses, net in the first three months of 2023 decreased $1.8 million compared to the first three months of 2022 primarily due to lower accruals for employee-related compensation ($0.8 million), lower professional fees associated with business development activities ($0.8 million) and lower stock-based compensation ($0.4 million).</w:t>
      </w:r>
    </w:p>
    <w:p>
      <w:pPr>
        <w:spacing w:after="0" w:line="41"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Interest expense of $2.3 million in the first three months of 2023 increased $1.5 million compared to the first three months of 2022 due to higher average debt levels and interest rates.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ind w:firstLine="405"/>
        <w:spacing w:after="0" w:line="254" w:lineRule="auto"/>
        <w:rPr>
          <w:sz w:val="20"/>
          <w:szCs w:val="20"/>
          <w:color w:val="auto"/>
        </w:rPr>
      </w:pPr>
      <w:r>
        <w:rPr>
          <w:rFonts w:ascii="Times New Roman" w:cs="Times New Roman" w:eastAsia="Times New Roman" w:hAnsi="Times New Roman"/>
          <w:sz w:val="18"/>
          <w:szCs w:val="18"/>
          <w:color w:val="auto"/>
        </w:rPr>
        <w:t>Pension expense under GAAP of $3.4 million in the first three months of 2023 remained consistent with the first three months of 2022. In February 2022, Tredegar announced the initiation of a process to terminate and settle its frozen defined benefit pension plan. In connection therewith, the Company borrowed funds under its revolving credit agreement ("Credit Agreement") and made a $50 million contribution to the pension plan (the “Special Contribution”) to reduce its underfunding and as part of a program within the pension plan to hedge or fix the expected future contributions that will be needed by the Company through the settlement process. The settlement process has been delayed because of a longer-than-expected review time with the IRS. The Company does not expect issues with receiving approval from the IRS and is hopeful that the entire process will be completed by the end of 2023. The Company realized income tax cash benefits on the Special Contribution of $11 million in the fourth quarter of 2022. Administrative costs for the pension plan through the entire settlement process are estimated at $4 to $5 million.</w:t>
      </w:r>
    </w:p>
    <w:p>
      <w:pPr>
        <w:spacing w:after="0" w:line="57"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estimated underfunding of Tredegar’s frozen defined benefit pension plan was approximately $28 million as of both March 31, 2023 and December 31, 2022. As of December 31, 2022, the underfunding was comprised of investments at fair value of $218 million and a projected benefit obligation (“PBO”) of $246 million. GAAP accounting requires adjustment for changes in values of assets and the PBO only at the end of each year, even though these values change daily. The ultimate underfunded amount at settlement may differ from the current amounts, depending on changes in market factors, including with respect to buyers of pension obligations at the time of settlement.</w:t>
      </w:r>
    </w:p>
    <w:p>
      <w:pPr>
        <w:spacing w:after="0" w:line="6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Prior to the Special Contribution, GAAP pension expense was a reasonable proxy for the Company’s required minimum cash contribution to the pension plan. The Company estimates that, with the Special Contribution, there will be no required minimum cash contributions until final settlement. Pension expense under GAAP is projected to be approximately $14 million in 2023, which is mainly comprised of non-cash amortization of deferred net actuarial losses reflected in the Company’s shareholders’ equity as accumulated other comprehensive losses. Beginning in 2022, and consistent with no expected required minimum cash contributions, no pension expense is included in calculating earnings before interest, taxes, depreciation and amortization as defined in the Company’s revolving credit agreement ("Credit EBITDA").</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Net capitalization and other credit measures are provided in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below.</w:t>
      </w:r>
    </w:p>
    <w:p>
      <w:pPr>
        <w:spacing w:after="0" w:line="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08"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Company continues to focus on improving working capital management. Measures such as days sales outstanding (“DSO”), days inventory outstanding (“DIO”) and days payables outstanding (“DPO”) are used to evaluate changes in working capital. Changes in operating assets and liabilities from December 31, 2022 to March 31, 2023 are summarized below.</w:t>
      </w:r>
    </w:p>
    <w:p>
      <w:pPr>
        <w:spacing w:after="0" w:line="54"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increased $4.6 million (5.4%).</w:t>
      </w:r>
    </w:p>
    <w:p>
      <w:pPr>
        <w:spacing w:after="0" w:line="90" w:lineRule="exact"/>
        <w:rPr>
          <w:rFonts w:ascii="Times New Roman" w:cs="Times New Roman" w:eastAsia="Times New Roman" w:hAnsi="Times New Roman"/>
          <w:sz w:val="18"/>
          <w:szCs w:val="18"/>
          <w:color w:val="auto"/>
        </w:rPr>
      </w:pPr>
    </w:p>
    <w:p>
      <w:pPr>
        <w:ind w:left="820" w:right="20" w:hanging="407"/>
        <w:spacing w:after="0" w:line="261" w:lineRule="auto"/>
        <w:tabs>
          <w:tab w:leader="none" w:pos="816" w:val="left"/>
        </w:tabs>
        <w:numPr>
          <w:ilvl w:val="1"/>
          <w:numId w:val="12"/>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Accounts and other receivables in Aluminum Extrusions increased $6.7 million primarily due to the pass-through of higher metal costs and relatively flat sales volume in the first quarter of 2023 versus the fourth quarter of 2022. DSO (represents trailing 12 months net sales divided by a rolling 12-month average of accounts and other receivables balances) was approximately 48.8 days for the 12 months ended March 31, 2023 and 48.7 days for the 12 months ended December 31, 2022.</w:t>
      </w:r>
    </w:p>
    <w:p>
      <w:pPr>
        <w:spacing w:after="0" w:line="58" w:lineRule="exact"/>
        <w:rPr>
          <w:rFonts w:ascii="Times New Roman" w:cs="Times New Roman" w:eastAsia="Times New Roman" w:hAnsi="Times New Roman"/>
          <w:sz w:val="18"/>
          <w:szCs w:val="18"/>
          <w:color w:val="auto"/>
          <w:strike w:val="1"/>
        </w:rPr>
      </w:pPr>
    </w:p>
    <w:p>
      <w:pPr>
        <w:ind w:left="820" w:right="200" w:hanging="407"/>
        <w:spacing w:after="0" w:line="266"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PE Films decreased $0.2 million due to adverse market conditions resulting in unfavorable product mix, partially offset by higher sales volume in the first quarter of 2023 versus the fourth quarter of 2022. DSO was approximately 29.1 days for the 12 months ended March 31, 2023 and 30.3 days for the 12 months ended December 31, 2022.</w:t>
      </w:r>
    </w:p>
    <w:p>
      <w:pPr>
        <w:spacing w:after="0" w:line="54" w:lineRule="exact"/>
        <w:rPr>
          <w:rFonts w:ascii="Times New Roman" w:cs="Times New Roman" w:eastAsia="Times New Roman" w:hAnsi="Times New Roman"/>
          <w:sz w:val="18"/>
          <w:szCs w:val="18"/>
          <w:color w:val="auto"/>
        </w:rPr>
      </w:pPr>
    </w:p>
    <w:p>
      <w:pPr>
        <w:jc w:val="both"/>
        <w:ind w:left="820" w:right="260" w:hanging="407"/>
        <w:spacing w:after="0" w:line="266"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Flexible Packaging Films decreased $1.9 million primarily due to lower sales volume in the first quarter of 2023 versus the fourth quarter of 2022. DSO was approximately 40.2 days for the 12 months ended March 31, 2023 and 41.1 days for the 12 months ended December 31, 2022.</w:t>
      </w:r>
    </w:p>
    <w:p>
      <w:pPr>
        <w:spacing w:after="0" w:line="4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decreased $14.1 million (11.1%).</w:t>
      </w:r>
    </w:p>
    <w:p>
      <w:pPr>
        <w:spacing w:after="0" w:line="103" w:lineRule="exact"/>
        <w:rPr>
          <w:rFonts w:ascii="Times New Roman" w:cs="Times New Roman" w:eastAsia="Times New Roman" w:hAnsi="Times New Roman"/>
          <w:sz w:val="18"/>
          <w:szCs w:val="18"/>
          <w:color w:val="auto"/>
        </w:rPr>
      </w:pPr>
    </w:p>
    <w:p>
      <w:pPr>
        <w:ind w:left="820" w:right="80" w:hanging="407"/>
        <w:spacing w:after="0" w:line="261"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Aluminum Extrusions decreased $4.9 million due to decreased raw material levels as a result of slowing order input and order cancellations as customers continue to report high inventory levels. DIO (represents trailing 12 months costs of goods sold calculated on a first-in first-out basis divided by a rolling 12-month average of inventory balances calculated on the first-in first-out basis) was approximately 55.6 days for the 12 months ended March 31, 2023 and 53.6 days for the 12 months ended December 31, 2022.</w:t>
      </w:r>
    </w:p>
    <w:p>
      <w:pPr>
        <w:spacing w:after="0" w:line="58" w:lineRule="exact"/>
        <w:rPr>
          <w:rFonts w:ascii="Times New Roman" w:cs="Times New Roman" w:eastAsia="Times New Roman" w:hAnsi="Times New Roman"/>
          <w:sz w:val="18"/>
          <w:szCs w:val="18"/>
          <w:color w:val="auto"/>
        </w:rPr>
      </w:pPr>
    </w:p>
    <w:p>
      <w:pPr>
        <w:ind w:left="820" w:right="280" w:hanging="407"/>
        <w:spacing w:after="0" w:line="266"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PE Films decreased $1.2 million due to lower raw materials and finished goods as a result of weak market demand for Surface Protection’s products. DIO was approximately 68.9 days for the 12 months ended March 31, 2023 and 66.8 days for the 12 months ended December 31, 2022.</w:t>
      </w:r>
    </w:p>
    <w:p>
      <w:pPr>
        <w:spacing w:after="0" w:line="40" w:lineRule="exact"/>
        <w:rPr>
          <w:rFonts w:ascii="Times New Roman" w:cs="Times New Roman" w:eastAsia="Times New Roman" w:hAnsi="Times New Roman"/>
          <w:sz w:val="18"/>
          <w:szCs w:val="18"/>
          <w:color w:val="auto"/>
        </w:rPr>
      </w:pPr>
    </w:p>
    <w:p>
      <w:pPr>
        <w:ind w:left="820" w:right="180" w:hanging="407"/>
        <w:spacing w:after="0" w:line="282"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Flexible Packaging Films decreased $8.0 million primarily due to lower raw material purchases and lower finished goods levels as a result of soft market demand for Flexible Packaging Films products. DIO was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left="820"/>
        <w:spacing w:after="0"/>
        <w:rPr>
          <w:sz w:val="20"/>
          <w:szCs w:val="20"/>
          <w:color w:val="auto"/>
        </w:rPr>
      </w:pPr>
      <w:r>
        <w:rPr>
          <w:rFonts w:ascii="Times New Roman" w:cs="Times New Roman" w:eastAsia="Times New Roman" w:hAnsi="Times New Roman"/>
          <w:sz w:val="18"/>
          <w:szCs w:val="18"/>
          <w:color w:val="auto"/>
        </w:rPr>
        <w:t>approximately 119.6 days for the 12 months ended March 31, 2023 and 108.0 days for the 12 months ended December 31, 2022.</w:t>
      </w:r>
    </w:p>
    <w:p>
      <w:pPr>
        <w:spacing w:after="0" w:line="90" w:lineRule="exact"/>
        <w:rPr>
          <w:sz w:val="20"/>
          <w:szCs w:val="20"/>
          <w:color w:val="auto"/>
        </w:rPr>
      </w:pPr>
    </w:p>
    <w:p>
      <w:pPr>
        <w:ind w:left="420" w:right="60" w:hanging="412"/>
        <w:spacing w:after="0" w:line="282" w:lineRule="auto"/>
        <w:tabs>
          <w:tab w:leader="none" w:pos="4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property, plant and equipment increased $0.6 million primarily due to capital expenditures of $6.2 million and a $0.8 million favorable change in the value of the U.S. dollar relative to foreign currencies, partially offset by depreciation expense of $6.3 million.</w:t>
      </w:r>
    </w:p>
    <w:p>
      <w:pPr>
        <w:spacing w:after="0" w:line="4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intangible assets, net decreased $0.5 million (4.1%) due to amortization expense.</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assets decreased $2.2 million primarily due to changes in other comprehensive income. See Note 9 for additional information.</w:t>
      </w:r>
    </w:p>
    <w:p>
      <w:pPr>
        <w:spacing w:after="0" w:line="9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$22.7 million (19.7%).</w:t>
      </w:r>
    </w:p>
    <w:p>
      <w:pPr>
        <w:spacing w:after="0" w:line="103" w:lineRule="exact"/>
        <w:rPr>
          <w:rFonts w:ascii="Times New Roman" w:cs="Times New Roman" w:eastAsia="Times New Roman" w:hAnsi="Times New Roman"/>
          <w:sz w:val="18"/>
          <w:szCs w:val="18"/>
          <w:color w:val="auto"/>
        </w:rPr>
      </w:pPr>
    </w:p>
    <w:p>
      <w:pPr>
        <w:ind w:left="820" w:right="160" w:hanging="407"/>
        <w:spacing w:after="0" w:line="266" w:lineRule="auto"/>
        <w:tabs>
          <w:tab w:leader="none" w:pos="81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Aluminum Extrusions decreased $6.3 million primarily due to lower raw material purchases. DPO (represents trailing 12 months costs of goods sold calculated on a first-in first-out basis divided by a rolling 12-month average of accounts payable balances) was approximately 62.3 days for the 12 months ended March 31, 2023 and 64.2 days for the 12 months ended December 31, 2022.</w:t>
      </w:r>
    </w:p>
    <w:p>
      <w:pPr>
        <w:spacing w:after="0" w:line="54" w:lineRule="exact"/>
        <w:rPr>
          <w:rFonts w:ascii="Times New Roman" w:cs="Times New Roman" w:eastAsia="Times New Roman" w:hAnsi="Times New Roman"/>
          <w:sz w:val="18"/>
          <w:szCs w:val="18"/>
          <w:color w:val="auto"/>
        </w:rPr>
      </w:pPr>
    </w:p>
    <w:p>
      <w:pPr>
        <w:ind w:left="820" w:right="160" w:hanging="407"/>
        <w:spacing w:after="0" w:line="266" w:lineRule="auto"/>
        <w:tabs>
          <w:tab w:leader="none" w:pos="81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PE Films increased $0.7 million primarily due to higher inventory purchases in the first quarter of 2023 versus the fourth quarter of 2022. DPO was approximately 49.5 days for the 12 months ended March 31, 2023 and 51.0 days for the 12 months ended December 31, 2022.</w:t>
      </w:r>
    </w:p>
    <w:p>
      <w:pPr>
        <w:spacing w:after="0" w:line="40" w:lineRule="exact"/>
        <w:rPr>
          <w:rFonts w:ascii="Times New Roman" w:cs="Times New Roman" w:eastAsia="Times New Roman" w:hAnsi="Times New Roman"/>
          <w:sz w:val="18"/>
          <w:szCs w:val="18"/>
          <w:color w:val="auto"/>
        </w:rPr>
      </w:pPr>
    </w:p>
    <w:p>
      <w:pPr>
        <w:ind w:left="820" w:right="40" w:hanging="407"/>
        <w:spacing w:after="0" w:line="282" w:lineRule="auto"/>
        <w:tabs>
          <w:tab w:leader="none" w:pos="81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Flexible Packaging Films decreased $16.5 million primarily due to lower raw material purchases. DPO was approximately 70.1 days for the 12 months ended March 31, 2023 and 72.4 days for the 12 months ended December 31, 2022.</w:t>
      </w:r>
    </w:p>
    <w:p>
      <w:pPr>
        <w:spacing w:after="0" w:line="40"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$9.1 million in the first three months of 2023 compared to net cash used in operating activities of $54.7 million in the first three months of 2022. The change in operating activities is primarily due to the Special Contribution ($50 million) and higher working capital due to factors discussed earlier in this section relating to accounts and other receivables, inventories and accounts payable.</w:t>
      </w:r>
    </w:p>
    <w:p>
      <w:pPr>
        <w:spacing w:after="0" w:line="54"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$8.8 million in the first three months of 2023 compared to net cash used in investing activities of $5.1 million the first three months of 2022 due to higher capital expenditures ($3.9 million), partially offset by a gain realized during the first quarter of 2023 related to additional cash consideration of $0.3 million received in connection with the Company's sale of its investment interests in kaléo in December 2021 due to customary post-closing adjustments.</w:t>
      </w:r>
    </w:p>
    <w:p>
      <w:pPr>
        <w:spacing w:after="0" w:line="4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$13.6 million in the first three months of 2023, compared to net cash provided by financing activities of $53.8 million in the first three months of 2022. The change in financing activities is primarily due to lower net borrowings ($40.3 million) under the Credit Agreement during the first three months of 2023 as compared to the first three months of 2022 when the Company borrowed funds and made a $50 million Special Contribution to the pension plan in February 2022.</w:t>
      </w:r>
    </w:p>
    <w:p>
      <w:pPr>
        <w:spacing w:after="0" w:line="5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believes that existing borrowing availability, current cash balances and cash flow from operations will be sufficient to satisfy short term material cash requirements related to working capital, capital expenditures, debt repayments and anticipated dividend obligations for at least the next twelve months. In the longer term, liquidity will depend on many factors, including results of operations, the timing and extent of capital expenditures, changes in operating plans, or other events that would cause the Company to seek additional financing in future periods.</w:t>
      </w:r>
    </w:p>
    <w:p>
      <w:pPr>
        <w:spacing w:after="0" w:line="5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At March 31, 2023, the Company had cash and cash equivalents of $15.0 million, including cash and cash equivalents held in locations outside the U.S. of $7.3 million.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6" w:name="page27"/>
    <w:bookmarkEnd w:id="26"/>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June 29, 2022, Tredegar entered into a Second Amended and Restated Credit Agreement (the “Credit Agreement”) that replaced its existing $375 million five-year, secured revolving credit facility that was due to expire on June 28, 2024. The Credit Agreement is a five-year, revolving, secured credit facility that permits aggregate borrowings of $375 million and matures on June 29, 2027.</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capitalization and indebtedness as defined under the Credit Agreement as of March 31, 2023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20" w:type="dxa"/>
            <w:vAlign w:val="bottom"/>
            <w:tcBorders>
              <w:top w:val="single" w:sz="8" w:color="auto"/>
            </w:tcBorders>
          </w:tcPr>
          <w:p>
            <w:pPr>
              <w:spacing w:after="0"/>
              <w:rPr>
                <w:sz w:val="21"/>
                <w:szCs w:val="21"/>
                <w:color w:val="auto"/>
              </w:rPr>
            </w:pPr>
          </w:p>
        </w:tc>
        <w:tc>
          <w:tcPr>
            <w:tcW w:w="6840" w:type="dxa"/>
            <w:vAlign w:val="bottom"/>
            <w:tcBorders>
              <w:top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color w:val="auto"/>
              </w:rPr>
              <w:t>Net Capitalization and Indebtedness as of March 31, 2023</w:t>
            </w:r>
          </w:p>
        </w:tc>
        <w:tc>
          <w:tcPr>
            <w:tcW w:w="980" w:type="dxa"/>
            <w:vAlign w:val="bottom"/>
            <w:tcBorders>
              <w:top w:val="single" w:sz="8" w:color="auto"/>
            </w:tcBorders>
          </w:tcPr>
          <w:p>
            <w:pPr>
              <w:spacing w:after="0"/>
              <w:rPr>
                <w:sz w:val="21"/>
                <w:szCs w:val="21"/>
                <w:color w:val="auto"/>
              </w:rPr>
            </w:pPr>
          </w:p>
        </w:tc>
      </w:tr>
      <w:tr>
        <w:trPr>
          <w:trHeight w:val="234"/>
        </w:trPr>
        <w:tc>
          <w:tcPr>
            <w:tcW w:w="3420" w:type="dxa"/>
            <w:vAlign w:val="bottom"/>
            <w:tcBorders>
              <w:bottom w:val="single" w:sz="8" w:color="auto"/>
            </w:tcBorders>
          </w:tcPr>
          <w:p>
            <w:pPr>
              <w:spacing w:after="0"/>
              <w:rPr>
                <w:sz w:val="20"/>
                <w:szCs w:val="20"/>
                <w:color w:val="auto"/>
              </w:rPr>
            </w:pPr>
          </w:p>
        </w:tc>
        <w:tc>
          <w:tcPr>
            <w:tcW w:w="6840" w:type="dxa"/>
            <w:vAlign w:val="bottom"/>
            <w:tcBorders>
              <w:bottom w:val="single" w:sz="8" w:color="auto"/>
            </w:tcBorders>
          </w:tcPr>
          <w:p>
            <w:pPr>
              <w:jc w:val="right"/>
              <w:ind w:right="4030"/>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Borders>
              <w:bottom w:val="single" w:sz="8" w:color="auto"/>
            </w:tcBorders>
          </w:tcPr>
          <w:p>
            <w:pPr>
              <w:spacing w:after="0"/>
              <w:rPr>
                <w:sz w:val="20"/>
                <w:szCs w:val="20"/>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capitalization:</w:t>
            </w:r>
          </w:p>
        </w:tc>
        <w:tc>
          <w:tcPr>
            <w:tcW w:w="6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15,025</w:t>
            </w:r>
          </w:p>
        </w:tc>
      </w:tr>
      <w:tr>
        <w:trPr>
          <w:trHeight w:val="229"/>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w:t>
            </w:r>
          </w:p>
        </w:tc>
        <w:tc>
          <w:tcPr>
            <w:tcW w:w="6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4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Credit Agreement</w:t>
            </w:r>
          </w:p>
        </w:tc>
        <w:tc>
          <w:tcPr>
            <w:tcW w:w="68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155,000</w:t>
            </w:r>
          </w:p>
        </w:tc>
      </w:tr>
      <w:tr>
        <w:trPr>
          <w:trHeight w:val="223"/>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net of cash and cash equivalents</w:t>
            </w:r>
          </w:p>
        </w:tc>
        <w:tc>
          <w:tcPr>
            <w:tcW w:w="6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139,975</w:t>
            </w:r>
          </w:p>
        </w:tc>
      </w:tr>
      <w:tr>
        <w:trPr>
          <w:trHeight w:val="230"/>
        </w:trPr>
        <w:tc>
          <w:tcPr>
            <w:tcW w:w="3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Shareholders’ equity</w:t>
            </w:r>
          </w:p>
        </w:tc>
        <w:tc>
          <w:tcPr>
            <w:tcW w:w="68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201,609</w:t>
            </w:r>
          </w:p>
        </w:tc>
      </w:tr>
      <w:tr>
        <w:trPr>
          <w:trHeight w:val="230"/>
        </w:trPr>
        <w:tc>
          <w:tcPr>
            <w:tcW w:w="3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capitalization</w:t>
            </w:r>
          </w:p>
        </w:tc>
        <w:tc>
          <w:tcPr>
            <w:tcW w:w="68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341,584</w:t>
            </w: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Indebtedness as defined in Credit Agreement:</w:t>
            </w:r>
          </w:p>
        </w:tc>
        <w:tc>
          <w:tcPr>
            <w:tcW w:w="68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3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68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r>
      <w:tr>
        <w:trPr>
          <w:trHeight w:val="230"/>
        </w:trPr>
        <w:tc>
          <w:tcPr>
            <w:tcW w:w="3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Indebtedness</w:t>
            </w:r>
          </w:p>
        </w:tc>
        <w:tc>
          <w:tcPr>
            <w:tcW w:w="6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155,000</w:t>
            </w:r>
          </w:p>
        </w:tc>
      </w:tr>
    </w:tbl>
    <w:p>
      <w:pPr>
        <w:spacing w:after="0" w:line="17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bear an interest rate equal to SOFR plus a credit spread adjustment of 10 basis points ("Adjusted Term SOFR Rate") and an amount depending on the type of borrowing and commitment fees charged on the unused amount under the Credit Agreement at various Total Net Leverage Ratio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Under the Credit Agreement (Basis Points)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60" w:type="dxa"/>
            <w:vAlign w:val="bottom"/>
            <w:tcBorders>
              <w:top w:val="single" w:sz="8" w:color="auto"/>
            </w:tcBorders>
          </w:tcPr>
          <w:p>
            <w:pPr>
              <w:spacing w:after="0"/>
              <w:rPr>
                <w:sz w:val="14"/>
                <w:szCs w:val="14"/>
                <w:color w:val="auto"/>
              </w:rPr>
            </w:pPr>
          </w:p>
        </w:tc>
        <w:tc>
          <w:tcPr>
            <w:tcW w:w="47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Term Benchmark</w:t>
            </w:r>
          </w:p>
        </w:tc>
        <w:tc>
          <w:tcPr>
            <w:tcW w:w="13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Commitment</w:t>
            </w:r>
          </w:p>
        </w:tc>
      </w:tr>
      <w:tr>
        <w:trPr>
          <w:trHeight w:val="24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4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Spread</w:t>
            </w: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Fee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1.0x</w:t>
            </w:r>
          </w:p>
        </w:tc>
        <w:tc>
          <w:tcPr>
            <w:tcW w:w="4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&gt;1.0x but &lt;=2.0x</w:t>
            </w:r>
          </w:p>
        </w:tc>
        <w:tc>
          <w:tcPr>
            <w:tcW w:w="4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&gt;2.0x but &lt;=3.0x</w:t>
            </w:r>
          </w:p>
        </w:tc>
        <w:tc>
          <w:tcPr>
            <w:tcW w:w="4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&gt;3.0x but &lt;=3.5x</w:t>
            </w:r>
          </w:p>
        </w:tc>
        <w:tc>
          <w:tcPr>
            <w:tcW w:w="4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187.5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&gt;3.5x</w:t>
            </w:r>
          </w:p>
        </w:tc>
        <w:tc>
          <w:tcPr>
            <w:tcW w:w="4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7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At March 31, 2023, $155.0 million of the outstanding debt was principally priced at an interest rate equal to the Adjusted Term SOFR Rate plus the applicable credit spread of 162.5 basis points. Prior to the Credit Agreement, the interest rate was based on LIBOR plus an applicable credit spread.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primary restrictive covenants in the Credit Agreement include:</w:t>
      </w:r>
    </w:p>
    <w:p>
      <w:pPr>
        <w:spacing w:after="0" w:line="104" w:lineRule="exact"/>
        <w:rPr>
          <w:sz w:val="20"/>
          <w:szCs w:val="20"/>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of 4.00x;</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of 3.00x; and</w:t>
      </w:r>
    </w:p>
    <w:p>
      <w:pPr>
        <w:spacing w:after="0" w:line="90" w:lineRule="exact"/>
        <w:rPr>
          <w:rFonts w:ascii="Times New Roman" w:cs="Times New Roman" w:eastAsia="Times New Roman" w:hAnsi="Times New Roman"/>
          <w:sz w:val="18"/>
          <w:szCs w:val="18"/>
          <w:color w:val="auto"/>
        </w:rPr>
      </w:pPr>
    </w:p>
    <w:p>
      <w:pPr>
        <w:ind w:left="820" w:right="140" w:hanging="407"/>
        <w:spacing w:after="0" w:line="261"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Unlimited payments for dividends and stock repurchases during the term of the Credit Agreement so long as the Total Net Leverage Ratio is equal to or less than 2.00x, and otherwise restrictions on payments for dividends and stock repurchases for the term of the Credit Agreement at $75 million (provided that the $75 million basket will reset at the end of each fiscal quarter when the Total Net Leverage ratio is less than or equal to 2.00x).</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Credit Agreement:</w:t>
      </w:r>
    </w:p>
    <w:p>
      <w:pPr>
        <w:spacing w:after="0" w:line="104" w:lineRule="exact"/>
        <w:rPr>
          <w:sz w:val="20"/>
          <w:szCs w:val="20"/>
          <w:color w:val="auto"/>
        </w:rPr>
      </w:pPr>
    </w:p>
    <w:p>
      <w:pPr>
        <w:ind w:left="820" w:right="440" w:hanging="407"/>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is defined as the ratio of (a)(i) total indebtedness minus (ii) liquidity (the lesser of $50,000,000 and the aggregate amount of cash and cash equivalents) to (b) Credit EBITDA; and</w:t>
      </w:r>
    </w:p>
    <w:p>
      <w:pPr>
        <w:spacing w:after="0" w:line="26"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is defined as the ratio of Credit EBITDA to interest expense.</w:t>
      </w:r>
    </w:p>
    <w:p>
      <w:pPr>
        <w:spacing w:after="0" w:line="104" w:lineRule="exact"/>
        <w:rPr>
          <w:sz w:val="20"/>
          <w:szCs w:val="20"/>
          <w:color w:val="auto"/>
        </w:rPr>
      </w:pPr>
    </w:p>
    <w:p>
      <w:pPr>
        <w:jc w:val="both"/>
        <w:ind w:right="20" w:firstLine="405"/>
        <w:spacing w:after="0" w:line="280" w:lineRule="auto"/>
        <w:rPr>
          <w:sz w:val="20"/>
          <w:szCs w:val="20"/>
          <w:color w:val="auto"/>
        </w:rPr>
      </w:pPr>
      <w:r>
        <w:rPr>
          <w:rFonts w:ascii="Times New Roman" w:cs="Times New Roman" w:eastAsia="Times New Roman" w:hAnsi="Times New Roman"/>
          <w:sz w:val="17"/>
          <w:szCs w:val="17"/>
          <w:color w:val="auto"/>
        </w:rPr>
        <w:t>The Credit Agreement is secured by substantially all of the Company’s and its domestic subsidiaries’ assets, including equity in certain material first-tier foreign subsidiaries. At March 31, 2023, based upon the restrictive covenants within the Credit Agreement, available credit under the Credit Agreement was approximately $113 million. Total debt outstanding was $155.0 million and $137.0 million as of March 31, 2023 and December 31, 2022,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Credit EBITDA is not intended to represent net income (loss) or cash flow from operations as defined by GAAP and should not be considered as an alternative to either net income (loss) or to cash flow. The computations of Credit EBITDA, the Total Net Leverage Ratio and Interest Coverage Ratio as defined in the Credit Agreement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3" w:lineRule="exact"/>
        <w:rPr>
          <w:sz w:val="20"/>
          <w:szCs w:val="20"/>
          <w:color w:val="auto"/>
        </w:rPr>
      </w:pPr>
    </w:p>
    <w:p>
      <w:pPr>
        <w:jc w:val="center"/>
        <w:spacing w:after="0" w:line="245" w:lineRule="auto"/>
        <w:rPr>
          <w:sz w:val="20"/>
          <w:szCs w:val="20"/>
          <w:color w:val="auto"/>
        </w:rPr>
      </w:pPr>
      <w:r>
        <w:rPr>
          <w:rFonts w:ascii="Times New Roman" w:cs="Times New Roman" w:eastAsia="Times New Roman" w:hAnsi="Times New Roman"/>
          <w:sz w:val="16"/>
          <w:szCs w:val="16"/>
          <w:color w:val="auto"/>
        </w:rPr>
        <w:t>Computations of Credit EBITDA, Total Net Leverage Ratio and Interest Coverage Ratio (in each case, as Defined in the Credit Agreement) Along with Related Primary Restrictive Covenants as of and for the Twelve Months Ended March 31, 2023</w:t>
      </w:r>
    </w:p>
    <w:tbl>
      <w:tblPr>
        <w:tblLayout w:type="fixed"/>
        <w:tblInd w:w="0" w:type="dxa"/>
        <w:tblCellMar>
          <w:top w:w="0" w:type="dxa"/>
          <w:left w:w="0" w:type="dxa"/>
          <w:bottom w:w="0" w:type="dxa"/>
          <w:right w:w="0" w:type="dxa"/>
        </w:tblCellMar>
      </w:tblPr>
      <w:tr>
        <w:trPr>
          <w:trHeight w:val="226"/>
        </w:trPr>
        <w:tc>
          <w:tcPr>
            <w:tcW w:w="100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Computation of Credit EBITDA for the twelve months ended March 31, 2023 (In Thousands):</w:t>
            </w: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0" w:type="dxa"/>
            <w:vAlign w:val="bottom"/>
          </w:tcPr>
          <w:p>
            <w:pPr>
              <w:spacing w:after="0"/>
              <w:rPr>
                <w:sz w:val="1"/>
                <w:szCs w:val="1"/>
                <w:color w:val="auto"/>
              </w:rPr>
            </w:pPr>
          </w:p>
        </w:tc>
      </w:tr>
      <w:tr>
        <w:trPr>
          <w:trHeight w:val="229"/>
        </w:trPr>
        <w:tc>
          <w:tcPr>
            <w:tcW w:w="10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After-tax losses related to discontinued operations</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income tax expense for continuing operations</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0" w:type="dxa"/>
            <w:vAlign w:val="bottom"/>
          </w:tcPr>
          <w:p>
            <w:pPr>
              <w:spacing w:after="0"/>
              <w:rPr>
                <w:sz w:val="1"/>
                <w:szCs w:val="1"/>
                <w:color w:val="auto"/>
              </w:rPr>
            </w:pPr>
          </w:p>
        </w:tc>
      </w:tr>
      <w:tr>
        <w:trPr>
          <w:trHeight w:val="229"/>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0" w:type="dxa"/>
            <w:vAlign w:val="bottom"/>
          </w:tcPr>
          <w:p>
            <w:pPr>
              <w:spacing w:after="0"/>
              <w:rPr>
                <w:sz w:val="1"/>
                <w:szCs w:val="1"/>
                <w:color w:val="auto"/>
              </w:rPr>
            </w:pPr>
          </w:p>
        </w:tc>
      </w:tr>
      <w:tr>
        <w:trPr>
          <w:trHeight w:val="230"/>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 for continuing operations</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26,755</w:t>
            </w:r>
          </w:p>
        </w:tc>
        <w:tc>
          <w:tcPr>
            <w:tcW w:w="0" w:type="dxa"/>
            <w:vAlign w:val="bottom"/>
          </w:tcPr>
          <w:p>
            <w:pPr>
              <w:spacing w:after="0"/>
              <w:rPr>
                <w:sz w:val="1"/>
                <w:szCs w:val="1"/>
                <w:color w:val="auto"/>
              </w:rPr>
            </w:pPr>
          </w:p>
        </w:tc>
      </w:tr>
      <w:tr>
        <w:trPr>
          <w:trHeight w:val="184"/>
        </w:trPr>
        <w:tc>
          <w:tcPr>
            <w:tcW w:w="100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All non-cash losses and expenses, plus cash losses and expenses not to exceed $10,000, for continuing operations that are</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080" w:type="dxa"/>
            <w:vAlign w:val="bottom"/>
            <w:shd w:val="clear" w:color="auto" w:fill="CCEEFF"/>
          </w:tcPr>
          <w:p>
            <w:pPr>
              <w:ind w:left="680"/>
              <w:spacing w:after="0" w:line="181" w:lineRule="exact"/>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 (cash-related</w:t>
            </w:r>
          </w:p>
        </w:tc>
        <w:tc>
          <w:tcPr>
            <w:tcW w:w="3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0" w:type="dxa"/>
            <w:vAlign w:val="bottom"/>
          </w:tcPr>
          <w:p>
            <w:pPr>
              <w:spacing w:after="0"/>
              <w:rPr>
                <w:sz w:val="1"/>
                <w:szCs w:val="1"/>
                <w:color w:val="auto"/>
              </w:rPr>
            </w:pPr>
          </w:p>
        </w:tc>
      </w:tr>
      <w:tr>
        <w:trPr>
          <w:trHeight w:val="229"/>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of $5,310)</w:t>
            </w:r>
          </w:p>
        </w:tc>
        <w:tc>
          <w:tcPr>
            <w:tcW w:w="3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Charges related to stock option grants and awards accounted for under the fair value-based method</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29"/>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Losses related to the application of the equity method of accounting</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Losses related to adjustments in the estimated fair value of assets accounted for under the fair value method of accounting</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Minus:</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After-tax income related to discontinued operations</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benefits for continuing operations</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84"/>
        </w:trPr>
        <w:tc>
          <w:tcPr>
            <w:tcW w:w="100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All non-cash gains and income, plus cash gains and income in excess of $10,000, for continuing operations that are classified as</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unusual, extraordinary or which are related to plant shutdowns, asset impairments and/or restructurings</w:t>
            </w: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changes in estimates for stock option grants and awards accounted for under the fair value-based method</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related to the application of the equity method of accounting</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adjustments in the estimated fair value of assets accounted for under the fair value method of accounting</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29"/>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cash dividends declared on investments in an amount not to exceed $10,000 for such period</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0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or minus, as applicable, pro forma EBITDA adjustments associated with acquisitions and asset dispositions</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100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Plus or minus, as applicable, pro forma EBITDA adjustments to pension expense associated with the early payment of pension</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3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0" w:type="dxa"/>
            <w:vAlign w:val="bottom"/>
          </w:tcPr>
          <w:p>
            <w:pPr>
              <w:spacing w:after="0"/>
              <w:rPr>
                <w:sz w:val="1"/>
                <w:szCs w:val="1"/>
                <w:color w:val="auto"/>
              </w:rPr>
            </w:pPr>
          </w:p>
        </w:tc>
      </w:tr>
      <w:tr>
        <w:trPr>
          <w:trHeight w:val="230"/>
        </w:trPr>
        <w:tc>
          <w:tcPr>
            <w:tcW w:w="10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Credit EBITDA</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67,068</w:t>
            </w:r>
          </w:p>
        </w:tc>
        <w:tc>
          <w:tcPr>
            <w:tcW w:w="0" w:type="dxa"/>
            <w:vAlign w:val="bottom"/>
          </w:tcPr>
          <w:p>
            <w:pPr>
              <w:spacing w:after="0"/>
              <w:rPr>
                <w:sz w:val="1"/>
                <w:szCs w:val="1"/>
                <w:color w:val="auto"/>
              </w:rPr>
            </w:pPr>
          </w:p>
        </w:tc>
      </w:tr>
      <w:tr>
        <w:trPr>
          <w:trHeight w:val="230"/>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Computations of Total Net Leverage Ratio and Interest Coverage Ratio at March 31, 2023:</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Leverage Ratio</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2.09x</w:t>
            </w:r>
          </w:p>
        </w:tc>
        <w:tc>
          <w:tcPr>
            <w:tcW w:w="0" w:type="dxa"/>
            <w:vAlign w:val="bottom"/>
          </w:tcPr>
          <w:p>
            <w:pPr>
              <w:spacing w:after="0"/>
              <w:rPr>
                <w:sz w:val="1"/>
                <w:szCs w:val="1"/>
                <w:color w:val="auto"/>
              </w:rPr>
            </w:pPr>
          </w:p>
        </w:tc>
      </w:tr>
      <w:tr>
        <w:trPr>
          <w:trHeight w:val="230"/>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Coverage Ratio</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10.29x</w:t>
            </w:r>
          </w:p>
        </w:tc>
        <w:tc>
          <w:tcPr>
            <w:tcW w:w="0" w:type="dxa"/>
            <w:vAlign w:val="bottom"/>
          </w:tcPr>
          <w:p>
            <w:pPr>
              <w:spacing w:after="0"/>
              <w:rPr>
                <w:sz w:val="1"/>
                <w:szCs w:val="1"/>
                <w:color w:val="auto"/>
              </w:rPr>
            </w:pPr>
          </w:p>
        </w:tc>
      </w:tr>
      <w:tr>
        <w:trPr>
          <w:trHeight w:val="229"/>
        </w:trPr>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Primary restrictive covenants: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Unlimited payments for dividends and stock repurchases during the term of the Credit Agreement so long as the Total Net Leverage</w:t>
            </w: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100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Ratio is equal to or less than 2.00x, and otherwise restrictions on payments for dividends and stock repurchases for the term of the</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Agreement at $75 million</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29"/>
        </w:trPr>
        <w:tc>
          <w:tcPr>
            <w:tcW w:w="10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Total Net Leverage Ratio permitted</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4.00x</w:t>
            </w:r>
          </w:p>
        </w:tc>
        <w:tc>
          <w:tcPr>
            <w:tcW w:w="0" w:type="dxa"/>
            <w:vAlign w:val="bottom"/>
          </w:tcPr>
          <w:p>
            <w:pPr>
              <w:spacing w:after="0"/>
              <w:rPr>
                <w:sz w:val="1"/>
                <w:szCs w:val="1"/>
                <w:color w:val="auto"/>
              </w:rPr>
            </w:pPr>
          </w:p>
        </w:tc>
      </w:tr>
      <w:tr>
        <w:trPr>
          <w:trHeight w:val="237"/>
        </w:trPr>
        <w:tc>
          <w:tcPr>
            <w:tcW w:w="10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Minimum Interest Coverage Ratio permitted</w:t>
            </w:r>
          </w:p>
        </w:tc>
        <w:tc>
          <w:tcPr>
            <w:tcW w:w="3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3.00x</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Tredegar was in compliance with all of its debt covenants as of March 31, 2023. Noncompliance with any of the debt covenants could have a material adverse effect on its financial condition or liquidity, in the event such noncompliance cannot be cured or should the Company be unable to obtain a waiver from the lenders. Renegotiation of the covenant through an amendment to the Credit Agreement could effectively cure the noncompliance, but could have an effect on its financial condition or liquidity depending upon how the covenant is renegotiated.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 xml:space="preserve">Tredegar has exposure to the volatility of interest rates, polyethylene and polypropylene resin prices, Terephthalic Acid (“PTA”) and Monoethylene Glycol (“MEG”) prices, aluminum ingot and scrap prices, energy prices, foreign currencies and emerging markets. See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above regarding interest rate exposures related to borrowings under the Credit Agreement.</w:t>
      </w:r>
    </w:p>
    <w:p>
      <w:pPr>
        <w:spacing w:after="0" w:line="5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Changes in polyester resin, PTA and MEG prices, and the timing of those changes, could have a significant impact on profit margins in Flexible Packaging Films. There is no assurance of the Company’s ability to pass through higher raw material and energy costs to its customers.</w:t>
      </w:r>
    </w:p>
    <w:p>
      <w:pPr>
        <w:spacing w:after="0" w:line="62"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8 for additional information.</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77470</wp:posOffset>
            </wp:positionV>
            <wp:extent cx="5768975" cy="254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68975"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Source: Quarterly averages computed by the Company using daily Midwest average prices provided by Platts.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ind w:left="420"/>
        <w:spacing w:after="0"/>
        <w:rPr>
          <w:sz w:val="20"/>
          <w:szCs w:val="20"/>
          <w:color w:val="auto"/>
        </w:rPr>
      </w:pPr>
      <w:r>
        <w:rPr>
          <w:rFonts w:ascii="Times New Roman" w:cs="Times New Roman" w:eastAsia="Times New Roman" w:hAnsi="Times New Roman"/>
          <w:sz w:val="18"/>
          <w:szCs w:val="18"/>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68580</wp:posOffset>
            </wp:positionV>
            <wp:extent cx="5768975" cy="254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NYMEX settlement prices.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volatility of average quarterly prices of polyethylene resin in the U.S. (a primary raw material for PE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77470</wp:posOffset>
            </wp:positionV>
            <wp:extent cx="5768975" cy="254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right="240"/>
        <w:spacing w:after="0" w:line="227" w:lineRule="auto"/>
        <w:rPr>
          <w:sz w:val="20"/>
          <w:szCs w:val="20"/>
          <w:color w:val="auto"/>
        </w:rPr>
      </w:pPr>
      <w:r>
        <w:rPr>
          <w:rFonts w:ascii="Times New Roman" w:cs="Times New Roman" w:eastAsia="Times New Roman" w:hAnsi="Times New Roman"/>
          <w:sz w:val="12"/>
          <w:szCs w:val="12"/>
          <w:color w:val="auto"/>
        </w:rPr>
        <w:t>Source: Quarterly averages computed by Tredegar using monthly data provided by IHS, Inc. In February 2020, IHS reflected a 32 cents per pound non-market adjustment based on their estimate of the growth of discounts in prior periods. The 4th quarter 2019 average rate of $0.51 per pound is shown on a pro forma basis as if the non-market adjustment was made in the fourth quarter of 2019. In January 2023, IHS reflected a 41 cents per pound non-market adjustment based on their estimate of the growth of discounts in the prior periods. The 4th quarter 2022 average rate of $0.60 per pound is shown on a pro forma basis</w:t>
      </w:r>
    </w:p>
    <w:p>
      <w:pPr>
        <w:ind w:left="300"/>
        <w:spacing w:after="0"/>
        <w:rPr>
          <w:sz w:val="20"/>
          <w:szCs w:val="20"/>
          <w:color w:val="auto"/>
        </w:rPr>
      </w:pPr>
      <w:r>
        <w:rPr>
          <w:rFonts w:ascii="Times New Roman" w:cs="Times New Roman" w:eastAsia="Times New Roman" w:hAnsi="Times New Roman"/>
          <w:sz w:val="13"/>
          <w:szCs w:val="13"/>
          <w:color w:val="auto"/>
        </w:rPr>
        <w:t>as if the non-market adjustment was made in the fourth quarter of 2022.</w:t>
      </w:r>
    </w:p>
    <w:p>
      <w:pPr>
        <w:spacing w:after="0" w:line="17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price of resin is driven by several factors, including supply and demand and the price of oil, ethylene and natural gas. Selling prices to customers are set considering numerous factors, including the expected volatility of resin prices. PE Films has index-based pass-through raw material cost arrangements with customers. However, under certain agreements, changes in resin prices are not passed through for a period of 90 days.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w:t>
      </w:r>
    </w:p>
    <w:p>
      <w:pPr>
        <w:spacing w:after="0" w:line="66"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Polyester resins, MEG and PTA used in flexible packaging films produced in Brazil are primarily purchased domestically, with other sources available mostly from Asia and the U.S. Given the nature of these products as commodities, pricing is</w:t>
      </w:r>
    </w:p>
    <w:p>
      <w:pPr>
        <w:sectPr>
          <w:pgSz w:w="11900" w:h="16838" w:orient="portrait"/>
          <w:cols w:equalWidth="0" w:num="1">
            <w:col w:w="11160"/>
          </w:cols>
          <w:pgMar w:left="320" w:top="985" w:right="41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type w:val="continuous"/>
        </w:sectPr>
      </w:pPr>
    </w:p>
    <w:bookmarkStart w:id="30" w:name="page31"/>
    <w:bookmarkEnd w:id="30"/>
    <w:p>
      <w:pPr>
        <w:spacing w:after="0" w:line="282" w:lineRule="auto"/>
        <w:rPr>
          <w:sz w:val="20"/>
          <w:szCs w:val="20"/>
          <w:color w:val="auto"/>
        </w:rPr>
      </w:pPr>
      <w:r>
        <w:rPr>
          <w:rFonts w:ascii="Times New Roman" w:cs="Times New Roman" w:eastAsia="Times New Roman" w:hAnsi="Times New Roman"/>
          <w:sz w:val="18"/>
          <w:szCs w:val="18"/>
          <w:color w:val="auto"/>
        </w:rPr>
        <w:t>derived from Asian pricing indexes. The volatility of the average quarterly prices for polyester fibers in Asia, which is representative of polyester resin (a primary raw material for Flexible Packaging Films) pricing trends,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28575</wp:posOffset>
            </wp:positionV>
            <wp:extent cx="5768975" cy="254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data from CMAI Global Index data.</w:t>
      </w:r>
    </w:p>
    <w:p>
      <w:pPr>
        <w:spacing w:after="0" w:line="18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volatility of average quarterly prices of PTA and MEG in Asia (raw materials used in the production of polyester resins produced by Flexible Packaging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36830</wp:posOffset>
            </wp:positionV>
            <wp:extent cx="5768975" cy="26574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6897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data from CMAI Global Index data.</w:t>
      </w:r>
    </w:p>
    <w:p>
      <w:pPr>
        <w:spacing w:after="0" w:line="18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Brazilian Real and Chinese Yuan in the charts on the following page). Exports from the U.S. are generally denominated in U.S. Dollars. The Company’s foreign currency exposure on income from foreign operations relates to the Chinese Yuan and the Brazilian Real.</w:t>
      </w:r>
    </w:p>
    <w:p>
      <w:pPr>
        <w:spacing w:after="0" w:line="5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PE Films is generally able to match the currency of its sales and costs for its product lines. For flexible packaging films produced in Brazil, selling prices and key raw material costs are principally determined in U.S. Dollars and are impacted by local economic conditions and local and global competitive dynamics. Flexible Packaging Films is exposed to foreign exchange translation risk (its functional currency is the Brazilian Real) because almost 90% of the sales of Flexible Packaging Films business unit in Brazil (“Terphane Ltda.”) and substantially all of its related raw material costs are quoted or priced in</w:t>
      </w:r>
    </w:p>
    <w:p>
      <w:pPr>
        <w:sectPr>
          <w:pgSz w:w="11900" w:h="16838" w:orient="portrait"/>
          <w:cols w:equalWidth="0" w:num="1">
            <w:col w:w="11060"/>
          </w:cols>
          <w:pgMar w:left="320" w:top="985" w:right="51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5" w:right="519" w:bottom="1440" w:gutter="0" w:footer="0" w:header="0"/>
          <w:type w:val="continuous"/>
        </w:sectPr>
      </w:pPr>
    </w:p>
    <w:bookmarkStart w:id="31" w:name="page32"/>
    <w:bookmarkEnd w:id="31"/>
    <w:p>
      <w:pPr>
        <w:spacing w:after="0" w:line="266" w:lineRule="auto"/>
        <w:rPr>
          <w:sz w:val="20"/>
          <w:szCs w:val="20"/>
          <w:color w:val="auto"/>
        </w:rPr>
      </w:pPr>
      <w:r>
        <w:rPr>
          <w:rFonts w:ascii="Times New Roman" w:cs="Times New Roman" w:eastAsia="Times New Roman" w:hAnsi="Times New Roman"/>
          <w:sz w:val="18"/>
          <w:szCs w:val="18"/>
          <w:color w:val="auto"/>
        </w:rPr>
        <w:t>U.S. Dollars while its variable conversion, fixed conversion and sales, general and administrative costs before depreciation &amp; 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w:t>
      </w:r>
    </w:p>
    <w:p>
      <w:pPr>
        <w:spacing w:after="0" w:line="4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estimates annual net costs of R$177 million for the net mismatch translation exposure between Terphane Ltda.’s U.S. Dollar quoted or priced sales and raw material costs and underlying Brazilian Real quoted or priced Terphane Ltda. Operating Costs. Terphane Ltda. has outstanding foreign exchange average forward rate contracts to purchase Brazilian Real and sell U.S. Dollars to hedge its exposure. See Note 8 for more information on outstanding hedging contracts and this hedging program.</w:t>
      </w:r>
    </w:p>
    <w:p>
      <w:pPr>
        <w:spacing w:after="0" w:line="5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Tredegar estimates that the change in the value of foreign currencies relative to the U.S. Dollar for PE Films had a unfavorable impact on EBITDA from ongoing operations of $0.1 million in the first quarter of 2023 compared with the same period of 2022.</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Trends for the Brazilian Real and Chinese Yuan exchange rates relative to the U.S. Dollar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68580</wp:posOffset>
            </wp:positionV>
            <wp:extent cx="5768975" cy="254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Source: Quarterly averages computed by Tredegar using daily closing data provided by Bloomberg.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On November 1, 2018, the Company filed a Current Report on Form 8-K (the “November 2018 Form 8-K”) to disclose certain material weaknesses in internal control over financial reporting. For further information, see the November 2018 Form 8-K and Item 4. “Controls and Procedures” of the Company’s Quarterly Report on Form 10-Q for the quarterly period ended September 30, 2018.</w:t>
      </w:r>
    </w:p>
    <w:p>
      <w:pPr>
        <w:spacing w:after="0" w:line="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2022, the results of management’s testing of the design, implementation and operating effectiveness of controls identified that the Company continued to have material weaknesses in its internal control over financial reporting; however, the material weaknesses existing as of December 31, 2022 were limited to certain discrete items within the previously identified material weaknesses. As a result, management revised its original six step remediation plan that was designed with the assistance of management’s outside consultant, an internationally recognized accounting firm. As of March 31, 2023, the Company continues to execute its revised remediation plan, including the implementation of the new and revised internal controls over financial reporting.</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Evaluation of Disclosure Controls and Procedures</w:t>
      </w:r>
    </w:p>
    <w:p>
      <w:pPr>
        <w:spacing w:after="0" w:line="108"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the Company’s disclosure controls and procedures (as defined under Rule 13a-15(e) and 15d-15(e) under the Exchange Act) as of March 31, 2023.</w:t>
      </w:r>
    </w:p>
    <w:p>
      <w:pPr>
        <w:spacing w:after="0" w:line="5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Based on this evaluation, the Company’s Chief Executive Officer and Chief Financial Officer concluded that, because of the material weaknesses in internal control over financial reporting discussed below, the Company’s disclosure controls and procedures were not effective as of March 31, 2023, to ensure: (i) that information required to be disclosed by the Company 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2" w:name="page33"/>
    <w:bookmarkEnd w:id="32"/>
    <w:p>
      <w:pPr>
        <w:ind w:right="80"/>
        <w:spacing w:after="0" w:line="266" w:lineRule="auto"/>
        <w:rPr>
          <w:sz w:val="20"/>
          <w:szCs w:val="20"/>
          <w:color w:val="auto"/>
        </w:rPr>
      </w:pPr>
      <w:r>
        <w:rPr>
          <w:rFonts w:ascii="Times New Roman" w:cs="Times New Roman" w:eastAsia="Times New Roman" w:hAnsi="Times New Roman"/>
          <w:sz w:val="18"/>
          <w:szCs w:val="18"/>
          <w:color w:val="auto"/>
        </w:rPr>
        <w:t>the reports that it files or submits under the Exchange Act, is recorded, processed, summarized and reported, within the time periods specified in the SEC’s rules and forms, and (ii) that such information is accumulated and communicated to management, including the Chief Executive Officer and Chief Financial Officer, as appropriate, to allow timely decisions regarding required disclosure.</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Management’s Report on Internal Control Over Financial Reporting</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such term is defined in Rules 13a-15(f) and 15d-15(f) under the Exchange Act. The Company’s internal control over financial reporting is a process designed by or under the supervision of the Company’s Chief Executive Officer and Chief Financial Officer, and overseen by the Board of Directors, to provide reasonable assurance regarding the reliability of financial reporting and the preparation of financial statements for external purposes in accordance with GAAP and includes policies and procedures that:</w:t>
      </w:r>
    </w:p>
    <w:p>
      <w:pPr>
        <w:spacing w:after="0" w:line="62" w:lineRule="exact"/>
        <w:rPr>
          <w:sz w:val="20"/>
          <w:szCs w:val="20"/>
          <w:color w:val="auto"/>
        </w:rPr>
      </w:pPr>
    </w:p>
    <w:p>
      <w:pPr>
        <w:ind w:left="660" w:right="340" w:hanging="328"/>
        <w:spacing w:after="0" w:line="282" w:lineRule="auto"/>
        <w:tabs>
          <w:tab w:leader="none" w:pos="6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Company’s assets;</w:t>
      </w:r>
    </w:p>
    <w:p>
      <w:pPr>
        <w:spacing w:after="0" w:line="26" w:lineRule="exact"/>
        <w:rPr>
          <w:rFonts w:ascii="Times New Roman" w:cs="Times New Roman" w:eastAsia="Times New Roman" w:hAnsi="Times New Roman"/>
          <w:sz w:val="18"/>
          <w:szCs w:val="18"/>
          <w:color w:val="auto"/>
        </w:rPr>
      </w:pPr>
    </w:p>
    <w:p>
      <w:pPr>
        <w:jc w:val="both"/>
        <w:ind w:left="660" w:right="120" w:hanging="328"/>
        <w:spacing w:after="0" w:line="312" w:lineRule="auto"/>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the Company’s receipts and expenditures are being made only in accordance with the authorization of its management and directors; and</w:t>
      </w:r>
    </w:p>
    <w:p>
      <w:pPr>
        <w:spacing w:after="0" w:line="18" w:lineRule="exact"/>
        <w:rPr>
          <w:rFonts w:ascii="Times New Roman" w:cs="Times New Roman" w:eastAsia="Times New Roman" w:hAnsi="Times New Roman"/>
          <w:sz w:val="17"/>
          <w:szCs w:val="17"/>
          <w:color w:val="auto"/>
        </w:rPr>
      </w:pPr>
    </w:p>
    <w:p>
      <w:pPr>
        <w:ind w:left="660" w:right="40" w:hanging="328"/>
        <w:spacing w:after="0" w:line="282" w:lineRule="auto"/>
        <w:tabs>
          <w:tab w:leader="none" w:pos="6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4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is not intended to provide absolute assurance that a misstatement of the Company’s consolidated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4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Company’s internal control over financial reporting using the criteria in Internal Control - Integrated Framework 2013 issued by the Committee of Sponsoring Organizations of the Treadway Commission (the “2013 COSO Framework”). Based on management’s assessment, the Company’s Chief Executive Officer and Chief Financial Officer concluded that the Company did not maintain effective internal control over financial reporting as of December 31, 2022. The Company did not sufficiently attract, develop, and retain competent resources to fulfill internal control responsibilities and did not have an effective information and communication process that identified and assessed the source of and controls necessary to ensure the reliability of information used in financial reporting. As a consequence of these material weaknesses, the Company did not effectively design, implement and operate process-level controls across its financial reporting processes.</w:t>
      </w:r>
    </w:p>
    <w:p>
      <w:pPr>
        <w:spacing w:after="0" w:line="6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While these material weaknesses did not result in material misstatements of the Company’s consolidated financial statements as of and for the year ended December 31, 2022, these material weaknesses create a reasonable possibility that a material misstatement of account balances or disclosures in annual or interim consolidated financial statements may not be prevented or detected in a timely manner. Accordingly, the Company concluded that the deficiencies represent material weaknesses in its internal control over financial reporting and its internal control over financial reporting was not effective as of December 31, 2022.</w:t>
      </w:r>
    </w:p>
    <w:p>
      <w:pPr>
        <w:spacing w:after="0" w:line="4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KPMG LLP, which audited the 2022 consolidated financial statements included in the 2022 Form 10-K, expressed an adverse opinion on the operating effectiveness of the Company's internal control over financial reporting.</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Remediation Plan and Efforts to Address the Identified Material Weaknesses</w:t>
      </w:r>
    </w:p>
    <w:p>
      <w:pPr>
        <w:spacing w:after="0" w:line="10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To remediate the material weaknesses described above, the Company, with the oversight of the Audit Committee of the Board of Directors (the “Audit Committee”), has been pursuing the revised remediation plan to implement new and revised internal controls over financial reporting.</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Through the first quarter of 2023, the Company has commenced all steps in its revised remediation plan, including:</w:t>
      </w:r>
    </w:p>
    <w:p>
      <w:pPr>
        <w:spacing w:after="0" w:line="104" w:lineRule="exact"/>
        <w:rPr>
          <w:sz w:val="20"/>
          <w:szCs w:val="20"/>
          <w:color w:val="auto"/>
        </w:rPr>
      </w:pPr>
    </w:p>
    <w:p>
      <w:pPr>
        <w:ind w:left="660" w:right="160" w:hanging="328"/>
        <w:spacing w:after="0" w:line="282" w:lineRule="auto"/>
        <w:tabs>
          <w:tab w:leader="none" w:pos="6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interviews with relevant parties to confirm management’s understanding of the internal control activities, including information used in the recording of transactions within the Company's financial reporting processes;</w:t>
      </w:r>
    </w:p>
    <w:p>
      <w:pPr>
        <w:spacing w:after="0" w:line="4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a comprehensive review and update, as necessary, of the documentation of relevant processes with respect to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left="660" w:right="280" w:hanging="328"/>
        <w:spacing w:after="0" w:line="282" w:lineRule="auto"/>
        <w:tabs>
          <w:tab w:leader="none" w:pos="6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internal control remediation plans to enhance controls for deficiencies associated with the material weaknesses above, including an assessment of personnel skills and experience related to the design and operation of internal control activities;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the implementation of certain new and revised internal controls;</w:t>
      </w:r>
    </w:p>
    <w:p>
      <w:pPr>
        <w:spacing w:after="0" w:line="10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internal control compliance department with personnel that has appropriate internal control experience to educate control owners on the principles and requirements of internal control activities associated with the material weaknesses above; and</w:t>
      </w:r>
    </w:p>
    <w:p>
      <w:pPr>
        <w:spacing w:after="0" w:line="40"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targeted training program to continue to educate control owners on the requirements of internal control activities, including maintaining adequate documentary evidence for internal control activities.</w:t>
      </w:r>
    </w:p>
    <w:p>
      <w:pPr>
        <w:spacing w:after="0" w:line="2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material weaknesses cannot be considered remediated until the applicable controls have operated for a sufficient period of time and management has concluded, through testing, that these controls are operating effectively. The Company is committed to the improvement of its internal control over financial reporting and management continues to work with its outside consultant to assist in those efforts, as necessary. The Company continues to monitor the impact of employee turnover and other external factors on its remediation plan and its assessment of internal control over financial reporting. The Company cannot assure you when it will remediate the identified material weaknesses, nor can it be certain whether additional actions will be required. Moreover, the Company cannot assure you that additional material weaknesses will not arise in the future.</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10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implementing certain changes in its internal controls to remediate the material weaknesses described above. Except as noted above, there has been no change in the Company’s internal control over financial reporting during the quarter ended March 31, 2023, that has materially affected, or is reasonably likely to materially affect, its internal control over financial reporting (as defined in Rules 13a-15(f) and 15d-15(f) under the Exchange Act).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0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disclosed in “Item 1A. Risk Factors” in the 2022 Form 10-K, there are a number of risks and uncertainties that can have a material effect on the operating results of our businesses and our financial condition. There are no material updates or changes to our risk factors previously disclosed in the 2022 Form 10-K.</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7"/>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560" w:type="dxa"/>
            <w:vAlign w:val="bottom"/>
            <w:shd w:val="clear" w:color="auto" w:fill="CCEEFF"/>
          </w:tcPr>
          <w:p>
            <w:pPr>
              <w:spacing w:after="0"/>
              <w:rPr>
                <w:sz w:val="16"/>
                <w:szCs w:val="16"/>
                <w:color w:val="auto"/>
              </w:rPr>
            </w:pPr>
          </w:p>
        </w:tc>
        <w:tc>
          <w:tcPr>
            <w:tcW w:w="100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Rules 13a-14(a) and 15d-14(a) promulgated</w:t>
            </w:r>
          </w:p>
        </w:tc>
      </w:tr>
      <w:tr>
        <w:trPr>
          <w:trHeight w:val="190"/>
        </w:trPr>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8300" w:type="dxa"/>
            <w:vAlign w:val="bottom"/>
            <w:tcBorders>
              <w:top w:val="single" w:sz="8" w:color="0000FF"/>
              <w:bottom w:val="single" w:sz="8" w:color="0000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9"/>
              </w:rPr>
              <w:t>under the Securities Exchange Act of 1934, as adopted pursuant to Section 302 of the Sarbanes-Oxley Act of 2002.</w:t>
            </w:r>
          </w:p>
        </w:tc>
        <w:tc>
          <w:tcPr>
            <w:tcW w:w="150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560" w:type="dxa"/>
            <w:vAlign w:val="bottom"/>
          </w:tcPr>
          <w:p>
            <w:pPr>
              <w:spacing w:after="0"/>
              <w:rPr>
                <w:sz w:val="16"/>
                <w:szCs w:val="16"/>
                <w:color w:val="auto"/>
              </w:rPr>
            </w:pPr>
          </w:p>
        </w:tc>
        <w:tc>
          <w:tcPr>
            <w:tcW w:w="100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Rules 13a-14(a) and 15d-14(a)</w:t>
            </w:r>
          </w:p>
        </w:tc>
      </w:tr>
      <w:tr>
        <w:trPr>
          <w:trHeight w:val="169"/>
        </w:trPr>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94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promulgated under the Securities Exchange Act of 1934, as adopted pursuant to Section 302 of the Sarbanes-Oxley Act of 2002.</w:t>
            </w:r>
          </w:p>
        </w:tc>
        <w:tc>
          <w:tcPr>
            <w:tcW w:w="6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33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560" w:type="dxa"/>
            <w:vAlign w:val="bottom"/>
            <w:shd w:val="clear" w:color="auto" w:fill="CCEEFF"/>
          </w:tcPr>
          <w:p>
            <w:pPr>
              <w:spacing w:after="0"/>
              <w:rPr>
                <w:sz w:val="16"/>
                <w:szCs w:val="16"/>
                <w:color w:val="auto"/>
              </w:rPr>
            </w:pPr>
          </w:p>
        </w:tc>
        <w:tc>
          <w:tcPr>
            <w:tcW w:w="100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18 U.S.C. Section 1350, as adopted pursuant</w:t>
            </w:r>
          </w:p>
        </w:tc>
      </w:tr>
      <w:tr>
        <w:trPr>
          <w:trHeight w:val="169"/>
        </w:trPr>
        <w:tc>
          <w:tcPr>
            <w:tcW w:w="6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9840" w:type="dxa"/>
            <w:vAlign w:val="bottom"/>
            <w:tcBorders>
              <w:top w:val="single" w:sz="8" w:color="0000FF"/>
            </w:tcBorders>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160" w:type="dxa"/>
            <w:vAlign w:val="bottom"/>
            <w:tcBorders>
              <w:top w:val="single" w:sz="8" w:color="CCEEFF"/>
            </w:tcBorders>
            <w:gridSpan w:val="2"/>
            <w:shd w:val="clear" w:color="auto" w:fill="CCEEFF"/>
          </w:tcPr>
          <w:p>
            <w:pPr>
              <w:spacing w:after="0"/>
              <w:rPr>
                <w:sz w:val="14"/>
                <w:szCs w:val="14"/>
                <w:color w:val="auto"/>
              </w:rPr>
            </w:pPr>
          </w:p>
        </w:tc>
      </w:tr>
      <w:tr>
        <w:trPr>
          <w:trHeight w:val="21"/>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560" w:type="dxa"/>
            <w:vAlign w:val="bottom"/>
          </w:tcPr>
          <w:p>
            <w:pPr>
              <w:spacing w:after="0"/>
              <w:rPr>
                <w:sz w:val="16"/>
                <w:szCs w:val="16"/>
                <w:color w:val="auto"/>
              </w:rPr>
            </w:pPr>
          </w:p>
        </w:tc>
        <w:tc>
          <w:tcPr>
            <w:tcW w:w="100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18 U.S.C. Section 1350, as</w:t>
            </w:r>
          </w:p>
        </w:tc>
      </w:tr>
      <w:tr>
        <w:trPr>
          <w:trHeight w:val="169"/>
        </w:trPr>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6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340" w:type="dxa"/>
            <w:vAlign w:val="bottom"/>
            <w:gridSpan w:val="4"/>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shd w:val="clear" w:color="auto" w:fill="CCEEFF"/>
          </w:tcPr>
          <w:p>
            <w:pPr>
              <w:spacing w:after="0"/>
              <w:rPr>
                <w:sz w:val="19"/>
                <w:szCs w:val="19"/>
                <w:color w:val="auto"/>
              </w:rPr>
            </w:pPr>
          </w:p>
        </w:tc>
        <w:tc>
          <w:tcPr>
            <w:tcW w:w="10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 and Related Items.</w:t>
            </w:r>
          </w:p>
        </w:tc>
      </w:tr>
    </w:tbl>
    <w:p>
      <w:pPr>
        <w:ind w:left="1200" w:hanging="1174"/>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46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Tredegar Corporation</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8, 2023</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John M. Steitz</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M. Steitz</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8, 2023</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D. Andrew Edwards</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 Andrew Edwards</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0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8, 2023</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Frasier W. Brickhouse, II</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Frasier W. Brickhouse, II</w:t>
            </w:r>
          </w:p>
        </w:tc>
      </w:tr>
      <w:tr>
        <w:trPr>
          <w:trHeight w:val="230"/>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Corporate Treasurer and Controller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8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M. Steitz, certify that:</w:t>
      </w:r>
    </w:p>
    <w:p>
      <w:pPr>
        <w:spacing w:after="0" w:line="117"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2023,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2023</w:t>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5546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John M. Steitz</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Andrew Edwards, certify that:</w:t>
      </w:r>
    </w:p>
    <w:p>
      <w:pPr>
        <w:spacing w:after="0" w:line="117" w:lineRule="exact"/>
        <w:rPr>
          <w:sz w:val="20"/>
          <w:szCs w:val="20"/>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2023,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2023</w:t>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5546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D. Andrew Edwards</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March 31, 2023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 w:lineRule="exact"/>
        <w:rPr>
          <w:rFonts w:ascii="Times New Roman" w:cs="Times New Roman" w:eastAsia="Times New Roman" w:hAnsi="Times New Roman"/>
          <w:sz w:val="18"/>
          <w:szCs w:val="18"/>
          <w:color w:val="auto"/>
        </w:rPr>
      </w:pPr>
    </w:p>
    <w:p>
      <w:pPr>
        <w:ind w:left="20" w:right="9960"/>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John M. Steitz John M. Steitz</w:t>
      </w:r>
    </w:p>
    <w:p>
      <w:pPr>
        <w:ind w:left="20" w:right="8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and Chief Executive Officer (Principal Executive Officer)</w:t>
      </w: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27514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March 31, 2023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 w:lineRule="exact"/>
        <w:rPr>
          <w:rFonts w:ascii="Times New Roman" w:cs="Times New Roman" w:eastAsia="Times New Roman" w:hAnsi="Times New Roman"/>
          <w:sz w:val="18"/>
          <w:szCs w:val="18"/>
          <w:color w:val="auto"/>
        </w:rPr>
      </w:pPr>
    </w:p>
    <w:p>
      <w:pPr>
        <w:ind w:left="20" w:right="952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D. Andrew Edwards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27514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8, 2023</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lvl w:ilvl="1">
      <w:lvlJc w:val="left"/>
      <w:lvlText w:val="(%2)"/>
      <w:numFmt w:val="lowerLetter"/>
      <w:start w:val="1"/>
    </w:lvl>
  </w:abstractNum>
  <w:abstractNum w:abstractNumId="3">
    <w:nsid w:val="109CF92E"/>
    <w:multiLevelType w:val="hybridMultilevel"/>
    <w:lvl w:ilvl="0">
      <w:lvlJc w:val="left"/>
      <w:lvlText w:val="%1."/>
      <w:numFmt w:val="decimal"/>
      <w:start w:val="6"/>
    </w:lvl>
    <w:lvl w:ilvl="1">
      <w:lvlJc w:val="left"/>
      <w:lvlText w:val="%2"/>
      <w:numFmt w:val="lowerLetter"/>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lvl w:ilvl="1">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lvl w:ilvl="1">
      <w:lvlJc w:val="left"/>
      <w:lvlText w:val="◦"/>
      <w:numFmt w:val="bullet"/>
      <w:start w:val="1"/>
    </w:lvl>
  </w:abstractNum>
  <w:abstractNum w:abstractNumId="12">
    <w:nsid w:val="431BD7B7"/>
    <w:multiLevelType w:val="hybridMultilevel"/>
    <w:lvl w:ilvl="0">
      <w:lvlJc w:val="left"/>
      <w:lvlText w:val="•"/>
      <w:numFmt w:val="bullet"/>
      <w:start w:val="1"/>
    </w:lvl>
    <w:lvl w:ilvl="1">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3"/>
    </w:lvl>
  </w:abstractNum>
  <w:abstractNum w:abstractNumId="18">
    <w:nsid w:val="628C895D"/>
    <w:multiLevelType w:val="hybridMultilevel"/>
    <w:lvl w:ilvl="0">
      <w:lvlJc w:val="left"/>
      <w:lvlText w:val="%1"/>
      <w:numFmt w:val="decimal"/>
      <w:start w:val="10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2023-05-08T07:22:19Z</dcterms:created>
  <dcterms:modified xsi:type="dcterms:W3CDTF">2023-05-08T07:22:19Z</dcterms:modified>
</cp:coreProperties>
</file>