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49378.xml.htm"/>
      <w:bookmarkStart w:id="1" w:name="kswkform4_17909493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PRATT GREGORY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BOULDERS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4,406</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102,461</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Larissa Sampaio de Carvalho,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tg-updatedpoaform3gapfor.htm"/>
      <w:bookmarkStart w:id="3" w:name="kstgupdatedpoaform3gapfor"/>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Robyn G. Davis, Larissa Sampaio de Carvalho, and Donna Haynes, each acting individually, as the undersigned's true and lawful attorney-in-fact to: (1) execute for and on behalf of the undersigned, in the undersigned's capacity as an officer and/or director of Tredegar Corporation (the “Company”), Forms 3, 4 and 5 in accordance with Section 16(a) of the Securities Exchange Act of 1934 and the rules thereunder; (2)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 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Any and all prior dated powers of attorney concerning the completion, execution and filing of Forms 3, 4 and 5 in my capacity as an officer and/or director of Tredegar Corporation are hereby revoked. IN WITNESS WHEREOF, the undersigned has caused this Power of Attorney to be executed as of this 1st day of October, 2026. /s/ Gregory A. Pratt Printed Name: Gregory A. Pratt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94960"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1045</Words>
  <Characters>5532</Characters>
  <CharactersWithSpaces>6512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tg-updatedpoaform3gapfor</dc:title>
</cp:coreProperties>
</file>