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02"/>
        <w:spacing w:after="0" w:line="237" w:lineRule="auto"/>
        <w:tabs>
          <w:tab w:leader="none" w:pos="6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firstLine="445"/>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1560" w:space="720"/>
            <w:col w:w="2220" w:space="720"/>
            <w:col w:w="1460" w:space="720"/>
            <w:col w:w="80" w:space="160"/>
            <w:col w:w="2040" w:space="720"/>
            <w:col w:w="780"/>
          </w:cols>
          <w:pgMar w:left="320" w:top="767" w:right="39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6"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460" w:right="222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The number of shares of Common Stock, no par value, outstanding as of April 29, 2022: 33,853,082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96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1"/>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8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2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420" w:type="dxa"/>
            <w:vAlign w:val="bottom"/>
            <w:gridSpan w:val="12"/>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4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129,559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103,312</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29"/>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104,560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88,569</w:t>
            </w:r>
          </w:p>
        </w:tc>
      </w:tr>
      <w:tr>
        <w:trPr>
          <w:trHeight w:val="230"/>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r>
      <w:tr>
        <w:trPr>
          <w:trHeight w:val="229"/>
        </w:trPr>
        <w:tc>
          <w:tcPr>
            <w:tcW w:w="8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279,613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236,413</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506,511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498,311</w:t>
            </w:r>
          </w:p>
        </w:tc>
      </w:tr>
      <w:tr>
        <w:trPr>
          <w:trHeight w:val="229"/>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(333,944)</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(327,930)</w:t>
            </w:r>
          </w:p>
        </w:tc>
      </w:tr>
      <w:tr>
        <w:trPr>
          <w:trHeight w:val="223"/>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70,608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30"/>
        </w:trPr>
        <w:tc>
          <w:tcPr>
            <w:tcW w:w="84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564,671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123,760</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27,012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174,537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168,548</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131,250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28,333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78,265</w:t>
            </w:r>
          </w:p>
        </w:tc>
      </w:tr>
      <w:tr>
        <w:trPr>
          <w:trHeight w:val="230"/>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23"/>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352,803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338,862</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84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(issued and outstanding 33,837,815 shares at March 31, 2022 and 33,736,629</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at December 31, 2021)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r>
      <w:tr>
        <w:trPr>
          <w:trHeight w:val="175"/>
        </w:trPr>
        <w:tc>
          <w:tcPr>
            <w:tcW w:w="84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trust for savings restoration plan (109,494 shares at March 31, 2022 and 108,433 shares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r>
      <w:tr>
        <w:trPr>
          <w:trHeight w:val="230"/>
        </w:trPr>
        <w:tc>
          <w:tcPr>
            <w:tcW w:w="8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293,563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281,187</w:t>
            </w:r>
          </w:p>
        </w:tc>
      </w:tr>
      <w:tr>
        <w:trPr>
          <w:trHeight w:val="223"/>
        </w:trPr>
        <w:tc>
          <w:tcPr>
            <w:tcW w:w="84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211,868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184,722</w:t>
            </w:r>
          </w:p>
        </w:tc>
      </w:tr>
      <w:tr>
        <w:trPr>
          <w:trHeight w:val="230"/>
        </w:trPr>
        <w:tc>
          <w:tcPr>
            <w:tcW w:w="84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564,671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140"/>
          </w:cols>
          <w:pgMar w:left="320" w:top="603" w:right="439" w:bottom="1440" w:gutter="0" w:footer="0" w:header="0"/>
        </w:sect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2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8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236,566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184,822</w:t>
            </w:r>
          </w:p>
        </w:tc>
      </w:tr>
      <w:tr>
        <w:trPr>
          <w:trHeight w:val="229"/>
        </w:trPr>
        <w:tc>
          <w:tcPr>
            <w:tcW w:w="8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3"/>
        </w:trPr>
        <w:tc>
          <w:tcPr>
            <w:tcW w:w="8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236,299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183,260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8,081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21,282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3,476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8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219,064</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17,235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16,457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16,422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57"/>
        </w:trPr>
        <w:tc>
          <w:tcPr>
            <w:tcW w:w="8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33,654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33,696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33,644</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0"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left="9000"/>
        <w:spacing w:after="0"/>
        <w:rPr>
          <w:sz w:val="20"/>
          <w:szCs w:val="20"/>
          <w:color w:val="auto"/>
        </w:rPr>
      </w:pPr>
      <w:r>
        <w:rPr>
          <w:rFonts w:ascii="Times New Roman" w:cs="Times New Roman" w:eastAsia="Times New Roman" w:hAnsi="Times New Roman"/>
          <w:sz w:val="18"/>
          <w:szCs w:val="18"/>
          <w:color w:val="auto"/>
        </w:rPr>
        <w:t>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Unrealized foreign currency translation adjustment (net of tax expense of $728 in 2022 and net of tax benefit of $272 in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175"/>
        </w:trPr>
        <w:tc>
          <w:tcPr>
            <w:tcW w:w="9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adjustment (net of tax expense of $2,916 in 2022 and net of tax benefit of $188 in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5,930</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175"/>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 losses (net of tax expense of $712 in 2022 and net of tax of $924 in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2,538</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23"/>
        </w:trPr>
        <w:tc>
          <w:tcPr>
            <w:tcW w:w="9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30,426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9220"/>
        <w:spacing w:after="0"/>
        <w:rPr>
          <w:sz w:val="20"/>
          <w:szCs w:val="20"/>
          <w:color w:val="auto"/>
        </w:rPr>
      </w:pPr>
      <w:r>
        <w:rPr>
          <w:rFonts w:ascii="Times New Roman" w:cs="Times New Roman" w:eastAsia="Times New Roman" w:hAnsi="Times New Roman"/>
          <w:sz w:val="18"/>
          <w:szCs w:val="18"/>
          <w:color w:val="auto"/>
        </w:rPr>
        <w:t>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16,422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109,500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53,795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&amp; cash equivalents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30,521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25,648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21,859</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9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281,187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16,422</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($0.12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293,563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239,480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9,031</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($0.12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244,496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(177,969)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8" w:lineRule="exact"/>
        <w:rPr>
          <w:sz w:val="20"/>
          <w:szCs w:val="20"/>
          <w:color w:val="auto"/>
        </w:rPr>
      </w:pPr>
    </w:p>
    <w:p>
      <w:pPr>
        <w:ind w:right="240" w:firstLine="405"/>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March 31, 2022, the condensed consolidated results of operations for the three months ended March 31, 2022 and 2021, the condensed consolidated cash flows for the three months ended March 31, 2022 and 2021, and the condensed consolidated changes in shareholders’ equity for the three months ended March 31, 2022 and 2021, in accordance with U.S. generally accepted accounting principles (“GAAP”). All such adjustments, unless otherwise detailed in the notes to the condensed consolidated financial statements, are deemed to be of a normal, recurring nature.</w:t>
      </w:r>
    </w:p>
    <w:p>
      <w:pPr>
        <w:spacing w:after="0" w:line="5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first quarter for 2022 and 2021 for this segment references 13-week periods ended March 27, 2022 and March 28, 2021.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March 27, 2022 and March 31, 2022.</w:t>
      </w:r>
    </w:p>
    <w:p>
      <w:pPr>
        <w:spacing w:after="0" w:line="6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financial position data as of December 31, 2021 that is included herein was derived from the audited consolidated financial statements provided in the Company’s Annual Report on Form 10-K for the year ended December 31, 2021 (“2021 Form 10-K”) but does not include all disclosures required by GAAP. These financial statements should be read in conjunction with the consolidated financial statements and related notes included in the 2021 Form 10-K.</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results of operations for the three months ended March 31, 2022, are not necessarily indicative of the results to be expected for the full year.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40" w:firstLine="405"/>
        <w:spacing w:after="0" w:line="277" w:lineRule="auto"/>
        <w:rPr>
          <w:sz w:val="20"/>
          <w:szCs w:val="20"/>
          <w:color w:val="auto"/>
        </w:rPr>
      </w:pPr>
      <w:r>
        <w:rPr>
          <w:rFonts w:ascii="Times New Roman" w:cs="Times New Roman" w:eastAsia="Times New Roman" w:hAnsi="Times New Roman"/>
          <w:sz w:val="17"/>
          <w:szCs w:val="17"/>
          <w:color w:val="auto"/>
        </w:rPr>
        <w:t>In March 2020, the FASB issued ASU 2020-04, which provides optional expedients and exceptions for applying GAAP to contracts, hedging relationships and other transactions affected by the discontinuation of the London Interbank Offered Rate or by another reference rate expected to be discontinued because of reference rate reform. The guidance was effective beginning March 12, 2020 and can be applied prospectively through December 31, 2022. In January 2021, the FASB issued ASU 2021-01, which clarified the scope and application of the original guidance. The Company is currently evaluating the potential impact of adopting this guidance, but does not expect it to have a material impact on the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2022 and December 31, 2021, accounts receivable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4"/>
              </w:rPr>
              <w:t>2022</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240" w:type="dxa"/>
            <w:vAlign w:val="bottom"/>
            <w:shd w:val="clear" w:color="auto" w:fill="CCEEFF"/>
          </w:tcPr>
          <w:p>
            <w:pPr>
              <w:spacing w:after="0"/>
              <w:rPr>
                <w:sz w:val="19"/>
                <w:szCs w:val="19"/>
                <w:color w:val="auto"/>
              </w:rPr>
            </w:pPr>
          </w:p>
        </w:tc>
        <w:tc>
          <w:tcPr>
            <w:tcW w:w="1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128,930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102,090</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23"/>
        </w:trPr>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2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131,447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105,048</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2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224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129,559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103,312</w:t>
            </w:r>
          </w:p>
        </w:tc>
      </w:tr>
      <w:tr>
        <w:trPr>
          <w:trHeight w:val="39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2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
        </w:trPr>
        <w:tc>
          <w:tcPr>
            <w:tcW w:w="4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March 31, 2022</w:t>
            </w:r>
          </w:p>
        </w:tc>
        <w:tc>
          <w:tcPr>
            <w:tcW w:w="24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26,796</w:t>
            </w:r>
          </w:p>
        </w:tc>
        <w:tc>
          <w:tcPr>
            <w:tcW w:w="9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40" w:type="dxa"/>
            <w:vAlign w:val="bottom"/>
          </w:tcPr>
          <w:p>
            <w:pPr>
              <w:spacing w:after="0"/>
              <w:rPr>
                <w:sz w:val="19"/>
                <w:szCs w:val="19"/>
                <w:color w:val="auto"/>
              </w:rPr>
            </w:pPr>
          </w:p>
        </w:tc>
        <w:tc>
          <w:tcPr>
            <w:tcW w:w="1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18,122</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40" w:type="dxa"/>
            <w:vAlign w:val="bottom"/>
            <w:shd w:val="clear" w:color="auto" w:fill="CCEEFF"/>
          </w:tcPr>
          <w:p>
            <w:pPr>
              <w:spacing w:after="0"/>
              <w:rPr>
                <w:sz w:val="19"/>
                <w:szCs w:val="19"/>
                <w:color w:val="auto"/>
              </w:rPr>
            </w:pPr>
          </w:p>
        </w:tc>
        <w:tc>
          <w:tcPr>
            <w:tcW w:w="1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39,481</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w:t>
            </w:r>
          </w:p>
        </w:tc>
      </w:tr>
      <w:tr>
        <w:trPr>
          <w:trHeight w:val="229"/>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2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20,161</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104,560</w:t>
            </w:r>
          </w:p>
        </w:tc>
        <w:tc>
          <w:tcPr>
            <w:tcW w:w="9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88,569</w:t>
            </w:r>
          </w:p>
        </w:tc>
      </w:tr>
      <w:tr>
        <w:trPr>
          <w:trHeight w:val="864"/>
        </w:trPr>
        <w:tc>
          <w:tcPr>
            <w:tcW w:w="4660" w:type="dxa"/>
            <w:vAlign w:val="bottom"/>
          </w:tcPr>
          <w:p>
            <w:pPr>
              <w:spacing w:after="0"/>
              <w:rPr>
                <w:sz w:val="24"/>
                <w:szCs w:val="24"/>
                <w:color w:val="auto"/>
              </w:rPr>
            </w:pPr>
          </w:p>
        </w:tc>
        <w:tc>
          <w:tcPr>
            <w:tcW w:w="22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7</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which could take up to 24 months to complete. In connection therewith, on February 9, 2022, the Company contributed $50 million to the pension plan (the “Special Contribution”). The Company estimates that, with the Special Contribution, there will be no required minimum contributions to the pension plan until final settlement.</w:t>
      </w:r>
    </w:p>
    <w:p>
      <w:pPr>
        <w:spacing w:after="0" w:line="6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first quarter of 2022 and 2021, respectively. This information has been included in the pension benefit table below.</w:t>
      </w:r>
    </w:p>
    <w:p>
      <w:pPr>
        <w:spacing w:after="0" w:line="54" w:lineRule="exact"/>
        <w:rPr>
          <w:sz w:val="20"/>
          <w:szCs w:val="20"/>
          <w:color w:val="auto"/>
        </w:rPr>
      </w:pPr>
    </w:p>
    <w:p>
      <w:pPr>
        <w:ind w:right="58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months ended March 31, 2022 and 2021, are shown below:</w:t>
      </w:r>
    </w:p>
    <w:tbl>
      <w:tblPr>
        <w:tblLayout w:type="fixed"/>
        <w:tblInd w:w="0" w:type="dxa"/>
        <w:tblCellMar>
          <w:top w:w="0" w:type="dxa"/>
          <w:left w:w="0" w:type="dxa"/>
          <w:bottom w:w="0" w:type="dxa"/>
          <w:right w:w="0" w:type="dxa"/>
        </w:tblCellMar>
      </w:tblPr>
      <w:tr>
        <w:trPr>
          <w:trHeight w:val="184"/>
        </w:trPr>
        <w:tc>
          <w:tcPr>
            <w:tcW w:w="6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220" w:type="dxa"/>
            <w:vAlign w:val="bottom"/>
            <w:tcBorders>
              <w:top w:val="single" w:sz="8" w:color="auto"/>
            </w:tcBorders>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Three Months Ended March</w:t>
            </w:r>
          </w:p>
        </w:tc>
        <w:tc>
          <w:tcPr>
            <w:tcW w:w="100" w:type="dxa"/>
            <w:vAlign w:val="bottom"/>
          </w:tcPr>
          <w:p>
            <w:pPr>
              <w:spacing w:after="0"/>
              <w:rPr>
                <w:sz w:val="14"/>
                <w:szCs w:val="14"/>
                <w:color w:val="auto"/>
              </w:rPr>
            </w:pPr>
          </w:p>
        </w:tc>
        <w:tc>
          <w:tcPr>
            <w:tcW w:w="2220" w:type="dxa"/>
            <w:vAlign w:val="bottom"/>
            <w:tcBorders>
              <w:top w:val="single" w:sz="8" w:color="auto"/>
            </w:tcBorders>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7"/>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Borders>
              <w:bottom w:val="single" w:sz="8" w:color="auto"/>
            </w:tcBorders>
          </w:tcPr>
          <w:p>
            <w:pPr>
              <w:spacing w:after="0"/>
              <w:rPr>
                <w:sz w:val="20"/>
                <w:szCs w:val="20"/>
                <w:color w:val="auto"/>
              </w:rPr>
            </w:pP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(2,055)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57"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$29.0 million and $78.9 million at March 31, 2022 and December 31, 2021, respectively ($0.7 million included in “Accrued expenses” at March 31, 2022 and December 31, 2021, respectively, with the remainder included in “Pension and other postretirement benefit obligations, net” in the condensed consolidated balance sheets).</w:t>
      </w:r>
    </w:p>
    <w:p>
      <w:pPr>
        <w:spacing w:after="0" w:line="5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2022, the Company anticipates the amount will be consistent with amounts paid for the year ended December 31, 2021, or approximately $0.5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INCOME (EXPENSE), NET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Gain on investment in kaléo</w:t>
            </w:r>
            <w:r>
              <w:rPr>
                <w:rFonts w:ascii="Times New Roman" w:cs="Times New Roman" w:eastAsia="Times New Roman" w:hAnsi="Times New Roman"/>
                <w:sz w:val="23"/>
                <w:szCs w:val="23"/>
                <w:color w:val="auto"/>
                <w:vertAlign w:val="superscript"/>
              </w:rPr>
              <w:t>(a)</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business</w:t>
            </w:r>
          </w:p>
        </w:tc>
        <w:tc>
          <w:tcPr>
            <w:tcW w:w="9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7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COVID-19-related expenses, net of relief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(c)</w:t>
            </w:r>
          </w:p>
        </w:tc>
        <w:tc>
          <w:tcPr>
            <w:tcW w:w="9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40" w:hanging="214"/>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in the first three months of 2021 includes a $0.3 million dividend received from kaléo in the first quarter of 2021. See Note 12.</w:t>
      </w:r>
    </w:p>
    <w:p>
      <w:pPr>
        <w:ind w:left="260" w:right="140" w:hanging="234"/>
        <w:spacing w:after="0" w:line="211" w:lineRule="auto"/>
        <w:tabs>
          <w:tab w:leader="none" w:pos="24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operating under COVID-19 conditions include employee overtime expenses associated with absenteeism, personal protective equipment supplies and facility maintenance.</w:t>
      </w:r>
    </w:p>
    <w:p>
      <w:pPr>
        <w:ind w:left="260" w:right="100" w:hanging="234"/>
        <w:spacing w:after="0" w:line="231" w:lineRule="auto"/>
        <w:tabs>
          <w:tab w:leader="none" w:pos="23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unrealized loss on the Company’s investment in Harbinger Capital Partners Special Situations Fund L.P. that had a fair value of $0.2 million as of March 31, 2022 and $0.2 million as of December 31, 2021 reported in "Other assets" in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94"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from continuing and discontinued operations by the weighted average number of shares of common stock outstanding. Diluted earnings per share is computed by dividing net income (loss) from continuing and discontinued operations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37"/>
        </w:trPr>
        <w:tc>
          <w:tcPr>
            <w:tcW w:w="724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9"/>
        </w:trPr>
        <w:tc>
          <w:tcPr>
            <w:tcW w:w="724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00" w:type="dxa"/>
            <w:vAlign w:val="bottom"/>
          </w:tcPr>
          <w:p>
            <w:pPr>
              <w:spacing w:after="0"/>
              <w:rPr>
                <w:sz w:val="19"/>
                <w:szCs w:val="19"/>
                <w:color w:val="auto"/>
              </w:rPr>
            </w:pPr>
          </w:p>
        </w:tc>
      </w:tr>
      <w:tr>
        <w:trPr>
          <w:trHeight w:val="234"/>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30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33,654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33,406</w:t>
            </w:r>
          </w:p>
        </w:tc>
      </w:tr>
      <w:tr>
        <w:trPr>
          <w:trHeight w:val="229"/>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Incremental dilutive shares attributable to stock options and restricted stock</w:t>
            </w:r>
          </w:p>
        </w:tc>
        <w:tc>
          <w:tcPr>
            <w:tcW w:w="3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30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33,696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33,644</w:t>
            </w:r>
          </w:p>
        </w:tc>
      </w:tr>
    </w:tbl>
    <w:p>
      <w:pPr>
        <w:spacing w:after="0" w:line="171" w:lineRule="exact"/>
        <w:rPr>
          <w:sz w:val="20"/>
          <w:szCs w:val="20"/>
          <w:color w:val="auto"/>
        </w:rPr>
      </w:pPr>
    </w:p>
    <w:p>
      <w:pPr>
        <w:ind w:right="360" w:firstLine="405"/>
        <w:spacing w:after="0" w:line="289" w:lineRule="auto"/>
        <w:rPr>
          <w:sz w:val="20"/>
          <w:szCs w:val="20"/>
          <w:color w:val="auto"/>
        </w:rPr>
      </w:pPr>
      <w:r>
        <w:rPr>
          <w:rFonts w:ascii="Times New Roman" w:cs="Times New Roman" w:eastAsia="Times New Roman" w:hAnsi="Times New Roman"/>
          <w:sz w:val="17"/>
          <w:szCs w:val="17"/>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2,477,708 and 411,516 for the three months ended March 31, 2022 and 2021, respectively.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are summarized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6,264</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169"/>
        </w:trPr>
        <w:tc>
          <w:tcPr>
            <w:tcW w:w="348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0" w:type="dxa"/>
            <w:vAlign w:val="bottom"/>
          </w:tcPr>
          <w:p>
            <w:pPr>
              <w:spacing w:after="0"/>
              <w:rPr>
                <w:sz w:val="1"/>
                <w:szCs w:val="1"/>
                <w:color w:val="auto"/>
              </w:rPr>
            </w:pPr>
          </w:p>
        </w:tc>
      </w:tr>
      <w:tr>
        <w:trPr>
          <w:trHeight w:val="864"/>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3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4,243</w:t>
            </w:r>
          </w:p>
        </w:tc>
        <w:tc>
          <w:tcPr>
            <w:tcW w:w="24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3,319</w:t>
            </w:r>
          </w:p>
        </w:tc>
        <w:tc>
          <w:tcPr>
            <w:tcW w:w="2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169"/>
        </w:trPr>
        <w:tc>
          <w:tcPr>
            <w:tcW w:w="348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3,319</w:t>
            </w: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(93,200)</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The notional amount of aluminum futures contracts that hedged future purchases of aluminum to meet fixed-price forward sales contract obligations was $24.2 million (14.3 million pounds of aluminum) at March 31, 2022 and $22.1 million (14.9 million pounds of aluminum) at December 31, 2021.</w:t>
      </w:r>
    </w:p>
    <w:p>
      <w:pPr>
        <w:spacing w:after="0" w:line="67"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March 31, 2022 and December 31, 2021:</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2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2022</w:t>
            </w: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40" w:type="dxa"/>
            <w:vAlign w:val="bottom"/>
            <w:tcBorders>
              <w:top w:val="single" w:sz="8" w:color="auto"/>
              <w:bottom w:val="single" w:sz="8" w:color="auto"/>
            </w:tcBorders>
          </w:tcPr>
          <w:p>
            <w:pPr>
              <w:spacing w:after="0"/>
              <w:rPr>
                <w:sz w:val="20"/>
                <w:szCs w:val="20"/>
                <w:color w:val="auto"/>
              </w:rPr>
            </w:pPr>
          </w:p>
        </w:tc>
      </w:tr>
      <w:tr>
        <w:trPr>
          <w:trHeight w:val="169"/>
        </w:trPr>
        <w:tc>
          <w:tcPr>
            <w:tcW w:w="5160" w:type="dxa"/>
            <w:vAlign w:val="bottom"/>
          </w:tcPr>
          <w:p>
            <w:pPr>
              <w:spacing w:after="0"/>
              <w:rPr>
                <w:sz w:val="14"/>
                <w:szCs w:val="14"/>
                <w:color w:val="auto"/>
              </w:rPr>
            </w:pPr>
          </w:p>
        </w:tc>
        <w:tc>
          <w:tcPr>
            <w:tcW w:w="1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Balance Sheet</w:t>
            </w:r>
          </w:p>
        </w:tc>
        <w:tc>
          <w:tcPr>
            <w:tcW w:w="320" w:type="dxa"/>
            <w:vAlign w:val="bottom"/>
          </w:tcPr>
          <w:p>
            <w:pPr>
              <w:spacing w:after="0"/>
              <w:rPr>
                <w:sz w:val="14"/>
                <w:szCs w:val="14"/>
                <w:color w:val="auto"/>
              </w:rPr>
            </w:pPr>
          </w:p>
        </w:tc>
        <w:tc>
          <w:tcPr>
            <w:tcW w:w="7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4"/>
                <w:szCs w:val="14"/>
                <w:color w:val="auto"/>
              </w:rPr>
            </w:pPr>
          </w:p>
        </w:tc>
        <w:tc>
          <w:tcPr>
            <w:tcW w:w="1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4"/>
                <w:szCs w:val="14"/>
                <w:color w:val="auto"/>
              </w:rPr>
            </w:pPr>
          </w:p>
        </w:tc>
        <w:tc>
          <w:tcPr>
            <w:tcW w:w="7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derivatives:</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Liability derivatives:</w:t>
            </w:r>
          </w:p>
        </w:tc>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w:t>
            </w:r>
          </w:p>
        </w:tc>
        <w:tc>
          <w:tcPr>
            <w:tcW w:w="18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bl>
    <w:p>
      <w:pPr>
        <w:spacing w:after="0" w:line="15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54"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1" w:name="page12"/>
    <w:bookmarkEnd w:id="11"/>
    <w:p>
      <w:pPr>
        <w:ind w:right="40"/>
        <w:spacing w:after="0" w:line="282" w:lineRule="auto"/>
        <w:rPr>
          <w:sz w:val="20"/>
          <w:szCs w:val="20"/>
          <w:color w:val="auto"/>
        </w:rPr>
      </w:pPr>
      <w:r>
        <w:rPr>
          <w:rFonts w:ascii="Times New Roman" w:cs="Times New Roman" w:eastAsia="Times New Roman" w:hAnsi="Times New Roman"/>
          <w:sz w:val="18"/>
          <w:szCs w:val="18"/>
          <w:color w:val="auto"/>
        </w:rPr>
        <w:t>materials quoted or priced in U.S. Dollars and its variable conversion, fixed conversion and sales, general and administrative costs (before depreciation and amortization) quoted or priced in Brazilian Real ("R$") is annual net costs of R$150 million for the full year of 2022.</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Terphane Ltda. has the following outstanding foreign exchange average forward rate contracts to purchase Brazilian Real and sell U.S. Dollars: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 Forward Rate</w:t>
            </w:r>
          </w:p>
        </w:tc>
        <w:tc>
          <w:tcPr>
            <w:tcW w:w="2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Estimated % of Terphane</w:t>
            </w:r>
          </w:p>
        </w:tc>
        <w:tc>
          <w:tcPr>
            <w:tcW w:w="0" w:type="dxa"/>
            <w:vAlign w:val="bottom"/>
          </w:tcPr>
          <w:p>
            <w:pPr>
              <w:spacing w:after="0"/>
              <w:rPr>
                <w:sz w:val="1"/>
                <w:szCs w:val="1"/>
                <w:color w:val="auto"/>
              </w:rPr>
            </w:pPr>
          </w:p>
        </w:tc>
      </w:tr>
      <w:tr>
        <w:trPr>
          <w:trHeight w:val="18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40" w:type="dxa"/>
            <w:vAlign w:val="bottom"/>
            <w:vMerge w:val="continue"/>
          </w:tcPr>
          <w:p>
            <w:pPr>
              <w:spacing w:after="0"/>
              <w:rPr>
                <w:sz w:val="15"/>
                <w:szCs w:val="15"/>
                <w:color w:val="auto"/>
              </w:rPr>
            </w:pPr>
          </w:p>
        </w:tc>
        <w:tc>
          <w:tcPr>
            <w:tcW w:w="25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R$ Equivalent Amount (000s)</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 Month</w:t>
            </w:r>
          </w:p>
        </w:tc>
        <w:tc>
          <w:tcPr>
            <w:tcW w:w="2380" w:type="dxa"/>
            <w:vAlign w:val="bottom"/>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rPr>
              <w:t>Ltda. R$ Operating Cost</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$1,615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5.4247</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R$8,761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$1,647</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5.4545</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R$8,984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$1,596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5.4890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R$8,760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$1,719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5.5200</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R$9,489</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$1,708</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5.5560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R$9,490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$1,780</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5.5915</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R$9,953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$1,793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5.6264</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R$10,088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$1,784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5.6597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R$10,097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5.6962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R$9,450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5.5145</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R$3,447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5.5581</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R$3,474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5.6014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R$3,501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5.6446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R$3,528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5.6866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R$3,554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5.7323</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R$3,583</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5.7756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R$3,610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5.8197</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R$3,637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5.8627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R$3,664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5.9028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R$3,689</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5.9414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R$3,713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5.9800</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R$3,738</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Dec-23</w:t>
            </w: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$22,801</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5.6230</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R$128,210</w:t>
            </w:r>
          </w:p>
        </w:tc>
        <w:tc>
          <w:tcPr>
            <w:tcW w:w="1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45" w:lineRule="exact"/>
        <w:rPr>
          <w:sz w:val="20"/>
          <w:szCs w:val="20"/>
          <w:color w:val="auto"/>
        </w:rPr>
      </w:pPr>
    </w:p>
    <w:p>
      <w:pPr>
        <w:ind w:right="10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condensed consolidated balance sheets as of March 31, 2022 and December 31, 2021:</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2022</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6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18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40" w:type="dxa"/>
            <w:vAlign w:val="bottom"/>
          </w:tcPr>
          <w:p>
            <w:pPr>
              <w:spacing w:after="0"/>
              <w:rPr>
                <w:sz w:val="15"/>
                <w:szCs w:val="15"/>
                <w:color w:val="auto"/>
              </w:rPr>
            </w:pPr>
          </w:p>
        </w:tc>
        <w:tc>
          <w:tcPr>
            <w:tcW w:w="7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1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80" w:type="dxa"/>
            <w:vAlign w:val="bottom"/>
          </w:tcPr>
          <w:p>
            <w:pPr>
              <w:spacing w:after="0"/>
              <w:rPr>
                <w:sz w:val="15"/>
                <w:szCs w:val="15"/>
                <w:color w:val="auto"/>
              </w:rPr>
            </w:pPr>
          </w:p>
        </w:tc>
        <w:tc>
          <w:tcPr>
            <w:tcW w:w="760" w:type="dxa"/>
            <w:vAlign w:val="bottom"/>
          </w:tcPr>
          <w:p>
            <w:pPr>
              <w:jc w:val="right"/>
              <w:ind w:right="27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864"/>
        </w:trPr>
        <w:tc>
          <w:tcPr>
            <w:tcW w:w="5160" w:type="dxa"/>
            <w:vAlign w:val="bottom"/>
          </w:tcPr>
          <w:p>
            <w:pPr>
              <w:spacing w:after="0"/>
              <w:rPr>
                <w:sz w:val="24"/>
                <w:szCs w:val="24"/>
                <w:color w:val="auto"/>
              </w:rPr>
            </w:pPr>
          </w:p>
        </w:tc>
        <w:tc>
          <w:tcPr>
            <w:tcW w:w="18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48" w:lineRule="exact"/>
        <w:rPr>
          <w:sz w:val="20"/>
          <w:szCs w:val="20"/>
          <w:color w:val="auto"/>
        </w:rPr>
      </w:pPr>
    </w:p>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month periods ended March 31, 2022 and 2021 is summarized in the table below:</w:t>
      </w:r>
    </w:p>
    <w:tbl>
      <w:tblPr>
        <w:tblLayout w:type="fixed"/>
        <w:tblInd w:w="0" w:type="dxa"/>
        <w:tblCellMar>
          <w:top w:w="0" w:type="dxa"/>
          <w:left w:w="0" w:type="dxa"/>
          <w:bottom w:w="0" w:type="dxa"/>
          <w:right w:w="0" w:type="dxa"/>
        </w:tblCellMar>
      </w:tblPr>
      <w:tr>
        <w:trPr>
          <w:trHeight w:val="238"/>
        </w:trPr>
        <w:tc>
          <w:tcPr>
            <w:tcW w:w="51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460" w:type="dxa"/>
            <w:vAlign w:val="bottom"/>
            <w:tcBorders>
              <w:top w:val="single" w:sz="8" w:color="auto"/>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w w:val="99"/>
              </w:rPr>
              <w:t>Cash Flow Derivative Hedges</w:t>
            </w:r>
          </w:p>
        </w:tc>
        <w:tc>
          <w:tcPr>
            <w:tcW w:w="4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Aluminum Futures</w:t>
            </w: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78"/>
        </w:trPr>
        <w:tc>
          <w:tcPr>
            <w:tcW w:w="518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184"/>
        </w:trPr>
        <w:tc>
          <w:tcPr>
            <w:tcW w:w="51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360" w:type="dxa"/>
            <w:vAlign w:val="bottom"/>
          </w:tcPr>
          <w:p>
            <w:pPr>
              <w:spacing w:after="0"/>
              <w:rPr>
                <w:sz w:val="16"/>
                <w:szCs w:val="16"/>
                <w:color w:val="auto"/>
              </w:rPr>
            </w:pPr>
          </w:p>
        </w:tc>
        <w:tc>
          <w:tcPr>
            <w:tcW w:w="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6"/>
                <w:szCs w:val="16"/>
                <w:color w:val="auto"/>
              </w:rPr>
            </w:pPr>
          </w:p>
        </w:tc>
        <w:tc>
          <w:tcPr>
            <w:tcW w:w="7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Cost of</w:t>
            </w: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98"/>
              </w:rPr>
              <w:t>Cost of</w:t>
            </w:r>
          </w:p>
        </w:tc>
        <w:tc>
          <w:tcPr>
            <w:tcW w:w="9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 of</w:t>
            </w:r>
          </w:p>
        </w:tc>
        <w:tc>
          <w:tcPr>
            <w:tcW w:w="300" w:type="dxa"/>
            <w:vAlign w:val="bottom"/>
          </w:tcPr>
          <w:p>
            <w:pPr>
              <w:spacing w:after="0"/>
              <w:rPr>
                <w:sz w:val="16"/>
                <w:szCs w:val="16"/>
                <w:color w:val="auto"/>
              </w:rPr>
            </w:pPr>
          </w:p>
        </w:tc>
        <w:tc>
          <w:tcPr>
            <w:tcW w:w="86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goods sold</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goods sold</w:t>
            </w:r>
          </w:p>
        </w:tc>
        <w:tc>
          <w:tcPr>
            <w:tcW w:w="140" w:type="dxa"/>
            <w:vAlign w:val="bottom"/>
            <w:tcBorders>
              <w:right w:val="single" w:sz="8" w:color="auto"/>
            </w:tcBorders>
          </w:tcPr>
          <w:p>
            <w:pPr>
              <w:spacing w:after="0"/>
              <w:rPr>
                <w:sz w:val="19"/>
                <w:szCs w:val="19"/>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admin</w:t>
            </w: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4"/>
        </w:trPr>
        <w:tc>
          <w:tcPr>
            <w:tcW w:w="51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2022, the Company expects $3.5 million of unrealized after-tax gains on aluminum and foreign currency derivative instruments reported in accumulated other comprehensive income (loss) to be reclassified to earnings within the next 12 months. For the three month periods ended March 31, 2022 and 2021, net gains or losses realized, from previously unrealized net gains or losses on hedges that had been discontinued, were not material.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0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Tredegar recorded tax expense of $0.8 million on pre-tax income from continuing operations of $17.2 million in the first three months of 2022. Therefore, the effective tax rate in the first three months of 2022 was 4.5%, compared to 24.4% in the first three months of 2021. The decrease in the effective tax rate for continuing operations is primarily due to a discrete benefit recorded in the first quarter of 2022 resulting from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As the result of these regulations, future Brazilian income tax will be deductible, but not creditable, in the U.S. The accounting rules require a reduction of the U.S. deferred tax liability previously established related to anticipated future income from Brazil. The tax effect of the reduction of the U.S. deferred tax liability resulted in the discrete tax benefit described above. This one-time discrete benefit is expected to reduce the effective tax rate for the remainder of 2022, which will be offset by an expected increase to the effective tax rate as the result of Brazilian income tax no longer being creditable in the U.S. for the foreseeable future. Total deferred tax assets declined during the first quarter of 2022 compared to December 31, 2021 primarily due to changes in other comprehensive income and the projected utilization of foreign tax credits partially offset by the change in the deferred tax liability discussed above.</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4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13-year period, from the commencement date of January 1, 2015. The benefit from the tax incentives was $1.5 million in the first three months of 2022 and 2021.</w:t>
      </w:r>
    </w:p>
    <w:p>
      <w:pPr>
        <w:spacing w:after="0" w:line="5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Tredegar and its subsidiaries file income tax returns in the U.S., various states, and jurisdictions outside the U.S. With exceptions for some U.S. states and non-U.S. jurisdictions, Tredegar and its subsidiaries are no longer subject to U.S. federal, state or non-U.S. income tax examinations by tax authorities for years before 2018.</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and EBITDA from ongoing operations by segment for the three months ended March 31,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158,110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118,125</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31,131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27,953</w:t>
            </w: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39,244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32,521</w:t>
            </w:r>
          </w:p>
        </w:tc>
      </w:tr>
      <w:tr>
        <w:trPr>
          <w:trHeight w:val="223"/>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228,485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178,599</w:t>
            </w: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3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8,081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3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236,566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184,822</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23,919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r>
      <w:tr>
        <w:trPr>
          <w:trHeight w:val="230"/>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23"/>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19,658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7,047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9"/>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3"/>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5,452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r>
      <w:tr>
        <w:trPr>
          <w:trHeight w:val="230"/>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4,485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r>
      <w:tr>
        <w:trPr>
          <w:trHeight w:val="230"/>
        </w:trPr>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3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29,345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3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10,722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17,235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16,457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864"/>
        </w:trPr>
        <w:tc>
          <w:tcPr>
            <w:tcW w:w="5220" w:type="dxa"/>
            <w:vAlign w:val="bottom"/>
          </w:tcPr>
          <w:p>
            <w:pPr>
              <w:spacing w:after="0"/>
              <w:rPr>
                <w:sz w:val="24"/>
                <w:szCs w:val="24"/>
                <w:color w:val="auto"/>
              </w:rPr>
            </w:pPr>
          </w:p>
        </w:tc>
        <w:tc>
          <w:tcPr>
            <w:tcW w:w="304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March 31, 2022 and December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2022</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113,613</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9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75,269</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520,130</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469,403</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9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9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564,671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157"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182,138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132,897</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3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3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26,885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24,849</w:t>
            </w:r>
          </w:p>
        </w:tc>
      </w:tr>
      <w:tr>
        <w:trPr>
          <w:trHeight w:val="230"/>
        </w:trPr>
        <w:tc>
          <w:tcPr>
            <w:tcW w:w="55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228,485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178,599</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entirely to PE Films. Operations in Brazil relate entirely to Flexible Packaging Films.</w:t>
      </w:r>
    </w:p>
    <w:p>
      <w:pPr>
        <w:spacing w:after="0" w:line="2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$6.5 million and $6.9 million in the first three months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80,921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57,229</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16,891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27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27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12,945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9,760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w:t>
            </w:r>
          </w:p>
        </w:tc>
      </w:tr>
      <w:tr>
        <w:trPr>
          <w:trHeight w:val="223"/>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158,110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118,125</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22,148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Packaging</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r>
      <w:tr>
        <w:trPr>
          <w:trHeight w:val="223"/>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31,131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27,953</w:t>
            </w:r>
          </w:p>
        </w:tc>
      </w:tr>
      <w:tr>
        <w:trPr>
          <w:trHeight w:val="229"/>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39,244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32,521</w:t>
            </w:r>
          </w:p>
        </w:tc>
      </w:tr>
      <w:tr>
        <w:trPr>
          <w:trHeight w:val="230"/>
        </w:trPr>
        <w:tc>
          <w:tcPr>
            <w:tcW w:w="57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228,485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178,599</w:t>
            </w:r>
          </w:p>
        </w:tc>
      </w:tr>
    </w:tbl>
    <w:p>
      <w:pPr>
        <w:spacing w:after="0" w:line="153" w:lineRule="exact"/>
        <w:rPr>
          <w:sz w:val="20"/>
          <w:szCs w:val="20"/>
          <w:color w:val="auto"/>
        </w:rPr>
      </w:pPr>
    </w:p>
    <w:p>
      <w:pPr>
        <w:ind w:right="9640" w:firstLine="8"/>
        <w:spacing w:after="0" w:line="383" w:lineRule="auto"/>
        <w:tabs>
          <w:tab w:leader="none" w:pos="2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DIVESTITURES </w:t>
      </w:r>
      <w:r>
        <w:rPr>
          <w:rFonts w:ascii="Times New Roman" w:cs="Times New Roman" w:eastAsia="Times New Roman" w:hAnsi="Times New Roman"/>
          <w:sz w:val="17"/>
          <w:szCs w:val="17"/>
          <w:i w:val="1"/>
          <w:iCs w:val="1"/>
          <w:color w:val="auto"/>
        </w:rPr>
        <w:t>Personal Care Films</w:t>
      </w:r>
    </w:p>
    <w:p>
      <w:pPr>
        <w:spacing w:after="0" w:line="1"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23" w:lineRule="exact"/>
        <w:rPr>
          <w:sz w:val="20"/>
          <w:szCs w:val="20"/>
          <w:color w:val="auto"/>
        </w:rPr>
      </w:pPr>
    </w:p>
    <w:p>
      <w:pPr>
        <w:ind w:right="120" w:firstLine="405"/>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condensed consolidated statements of income for the three and three months ended March 31, 2022 and 2021:</w:t>
      </w:r>
    </w:p>
    <w:tbl>
      <w:tblPr>
        <w:tblLayout w:type="fixed"/>
        <w:tblInd w:w="0" w:type="dxa"/>
        <w:tblCellMar>
          <w:top w:w="0" w:type="dxa"/>
          <w:left w:w="0" w:type="dxa"/>
          <w:bottom w:w="0" w:type="dxa"/>
          <w:right w:w="0" w:type="dxa"/>
        </w:tblCellMar>
      </w:tblPr>
      <w:tr>
        <w:trPr>
          <w:trHeight w:val="233"/>
        </w:trPr>
        <w:tc>
          <w:tcPr>
            <w:tcW w:w="7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45</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710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Adjustment to the fair value estimates used in the disposal of Personal Care Films</w:t>
            </w:r>
            <w:r>
              <w:rPr>
                <w:rFonts w:ascii="Times New Roman" w:cs="Times New Roman" w:eastAsia="Times New Roman" w:hAnsi="Times New Roman"/>
                <w:sz w:val="23"/>
                <w:szCs w:val="23"/>
                <w:color w:val="auto"/>
                <w:vertAlign w:val="superscript"/>
              </w:rPr>
              <w:t>(a)</w:t>
            </w:r>
          </w:p>
        </w:tc>
        <w:tc>
          <w:tcPr>
            <w:tcW w:w="10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71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45</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1040" w:type="dxa"/>
            <w:vAlign w:val="bottom"/>
          </w:tcPr>
          <w:p>
            <w:pPr>
              <w:spacing w:after="0"/>
              <w:rPr>
                <w:sz w:val="19"/>
                <w:szCs w:val="19"/>
                <w:color w:val="auto"/>
              </w:rPr>
            </w:pP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(45)</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(10)</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2"/>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(35)</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60" w:right="40" w:hanging="234"/>
        <w:spacing w:after="0" w:line="250"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net increase to the estimated fair value of Personal Care Films primarily due to lower costs associated with IT transition-related services to provide the seller developed assets, which did not exist at the time of the sale, to support the seller's IT infrastructure.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color w:val="auto"/>
        </w:rPr>
        <w:t>The assets and liabilities of the discontinued operations reflected in the condensed consolidated balance sheets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respectively,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2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Prepaid expenses and other </w:t>
            </w:r>
            <w:r>
              <w:rPr>
                <w:rFonts w:ascii="Times New Roman" w:cs="Times New Roman" w:eastAsia="Times New Roman" w:hAnsi="Times New Roman"/>
                <w:sz w:val="23"/>
                <w:szCs w:val="23"/>
                <w:color w:val="auto"/>
                <w:vertAlign w:val="superscript"/>
              </w:rPr>
              <w:t>(a)</w:t>
            </w:r>
          </w:p>
        </w:tc>
        <w:tc>
          <w:tcPr>
            <w:tcW w:w="3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57"/>
        </w:trPr>
        <w:tc>
          <w:tcPr>
            <w:tcW w:w="522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52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3"/>
                <w:szCs w:val="23"/>
                <w:color w:val="auto"/>
                <w:vertAlign w:val="superscript"/>
              </w:rPr>
              <w:t>(a)</w:t>
            </w:r>
          </w:p>
        </w:tc>
        <w:tc>
          <w:tcPr>
            <w:tcW w:w="3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ind w:left="260" w:right="100" w:hanging="234"/>
        <w:spacing w:after="0" w:line="251" w:lineRule="auto"/>
        <w:tabs>
          <w:tab w:leader="none" w:pos="23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of discontinued operations as of March 31, 2022 includes $0.2 million of other receivables related to the settlement of customary post-closing adjustments and other miscellaneous accrued expenses of $0.2 million. The condensed consolidated balance sheet of discontinued operations as of December 31, 2021 includes $0.2 million of other receivables related to the settlement of customary post-closing adjustments and other miscellaneous accrued expenses of $0.2 million.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significant operating and investing cash flow information for discontinued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Borders>
              <w:top w:val="single" w:sz="8" w:color="auto"/>
            </w:tcBorders>
          </w:tcPr>
          <w:p>
            <w:pPr>
              <w:spacing w:after="0"/>
              <w:rPr>
                <w:sz w:val="21"/>
                <w:szCs w:val="21"/>
                <w:color w:val="auto"/>
              </w:rPr>
            </w:pPr>
          </w:p>
        </w:tc>
        <w:tc>
          <w:tcPr>
            <w:tcW w:w="628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8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August 2007 and December 2008, the Company made an aggregate investment of $7.5 million in kaleo, Inc. (“kaléo”), a privately held specialty pharmaceutical company dedicated to building innovative solutions for serious and life-threatening medical conditions. Tredegar historically accounted for its investment in kaléo under the fair value option. At the time of the initial investment, the Company elected the fair value option of accounting since its investment objectives were similar to those of venture capitalists, which typically do not have controlling financial interests. kaléo’s stock is not publicly traded.</w:t>
      </w:r>
    </w:p>
    <w:p>
      <w:pPr>
        <w:spacing w:after="0" w:line="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December 27, 2021, the Company completed the sale of its investment interests in kaléo (Series A-3 Preferred Stock, Series B Preferred Stock and common stock) that, taken together, represented on a fully-diluted basis an approximate 18% interest in kaléo. Tredegar received closing cash proceeds of $47.1 million. A pre-tax gain of $0.7 million on the Company’s investment in kaléo was recognized in the first quarter ended March 31, 2021 which is reported in “Other income (expense), net” in the condensed consolidated statements of income. The gain in 2021 includes a $0.3 million dividend received from kaléo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jc w:val="right"/>
        <w:ind w:right="36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press release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In addition, the Company's current projections for its businesses could be materially affected by the highly uncertain impact of the COVID-19 pandemic. As a consequence, the Company's results could differ significantly from its projections, depending on, among other things, the ultimate impact of the pandemic on employees, supply chains, customers and the U.S. and world economies. Accordingly, you should not place undue reliance on these forward-looking statements. Factors that could cause actual results to differ from expectations include, without limitation, the following:</w:t>
      </w:r>
    </w:p>
    <w:p>
      <w:pPr>
        <w:spacing w:after="0" w:line="7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gain of sales to significant customers on which the Company’s business is highly dependent;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economic conditions in countries in which the Company does business, including rising inflation and the effects of the Russian invasion of Ukraine;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manufacturers, including manufacturers in lower-cost countries and manufacturers benefiting from government subsidies;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exchange rates;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movement of pension plan assets and liabilities up through initiating hedging activities to fix underfunding amounts and assumptions thereafter relating to differences between the ultimate settlement benefit obligation and the projected benefit obligation, census data, administrative costs, the effectiveness of hedging activities and discounts required to liquidate non-public securities held by the plan;</w:t>
      </w:r>
    </w:p>
    <w:p>
      <w:pPr>
        <w:spacing w:after="0" w:line="40"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complete or integrate strategic acquisitions; failure to realize the expected benefits of such acquisitions and assumption of unanticipated risks in such acquisitions;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tariffs, duties or other trade restrictions imposed as a result of trade tensions between the U.S. and other countries;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anti-dumping duties on products imported to Brazil that compete with products produced by Flexible Packaging;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w:t>
      </w:r>
    </w:p>
    <w:p>
      <w:pPr>
        <w:spacing w:after="0" w:line="10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2021 (the “2021 Form 10-K”). Readers are urged to review and consider carefully the disclosures Tredegar makes in its filings with the SEC.</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ind w:right="48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4"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GAAP. The Company believes the estimates, assumptions and judgments described in the section “Management’s Discussion and Analysis of Financial Condition and Results of Operations – Critical Accounting Policies and Estimates” in the 2021 Form 10-K have the greatest potential impact on our financial statements, so Tredegar considers these to be its critical accounting policies. Since December 31, 2021, there have been no changes in these policies that have had a material impact on our results of operations or financial position.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2,400 employees, the Company operates manufacturing facilities in North America, South America, and Asia.</w:t>
      </w:r>
    </w:p>
    <w:p>
      <w:pPr>
        <w:spacing w:after="0" w:line="4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Earnings before interest and taxes ("EBIT") from ongoing operations is a non-GAAP financial measure included in the reconciliation of segment financial information to consolidated results for the Company. It is not intended to represent the stand-alone results for Tredegar’s ongoing operations under generally accepted accounting standards in the United States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 Highlights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First quarter 2022 net income from continuing operations was $16.5 million ($0.49 per diluted share) compared with net income from continuing operations of $9.6 million ($0.29 per diluted share) in the first quarter of 2021.</w:t>
      </w:r>
    </w:p>
    <w:p>
      <w:pPr>
        <w:spacing w:after="0" w:line="4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$23.9 million was $10.6 million higher than the first quarter of 2021</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$7.0 million was $0.2 million lower than the first quarter of 2021</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Flexible Packaging Films of $5.0 million was $4.6 million lower than the first quarter of 2021</w:t>
      </w:r>
    </w:p>
    <w:p>
      <w:pPr>
        <w:spacing w:after="0" w:line="10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three of the Company's business segments continue to manage through supply chain disruptions and inflationary cost pressures, including raw material cost increases, shortages, transportation cost increases and delays. Refer to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below for additional information on raw material price trends. The Company attempts to mitigate the effects of increased costs through price increases and contractual pass-through provisions. At Bonnell Aluminum, labor shortages associated with the COVID-19 operating environment have resulted in production challenges and inefficiencies. However, current bookings and backlog remain at record high levels.</w:t>
      </w:r>
    </w:p>
    <w:p>
      <w:pPr>
        <w:spacing w:after="0" w:line="6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Other losses related to asset impairments and costs associated with exit and disposal activities for continuing operations were not material for the three months ended March 31, 2022 and 2021, respectively. Gains and losses associated with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of 2022 Compared with the First Quarter of 2021</w:t>
      </w:r>
    </w:p>
    <w:p>
      <w:pPr>
        <w:spacing w:after="0" w:line="10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first quarter of 2021 to first quarter of 2022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three months ended March 31, 2021</w:t>
            </w:r>
          </w:p>
        </w:tc>
        <w:tc>
          <w:tcPr>
            <w:tcW w:w="23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r>
      <w:tr>
        <w:trPr>
          <w:trHeight w:val="229"/>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2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51,744</w:t>
            </w:r>
          </w:p>
        </w:tc>
      </w:tr>
      <w:tr>
        <w:trPr>
          <w:trHeight w:val="229"/>
        </w:trPr>
        <w:tc>
          <w:tcPr>
            <w:tcW w:w="7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23"/>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50,717</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2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(41,975)</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2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29"/>
        </w:trPr>
        <w:tc>
          <w:tcPr>
            <w:tcW w:w="7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(46,197)</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three months ended March 31, 2022</w:t>
            </w:r>
          </w:p>
        </w:tc>
        <w:tc>
          <w:tcPr>
            <w:tcW w:w="2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r>
    </w:tbl>
    <w:p>
      <w:pPr>
        <w:spacing w:after="0" w:line="157"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Sales in the first quarter of 2022 increased by $51.7 million compared with the first quarter of 2021. Net sales (sales less freight) in Aluminum Extrusions increased $40.0 million, primarily due to an increase in average selling prices to cover significantly higher aluminum raw material costs and higher operating costs, partially offset by lower sales volume. Net sales increased $3.2 million in PE Films, primarily due to higher volume in Surface Protection and higher selling prices for overwrap films. Net sales in Flexible Packaging Films increased $6.7 million, primarily due to higher selling prices from the pass-through of higher resin costs and favorable product mix, partially offset by lower sales volume.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6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Other income decreased $1.0 million in the first quarter of 2022 compared to the first quarter of 2021, primarily due to a 2021 gain on the Company's investment in kaléo inc., which was historically accounted for under the fair value option and sold in the fourth quarter of 2021, and the non-recurring 2021 transition service fee income, net of corporate costs associated with the divested Personal Care Films business. See Note 5 for additional information.</w:t>
      </w:r>
    </w:p>
    <w:p>
      <w:pPr>
        <w:spacing w:after="0" w:line="41" w:lineRule="exact"/>
        <w:rPr>
          <w:sz w:val="20"/>
          <w:szCs w:val="20"/>
          <w:color w:val="auto"/>
        </w:rPr>
      </w:pPr>
    </w:p>
    <w:p>
      <w:pPr>
        <w:ind w:right="120" w:firstLine="405"/>
        <w:spacing w:after="0" w:line="273" w:lineRule="auto"/>
        <w:rPr>
          <w:sz w:val="20"/>
          <w:szCs w:val="20"/>
          <w:color w:val="auto"/>
        </w:rPr>
      </w:pPr>
      <w:r>
        <w:rPr>
          <w:rFonts w:ascii="Times New Roman" w:cs="Times New Roman" w:eastAsia="Times New Roman" w:hAnsi="Times New Roman"/>
          <w:sz w:val="17"/>
          <w:szCs w:val="17"/>
          <w:color w:val="auto"/>
        </w:rPr>
        <w:t>Consolidated gross profit (sales minus cost of goods sold and freight) as a percentage of sales (gross profit margin) was 19.1% in the first quarter of 2022 compared to 20.2% in the first quarter of 2021. The gross profit margin in Aluminum Extrusions increased primarily due to an increase in average selling prices to cover significantly higher aluminum raw material costs and higher operating costs. The gross profit margin in PE Films decreased primarily due to lower Surface Protection sales related to previously disclosed customer product transitions, pricing pressures for products unrelated to the customer product transitions, higher freight expense, partially offset by higher volume, favorable mix and the pass-through lag associated with resin costs. The gross profit margin in Flexible Packaging Films decreased primarily due to higher raw material costs, higher variable costs and lower sales volume, partially offset by higher selling prices from the pass-through of higher resin costs, favorable absorption of fixed costs and favorable product mix.</w:t>
      </w:r>
    </w:p>
    <w:p>
      <w:pPr>
        <w:spacing w:after="0" w:line="50"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9.6% in the first quarter of 2022, compared with 10.9% in the first quarter of 2021. SG&amp;A expenses and net sales increased year-over-year, while R&amp;D expenses remained consistent with prior year. Increased SG&amp;A spending is primarily due to higher employee-related compensation, higher professional fees associated with business development activities, higher professional fees associated with internal controls over financial reporting, net unfavorable foreign currency translation of Real-denominated operating costs, partially offset by lower stock-based compensation.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in the first three months of 2022 was 4.5%, compared to 24.4% in the first three months of 2021. The decrease in the effective tax rate for continuing operations is primarily due to a discrete benefit recorded in the first quarter of 2022 resulting from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This one-time discrete benefit is expected to reduce the effective tax rate for the remainder of 2022, which will be offset by an expected increase to the effective tax rate as the result of Brazilian income tax no longer being creditable in the U.S. for the foreseeable future. See Note 9 for additional information.</w:t>
      </w:r>
    </w:p>
    <w:p>
      <w:pPr>
        <w:spacing w:after="0" w:line="5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the first quarters of 2022 and 2021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00"/>
        </w:trPr>
        <w:tc>
          <w:tcPr>
            <w:tcW w:w="888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0"/>
        </w:trPr>
        <w:tc>
          <w:tcPr>
            <w:tcW w:w="8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19"/>
                <w:szCs w:val="19"/>
                <w:color w:val="auto"/>
              </w:rPr>
            </w:pPr>
          </w:p>
        </w:tc>
      </w:tr>
      <w:tr>
        <w:trPr>
          <w:trHeight w:val="234"/>
        </w:trPr>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80" w:type="dxa"/>
            <w:vAlign w:val="bottom"/>
            <w:tcBorders>
              <w:bottom w:val="single" w:sz="8" w:color="auto"/>
            </w:tcBorders>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 net of relief</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8880" w:type="dxa"/>
            <w:vAlign w:val="bottom"/>
            <w:tcBorders>
              <w:bottom w:val="single" w:sz="8" w:color="auto"/>
            </w:tcBorders>
          </w:tcPr>
          <w:p>
            <w:pPr>
              <w:ind w:left="460"/>
              <w:spacing w:after="0" w:line="234"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net of costs associated with the sale of the Lake Zurich manufacturing facility assets</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8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 and other</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8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internal control over financial reporting</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81"/>
        </w:trPr>
        <w:tc>
          <w:tcPr>
            <w:tcW w:w="88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Stock compensation expense associated with the fair value remeasurement of awards granted at the time of the 2020</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8"/>
        </w:trPr>
        <w:tc>
          <w:tcPr>
            <w:tcW w:w="8880" w:type="dxa"/>
            <w:vAlign w:val="bottom"/>
            <w:shd w:val="clear" w:color="auto" w:fill="CCEEFF"/>
          </w:tcPr>
          <w:p>
            <w:pPr>
              <w:ind w:left="360"/>
              <w:spacing w:after="0" w:line="237" w:lineRule="exact"/>
              <w:rPr>
                <w:sz w:val="20"/>
                <w:szCs w:val="20"/>
                <w:color w:val="auto"/>
              </w:rPr>
            </w:pPr>
            <w:r>
              <w:rPr>
                <w:rFonts w:ascii="Times New Roman" w:cs="Times New Roman" w:eastAsia="Times New Roman" w:hAnsi="Times New Roman"/>
                <w:sz w:val="18"/>
                <w:szCs w:val="18"/>
                <w:color w:val="auto"/>
              </w:rPr>
              <w:t>special dividend</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8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Films business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8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 of goods sold” in the condensed consolidated statements of income.</w:t>
      </w:r>
    </w:p>
    <w:p>
      <w:pPr>
        <w:ind w:left="180" w:right="120" w:hanging="154"/>
        <w:spacing w:after="0" w:line="216" w:lineRule="auto"/>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$50 million contribution made to the pension plan ("Special Contribution") (see “Corporate Expenses, Interest, &amp; Other” section of this report),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2022,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which is used to compute certain borrowing ratios.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at one-month LIBOR plus a credit spread: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3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338"/>
        </w:trPr>
        <w:tc>
          <w:tcPr>
            <w:tcW w:w="474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Operations Review</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7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2"/>
                <w:szCs w:val="22"/>
                <w:color w:val="auto"/>
              </w:rPr>
            </w:pP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43"/>
        </w:trPr>
        <w:tc>
          <w:tcPr>
            <w:tcW w:w="7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(3.1)%</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158,110</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118,125</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(3.2)%</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340"/>
        <w:spacing w:after="0" w:line="234" w:lineRule="auto"/>
        <w:rPr>
          <w:sz w:val="20"/>
          <w:szCs w:val="20"/>
          <w:color w:val="auto"/>
        </w:rPr>
      </w:pPr>
      <w:r>
        <w:rPr>
          <w:rFonts w:ascii="Times New Roman" w:cs="Times New Roman" w:eastAsia="Times New Roman" w:hAnsi="Times New Roman"/>
          <w:sz w:val="18"/>
          <w:szCs w:val="18"/>
          <w:color w:val="auto"/>
        </w:rPr>
        <w:t>*See the table in Note 10, "Business Segments," of this Form 10-Q ("Note 10") for a reconciliation of this non-GAAP measure to the most comparable measure calculated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2022 Results vs. First Quarter 2021 Results</w:t>
      </w:r>
    </w:p>
    <w:p>
      <w:pPr>
        <w:spacing w:after="0" w:line="10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Net sales (sales less freight) in the first quarter of 2022 increased by 33.8% versus 2021 primarily due to an increase in average selling prices to cover significantly higher aluminum raw material costs and higher operating costs, partially offset by lower sales volume. Sales volume in the first quarter of 2022 decreased by 3.1% versus 2021. Sales volume in the specialty market, which represented 34% of total volume in 2021, decreased 5.2% in the first quarter of 2022 versus 2021. Sales volume in the automotive market, which represented 8% of total volume in 2021, declined 20.0% versus the first quarter of 2021. Non-residential B&amp;C sales volume, which represented 51% of 2021 volume, increased 1.3% in the first quarter of 2022 versus 2021. Strong market demand in this sector has not been fully reflected in Bonnell Aluminum's first quarter 2022 results, due to pandemic-related labor shortages and resulting production inefficiencies. While the average number of direct labor employees at Bonnell Aluminum facilities increased approximately 5% and 3% in the first quarter of 2022 compared to the first and fourth quarters of 2021, respectively, the estimated average labor shortage levels was 143, 133 and 147 workers in the first quarter of 2022 and first and fourth quarters of 2021, respectively. Moreover, onboarding new employees has resulted in higher hiring and training costs in 2022 versus last year. However, current bookings and backlog remain at record high levels.</w:t>
      </w:r>
    </w:p>
    <w:p>
      <w:pPr>
        <w:spacing w:after="0" w:line="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2022 increased by $10.6 million in comparison to the first quarter of 2021 primarily due to:</w:t>
      </w:r>
    </w:p>
    <w:p>
      <w:pPr>
        <w:spacing w:after="0" w:line="104" w:lineRule="exact"/>
        <w:rPr>
          <w:sz w:val="20"/>
          <w:szCs w:val="20"/>
          <w:color w:val="auto"/>
        </w:rPr>
      </w:pPr>
    </w:p>
    <w:p>
      <w:pPr>
        <w:ind w:left="660" w:right="28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pricing ($14.7 million, net of the pass-through of aluminum raw material costs), partially offset by: lower volume ($0.4 million); higher labor and employee-related costs ($1.3 million) and lower labor productivity ($1.1 million); higher maintenance costs ($1.1 million); higher supply expense, including significant price increases in paint, chemicals, packaging and other supplies ($3.8 million); higher freight rates ($1.1 million); and increased selling, general and administrative expenses ($1.5 million); and</w:t>
      </w:r>
    </w:p>
    <w:p>
      <w:pPr>
        <w:spacing w:after="0" w:line="58"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 through under the first-in first-out method of aluminum raw material costs passed through to customers, previously acquired at lower prices in a quickly rising commodity pricing environment, resulted in a benefit of $7.1 million in the first quarter of 2022 versus a benefit of $1.0 million in the first quarter of 2021. The benefit in the first quarter of 2022 was net of an adverse impact from the lag in pricing ($1.8 million), in which products promised to customers at a specified price were shipped in a later period.</w:t>
      </w:r>
    </w:p>
    <w:p>
      <w:pPr>
        <w:spacing w:after="0" w:line="45"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Aluminum Extrusions believes that it has adequate supply agreements for aluminum raw materials in 2022 and is in the process of securing supply sources to meet expected needs in 2023.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$31 million in 2022, including $15 million for new enterprise resource planning and manufacturing execution systems ("ERP/MES"), $6 million for infrastructure upgrades at the facilities located in Niles, Michigan, Carthage, Tennessee and Newnan, Georgia and $3 million for other strategic projects. The ERP/MES project is expected to cost $28 million over a two-year time span. In addition to strategic projects, approximately $7 million will be required to support continuity of current operations. Depreciation expense is projected to be $14 million in 2022. Amortization expense is projected to be $2 million in 2022.</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1"/>
        </w:trPr>
        <w:tc>
          <w:tcPr>
            <w:tcW w:w="7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80" w:type="dxa"/>
            <w:vAlign w:val="bottom"/>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43"/>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10,553</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3.0%</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31,131</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27,953</w:t>
            </w:r>
          </w:p>
        </w:tc>
        <w:tc>
          <w:tcPr>
            <w:tcW w:w="1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11.4%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(2.3)%</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5,452</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(5.9)%</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820" w:firstLine="18"/>
        <w:spacing w:after="0" w:line="404" w:lineRule="auto"/>
        <w:rPr>
          <w:sz w:val="20"/>
          <w:szCs w:val="20"/>
          <w:color w:val="auto"/>
        </w:rPr>
      </w:pPr>
      <w:r>
        <w:rPr>
          <w:rFonts w:ascii="Times New Roman" w:cs="Times New Roman" w:eastAsia="Times New Roman" w:hAnsi="Times New Roman"/>
          <w:sz w:val="18"/>
          <w:szCs w:val="18"/>
          <w:color w:val="auto"/>
        </w:rPr>
        <w:t xml:space="preserve">* See the table in Note 10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First Quarter 2022 Results vs. First Quarter 2021 Results</w:t>
      </w: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Net sales increased by $3.2 million in the first quarter of 2022 versus the first quarter of 2021 primarily due to higher volume in Surface Protection and higher selling prices for overwrap films. Sales volume in Surface Protection increased 5% versus the first quarter of 2021.</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2022 decreased by $0.2 million versus the first quarter of 2021, primarily due to:</w:t>
      </w:r>
    </w:p>
    <w:p>
      <w:pPr>
        <w:spacing w:after="0" w:line="104" w:lineRule="exact"/>
        <w:rPr>
          <w:sz w:val="20"/>
          <w:szCs w:val="20"/>
          <w:color w:val="auto"/>
        </w:rPr>
      </w:pPr>
    </w:p>
    <w:p>
      <w:pPr>
        <w:ind w:left="660" w:right="2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decrease from Surface Protection associated with lower sales related to previously disclosed customer product transitions ($1.5 million), competitive pricing pressures for products unrelated to the customer product transitions ($1.4 million) and higher freight expense ($0.2 million), partially offset by higher volume, favorable mix ($1.0 million) and the pass-through lag associated with resin costs (benefit of $0.6 million in the first quarter of 2022 vs. charge of $0.5 million in the first quarter of 2021); and</w:t>
      </w:r>
    </w:p>
    <w:p>
      <w:pPr>
        <w:spacing w:after="0" w:line="58"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increase from overwrap films primarily related to a benefit from the pass-through lag associated with resin costs (benefit of $0.3 million in the first quarter of 2022 versus a charge of $0.3 million in the first quarter of 2021) and favorable selling, general and administrative expenses ($0.4 million), partially offset by unfavorable mix ($0.2 million).</w:t>
      </w:r>
    </w:p>
    <w:p>
      <w:pPr>
        <w:spacing w:after="0" w:line="39" w:lineRule="exact"/>
        <w:rPr>
          <w:sz w:val="20"/>
          <w:szCs w:val="20"/>
          <w:color w:val="auto"/>
        </w:rPr>
      </w:pPr>
    </w:p>
    <w:p>
      <w:pPr>
        <w:ind w:right="900" w:firstLine="405"/>
        <w:spacing w:after="0" w:line="361"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color w:val="auto"/>
        </w:rPr>
        <w:t>Customer Product Transitions and Other Factors in Surface Protection</w:t>
      </w:r>
    </w:p>
    <w:p>
      <w:pPr>
        <w:ind w:left="420"/>
        <w:spacing w:after="0"/>
        <w:rPr>
          <w:sz w:val="20"/>
          <w:szCs w:val="20"/>
          <w:color w:val="auto"/>
        </w:rPr>
      </w:pPr>
      <w:r>
        <w:rPr>
          <w:rFonts w:ascii="Times New Roman" w:cs="Times New Roman" w:eastAsia="Times New Roman" w:hAnsi="Times New Roman"/>
          <w:sz w:val="18"/>
          <w:szCs w:val="18"/>
          <w:color w:val="auto"/>
        </w:rPr>
        <w:t>The Surface Protection component of PE Films supports manufacturers of optical and other specialty substrates used in flat panel display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films are primarily used by customers to protect components of displays in the manufacturing and transportation processes and then discarded.</w:t>
      </w:r>
    </w:p>
    <w:p>
      <w:pPr>
        <w:spacing w:after="0" w:line="7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previously reported the risk that a portion of its film products used in surface protection applications would be made obsolete by customer product transitions to less costly alternative processes or materials. The Company estimates that these transitions, which principally relate to one customer, adversely impacted pre-tax income from continuing operations as reported under GAAP and EBITDA from ongoing operations for PE Films by $14.8 million during 2021 versus 2020. A total decline of $7 million in pre-tax income from continuing operations as reported under GAAP and EBITDA from ongoing operations due to the transitions is expected in 2022 versus 2021, at which time the transitions are expected to be complete.</w:t>
      </w:r>
    </w:p>
    <w:p>
      <w:pPr>
        <w:spacing w:after="0" w:line="6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Surface Protection business is also experiencing competitive pricing pressures, unrelated to the customer product transitions, that are expected to adversely impact pre-tax income from continuing operations as reported under GAAP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ind w:right="60"/>
        <w:spacing w:after="0" w:line="255" w:lineRule="auto"/>
        <w:rPr>
          <w:sz w:val="20"/>
          <w:szCs w:val="20"/>
          <w:color w:val="auto"/>
        </w:rPr>
      </w:pPr>
      <w:r>
        <w:rPr>
          <w:rFonts w:ascii="Times New Roman" w:cs="Times New Roman" w:eastAsia="Times New Roman" w:hAnsi="Times New Roman"/>
          <w:sz w:val="18"/>
          <w:szCs w:val="18"/>
          <w:color w:val="auto"/>
        </w:rPr>
        <w:t>EBITDA from ongoing operations by approximately $6 million for full year 2022 versus 2021. To offset the expected adverse impact of the customer transitions and pricing pressures, the Company is aggressively pursuing and making progress in generating contribution from sales of new surface protection products, applications and customers and driving production efficiencies and cost savings. Annual contribution to pre-tax income from continuing operations as reported under GAAP and EBITDA from ongoing operations for PE Films from sales of products unrelated to previously disclosed customer product transitions increased $7 million for the two-year period ended December 31, 2021, which excludes the impact of resin pass-through lag but includes the adverse impact of customer inventory corrections, customer production slowdowns associated with COVID-19-related factors, and a slowdown in the television market in the fourth quarter of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$5 million in 2022, including $2 million for productivity projects and $3 million for capital expenditures required to support continuity of current operations. Depreciation expense is projected to be $7 million in 2022. There is no amortization expense for PE Films.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Packaging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30"/>
        </w:trPr>
        <w:tc>
          <w:tcPr>
            <w:tcW w:w="7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3"/>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48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26,005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27,408</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(5.1)%</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39,244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32,521</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See the table in Note 10 for a reconciliation of this non-GAAP measure to the most comparable measure calculated in accordance with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2022 Results vs. First Quarter 2021 Results</w:t>
      </w:r>
    </w:p>
    <w:p>
      <w:pPr>
        <w:spacing w:after="0" w:line="9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Sales volume declined by 5.1% during the first quarter of 2022 versus the first quarter of 2021, which reflected the surge in pandemic-related demand. Net sales in the first quarter of 2022 increased 20.7% compared to the first quarter of 2021, primarily due to higher selling prices from the pass-through of higher resin costs and favorable product mix, partially offset by lower sales volume.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2022 decreased by $4.6 million versus the first quarter of 2021 primarily due to:</w:t>
      </w:r>
    </w:p>
    <w:p>
      <w:pPr>
        <w:spacing w:after="0" w:line="104" w:lineRule="exact"/>
        <w:rPr>
          <w:sz w:val="20"/>
          <w:szCs w:val="20"/>
          <w:color w:val="auto"/>
        </w:rPr>
      </w:pPr>
    </w:p>
    <w:p>
      <w:pPr>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raw material costs ($6.0 million), higher variable costs ($1.6 million) and lower sales volume ($0.8 million), partially offset by higher selling prices ($4.9 million) from the pass-through of higher resin costs, favorable absorption of fixed costs ($0.4 million) and favorable product mix ($0.3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($0.3 million); and</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($0.9 million) in the first quarter of 2022 compared to foreign currency transaction gains ($0.4 million) in the first quarter of 2021.</w:t>
      </w:r>
    </w:p>
    <w:p>
      <w:pPr>
        <w:spacing w:after="0" w:line="38"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polyester fiber and component price trends.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Flexible Packaging Films are projected to be $8 million in 2022, including $4 million for new capacity for value-added products and productivity projects and $4 million for capital expenditures required to support continuity of current operations. Depreciation expense is projected to be $2 million in 2022. Amortization expense is projected to be $0.4 million in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121"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Corporate expenses, net in the first three months of 2022 remained consistent with the first three months of 2021 as lower stock-based compensation ($0.8 million) was substantially offset by higher professional fees associated with remediation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activities related to the Company's previously disclosed material weaknesses in internal control over financial reporting ($0.3 million), non-recurring 2021 transition service fee income, net of corporate costs associated with the divested Personal Care Films business ($0.3 million) and higher professional fees associated with business development activities ($0.1 million).</w:t>
      </w:r>
    </w:p>
    <w:p>
      <w:pPr>
        <w:spacing w:after="0" w:line="5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Interest expense of $0.8 million in the first three months of 2022 remained consistent with the first three months of 2021 as lower average debt levels were offset by higher average interest rates.</w:t>
      </w:r>
    </w:p>
    <w:p>
      <w:pPr>
        <w:spacing w:after="0" w:line="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Pension expense under GAAP of $3.5 million in the first three months of 2022 remained consistent with the first three months of 2021. On February 10, 2022, Tredegar announced the initiation of a process to terminate and settle its frozen defined benefit pension plan, which could take up to 24 months to complete. In connection therewith, the Company borrowed funds under its revolving credit agreement and made a $50 million contribution to the pension plan (the “Special Contribution”) to reduce its underfunding and as part of a program within the pension plan to hedge or fix the expected future contributions that will be needed by the Company through the settlement process. The Company expects to realize income tax cash benefits on the Special Contribution of approximately $11 million in 2022. Administrative costs for the pension plan through the settlement process are estimated at $4 to $5 million.</w:t>
      </w:r>
    </w:p>
    <w:p>
      <w:pPr>
        <w:spacing w:after="0" w:line="6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Tredegar’s frozen defined benefit pension plan was underfunded on a GAAP basis by $69 million at December 31, 2021, comprised of investments at fair value of $245 million and a projected benefit obligation (“PBO”) of $314 million. GAAP accounting requires adjustment for changes in values of assets and the PBO only at the end of each year, even though these values change daily. The Company estimates that the Special Contribution and changes to the values of pension plan assets and liabilities resulted in a decrease in the underfunding on a GAAP basis from $69 million at December 31, 2021 to approximately $13 million at March 31, 2022. The ultimate settlement benefit obligation may differ from the PBO, depending on market factors for buyers of pension obligations at the time of settlement.</w:t>
      </w:r>
    </w:p>
    <w:p>
      <w:pPr>
        <w:spacing w:after="0" w:line="6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Prior to the Special Contribution,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2022,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0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continuing operations from December 31, 2021 to March 31, 2022 are summarized below. Cash flows for discontinued operations have not been separately disclosed in the condensed consolidated statements of cash flows.</w:t>
      </w:r>
    </w:p>
    <w:p>
      <w:pPr>
        <w:spacing w:after="0" w:line="45"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$26.2 million (25.4%).</w:t>
      </w:r>
    </w:p>
    <w:p>
      <w:pPr>
        <w:spacing w:after="0" w:line="103" w:lineRule="exact"/>
        <w:rPr>
          <w:rFonts w:ascii="Times New Roman" w:cs="Times New Roman" w:eastAsia="Times New Roman" w:hAnsi="Times New Roman"/>
          <w:sz w:val="18"/>
          <w:szCs w:val="18"/>
          <w:color w:val="auto"/>
        </w:rPr>
      </w:pPr>
    </w:p>
    <w:p>
      <w:pPr>
        <w:ind w:left="820" w:right="40" w:hanging="407"/>
        <w:spacing w:after="0" w:line="261" w:lineRule="auto"/>
        <w:tabs>
          <w:tab w:leader="none" w:pos="816" w:val="left"/>
        </w:tabs>
        <w:numPr>
          <w:ilvl w:val="1"/>
          <w:numId w:val="1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Aluminum Extrusions increased by $20.1 million primarily due to an increase in average selling prices to cover significantly higher aluminum raw material costs and higher operating costs, partially offset by lower sales volume. DSO (represents trailing 12 months net sales divided by a rolling 12-month average of accounts and other receivables balances) was approximately 48.2 days for the 12 months ended March 31, 2022 and 47.6 days for the 12 months ended December 31, 2021.</w:t>
      </w:r>
    </w:p>
    <w:p>
      <w:pPr>
        <w:spacing w:after="0" w:line="58" w:lineRule="exact"/>
        <w:rPr>
          <w:rFonts w:ascii="Times New Roman" w:cs="Times New Roman" w:eastAsia="Times New Roman" w:hAnsi="Times New Roman"/>
          <w:sz w:val="18"/>
          <w:szCs w:val="18"/>
          <w:color w:val="auto"/>
          <w:strike w:val="1"/>
        </w:rPr>
      </w:pPr>
    </w:p>
    <w:p>
      <w:pPr>
        <w:ind w:left="820" w:right="380" w:hanging="407"/>
        <w:spacing w:after="0" w:line="266"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increased by $1.9 million due to higher volume in Surface Protection and the timing of cash receipts. DSO was approximately 27.9 days for the 12 months ended March 31, 2022 and 28.5 days for the 12 months ended December 31, 2021.</w:t>
      </w:r>
    </w:p>
    <w:p>
      <w:pPr>
        <w:spacing w:after="0" w:line="40" w:lineRule="exact"/>
        <w:rPr>
          <w:rFonts w:ascii="Times New Roman" w:cs="Times New Roman" w:eastAsia="Times New Roman" w:hAnsi="Times New Roman"/>
          <w:sz w:val="18"/>
          <w:szCs w:val="18"/>
          <w:color w:val="auto"/>
        </w:rPr>
      </w:pPr>
    </w:p>
    <w:p>
      <w:pPr>
        <w:ind w:left="820" w:right="260" w:hanging="407"/>
        <w:spacing w:after="0" w:line="266" w:lineRule="auto"/>
        <w:tabs>
          <w:tab w:leader="none" w:pos="816" w:val="left"/>
        </w:tabs>
        <w:numPr>
          <w:ilvl w:val="1"/>
          <w:numId w:val="1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Flexible Packaging Films increased by $4.3 million primarily due to higher selling prices from the pass-through of higher resin costs and favorable product mix, partially offset by lower sales volume. DSO was approximately 41.4 days for the 12 months ended March 31, 2022 and 40.0 days for the 12 months ended December 31, 2021.</w:t>
      </w:r>
    </w:p>
    <w:p>
      <w:pPr>
        <w:spacing w:after="0" w:line="54" w:lineRule="exact"/>
        <w:rPr>
          <w:rFonts w:ascii="Times New Roman" w:cs="Times New Roman" w:eastAsia="Times New Roman" w:hAnsi="Times New Roman"/>
          <w:sz w:val="18"/>
          <w:szCs w:val="18"/>
          <w:color w:val="auto"/>
          <w:strike w:val="1"/>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$16.0 million (18.1%).</w:t>
      </w:r>
    </w:p>
    <w:p>
      <w:pPr>
        <w:spacing w:after="0" w:line="103" w:lineRule="exact"/>
        <w:rPr>
          <w:rFonts w:ascii="Times New Roman" w:cs="Times New Roman" w:eastAsia="Times New Roman" w:hAnsi="Times New Roman"/>
          <w:sz w:val="18"/>
          <w:szCs w:val="18"/>
          <w:color w:val="auto"/>
        </w:rPr>
      </w:pPr>
    </w:p>
    <w:p>
      <w:pPr>
        <w:ind w:left="820" w:right="180" w:hanging="407"/>
        <w:spacing w:after="0" w:line="261"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by $8.1 million due to higher average aluminum prices and the impact of COVID-19-related operational and production inefficiencies on the timing of shipments. DIO (represents trailing 12 months costs of goods sold calculated on a first-in first-out basis divided by a rolling 12-month average of inventory balances calculated on the first-in first-out basis) was approximately 43.9 days for the 12 months ended March 31, 2022 and 41.4 days for the 12 months ended December 31, 2021.</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6" w:name="page27"/>
    <w:bookmarkEnd w:id="26"/>
    <w:p>
      <w:pPr>
        <w:ind w:left="820" w:hanging="407"/>
        <w:spacing w:after="0" w:line="266"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increased $1.2 million due to higher planned raw material levels. DIO (represents trailing 12 months costs of goods sold calculated on a first-in first-out basis divided by a rolling 12-month average of inventory balances calculated on the first-in first-out basis) was approximately 59.2 days for the 12 months ended March 31, 2022 and 62.8 days for the 12 months ended December 31, 2021.</w:t>
      </w:r>
    </w:p>
    <w:p>
      <w:pPr>
        <w:spacing w:after="0" w:line="27" w:lineRule="exact"/>
        <w:rPr>
          <w:rFonts w:ascii="Times New Roman" w:cs="Times New Roman" w:eastAsia="Times New Roman" w:hAnsi="Times New Roman"/>
          <w:sz w:val="18"/>
          <w:szCs w:val="18"/>
          <w:color w:val="auto"/>
        </w:rPr>
      </w:pPr>
    </w:p>
    <w:p>
      <w:pPr>
        <w:ind w:left="820" w:right="240" w:hanging="407"/>
        <w:spacing w:after="0" w:line="250"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increased by $6.7 million primarily due to the impact of higher average resin prices on raw materials and higher finished good levels due to lower than anticipated sales demand. DIO was approximately 95.0 days for the 12 months ended March 31, 2022 and 93.1 days for the 12 months ended December 31, 2021.</w:t>
      </w:r>
    </w:p>
    <w:p>
      <w:pPr>
        <w:spacing w:after="0" w:line="68"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increased $2.2 million primarily due to capital expenditures of $4.7 million and a change in the value of the U.S. dollar relative to foreign currencies (an increase of approximately $3.5 million), partially offset by depreciation expense of $5.8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by $0.5 million (3.7%) due to amortization expense.</w:t>
      </w:r>
    </w:p>
    <w:p>
      <w:pPr>
        <w:spacing w:after="0" w:line="103" w:lineRule="exact"/>
        <w:rPr>
          <w:rFonts w:ascii="Times New Roman" w:cs="Times New Roman" w:eastAsia="Times New Roman" w:hAnsi="Times New Roman"/>
          <w:sz w:val="18"/>
          <w:szCs w:val="18"/>
          <w:color w:val="auto"/>
        </w:rPr>
      </w:pPr>
    </w:p>
    <w:p>
      <w:pPr>
        <w:ind w:left="420" w:right="100" w:hanging="412"/>
        <w:spacing w:after="0" w:line="261"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assets decreased $4.3 million during the first quarter of 2022 compared to December 31, 2021 primarily due to changes in other comprehensive income and the projected utilization of foreign tax credits partially offset by the change in the deferred tax liability as a result of the implementation of new U.S. tax regulations associated with foreign tax credits published by the U.S. Treasury and Internal Revenue Service on January 4, 2022. See Note 9 for additional information.</w:t>
      </w:r>
    </w:p>
    <w:p>
      <w:pPr>
        <w:spacing w:after="0" w:line="5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$20.8 million (16.8%).</w:t>
      </w:r>
    </w:p>
    <w:p>
      <w:pPr>
        <w:spacing w:after="0" w:line="90" w:lineRule="exact"/>
        <w:rPr>
          <w:rFonts w:ascii="Times New Roman" w:cs="Times New Roman" w:eastAsia="Times New Roman" w:hAnsi="Times New Roman"/>
          <w:sz w:val="18"/>
          <w:szCs w:val="18"/>
          <w:color w:val="auto"/>
        </w:rPr>
      </w:pPr>
    </w:p>
    <w:p>
      <w:pPr>
        <w:ind w:left="820" w:right="260" w:hanging="407"/>
        <w:spacing w:after="0" w:line="289" w:lineRule="auto"/>
        <w:tabs>
          <w:tab w:leader="none" w:pos="81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payable in Aluminum Extrusions increased by $15.7 million primarily due to higher average aluminum prices. DPO (represents trailing 12 months costs of goods sold calculated on a first-in first-out basis divided by a rolling 12-month average of accounts payable balances) was approximately 61.0 days for the 12 months ended March 31, 2022 and 60.1 days for the 12 months ended December 31, 2021.</w:t>
      </w:r>
    </w:p>
    <w:p>
      <w:pPr>
        <w:spacing w:after="0" w:line="36" w:lineRule="exact"/>
        <w:rPr>
          <w:rFonts w:ascii="Times New Roman" w:cs="Times New Roman" w:eastAsia="Times New Roman" w:hAnsi="Times New Roman"/>
          <w:sz w:val="17"/>
          <w:szCs w:val="17"/>
          <w:color w:val="auto"/>
        </w:rPr>
      </w:pPr>
    </w:p>
    <w:p>
      <w:pPr>
        <w:ind w:left="820" w:right="640" w:hanging="407"/>
        <w:spacing w:after="0" w:line="282"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by $2.8 million primarily due to higher resin costs related to raw material purchases. DPO was approximately 47.0 days for the 12 months ended March 31, 2022 and 44.0 days for the 12 months ended December 31, 2021.</w:t>
      </w:r>
    </w:p>
    <w:p>
      <w:pPr>
        <w:spacing w:after="0" w:line="40"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increased $3.0 million due to higher resin costs related to raw material purchases and the impact from the change in the U.S. dollar value of currencies related to operations outside of the U.S. DPO was approximately 69.2 days for the 12 months ended March 31, 2022 and 68.2 days for the 12 months ended December 31, 2021.</w:t>
      </w:r>
    </w:p>
    <w:p>
      <w:pPr>
        <w:spacing w:after="0" w:line="4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$54.7 million in the first three months of 2022 compared to net cash provided by operating activities of $9.9 million in the first three months of 2021. The change in operating activities is primarily due to the Special Contribution ($50 million) to the pension plan and lower net working capital ($16.0 million).</w:t>
      </w:r>
    </w:p>
    <w:p>
      <w:pPr>
        <w:spacing w:after="0" w:line="5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during the first three months of 2022 compared to the first three months of 2021 due to lower capital expenditure spending ($0.2 million).</w:t>
      </w:r>
    </w:p>
    <w:p>
      <w:pPr>
        <w:spacing w:after="0" w:line="40"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$53.8 million in the first three months of 2022, compared to $5.9 million in the first three months of 2021, increased primarily due to higher net borrowings ($49.3 million) under the Credit Agreement (as defined below) to fund the $50 million Special Contribution to the pension plan.</w:t>
      </w:r>
    </w:p>
    <w:p>
      <w:pPr>
        <w:spacing w:after="0" w:line="4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debt repayments and dividend requirements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5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At March 31, 2022, the Company had cash and cash equivalents of $25.6 million, including cash and cash equivalents held by locations outside the U.S. of $8.4 million.</w:t>
      </w:r>
    </w:p>
    <w:p>
      <w:pPr>
        <w:spacing w:after="0" w:line="4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Tredegar has a five-year secured revolving credit agreement (the “Credit Agreement”) providing for aggregate borrowings in an amount of $375 million, which matures in June 2024.</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t>Net capitalization and indebtedness as defined under the Credit Agreement as of March 31, 2022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20" w:type="dxa"/>
            <w:vAlign w:val="bottom"/>
            <w:tcBorders>
              <w:top w:val="single" w:sz="8" w:color="auto"/>
            </w:tcBorders>
          </w:tcPr>
          <w:p>
            <w:pPr>
              <w:spacing w:after="0"/>
              <w:rPr>
                <w:sz w:val="21"/>
                <w:szCs w:val="21"/>
                <w:color w:val="auto"/>
              </w:rPr>
            </w:pPr>
          </w:p>
        </w:tc>
        <w:tc>
          <w:tcPr>
            <w:tcW w:w="6840" w:type="dxa"/>
            <w:vAlign w:val="bottom"/>
            <w:tcBorders>
              <w:top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Net Capitalization and Indebtedness as of March 31, 2022</w:t>
            </w:r>
          </w:p>
        </w:tc>
        <w:tc>
          <w:tcPr>
            <w:tcW w:w="980" w:type="dxa"/>
            <w:vAlign w:val="bottom"/>
            <w:tcBorders>
              <w:top w:val="single" w:sz="8" w:color="auto"/>
            </w:tcBorders>
          </w:tcPr>
          <w:p>
            <w:pPr>
              <w:spacing w:after="0"/>
              <w:rPr>
                <w:sz w:val="21"/>
                <w:szCs w:val="21"/>
                <w:color w:val="auto"/>
              </w:rPr>
            </w:pPr>
          </w:p>
        </w:tc>
      </w:tr>
      <w:tr>
        <w:trPr>
          <w:trHeight w:val="234"/>
        </w:trPr>
        <w:tc>
          <w:tcPr>
            <w:tcW w:w="342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tcPr>
          <w:p>
            <w:pPr>
              <w:jc w:val="right"/>
              <w:ind w:right="403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r>
      <w:tr>
        <w:trPr>
          <w:trHeight w:val="230"/>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Credit Agreement</w:t>
            </w:r>
          </w:p>
        </w:tc>
        <w:tc>
          <w:tcPr>
            <w:tcW w:w="6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131,250</w:t>
            </w:r>
          </w:p>
        </w:tc>
      </w:tr>
      <w:tr>
        <w:trPr>
          <w:trHeight w:val="223"/>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net of cash and cash equivalents</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105,602</w:t>
            </w:r>
          </w:p>
        </w:tc>
      </w:tr>
      <w:tr>
        <w:trPr>
          <w:trHeight w:val="229"/>
        </w:trPr>
        <w:tc>
          <w:tcPr>
            <w:tcW w:w="3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6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211,868</w:t>
            </w:r>
          </w:p>
        </w:tc>
      </w:tr>
      <w:tr>
        <w:trPr>
          <w:trHeight w:val="230"/>
        </w:trPr>
        <w:tc>
          <w:tcPr>
            <w:tcW w:w="3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capitalization</w:t>
            </w:r>
          </w:p>
        </w:tc>
        <w:tc>
          <w:tcPr>
            <w:tcW w:w="68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317,470</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Indebtedness as defined in Credit Agreement:</w:t>
            </w:r>
          </w:p>
        </w:tc>
        <w:tc>
          <w:tcPr>
            <w:tcW w:w="6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68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131,250</w:t>
            </w:r>
          </w:p>
        </w:tc>
      </w:tr>
      <w:tr>
        <w:trPr>
          <w:trHeight w:val="230"/>
        </w:trPr>
        <w:tc>
          <w:tcPr>
            <w:tcW w:w="3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Indebtedness</w:t>
            </w:r>
          </w:p>
        </w:tc>
        <w:tc>
          <w:tcPr>
            <w:tcW w:w="6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131,250</w:t>
            </w:r>
          </w:p>
        </w:tc>
      </w:tr>
    </w:tbl>
    <w:p>
      <w:pPr>
        <w:spacing w:after="0" w:line="157"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of LIBOR plus a credit spread and commitment fees charged on the unused amount under the Credit Agreement at various indebtedness-to-Credit EBITDA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00" w:type="dxa"/>
            <w:vAlign w:val="bottom"/>
            <w:tcBorders>
              <w:top w:val="single" w:sz="8" w:color="auto"/>
            </w:tcBorders>
          </w:tcPr>
          <w:p>
            <w:pPr>
              <w:spacing w:after="0"/>
              <w:rPr>
                <w:sz w:val="14"/>
                <w:szCs w:val="14"/>
                <w:color w:val="auto"/>
              </w:rPr>
            </w:pPr>
          </w:p>
        </w:tc>
        <w:tc>
          <w:tcPr>
            <w:tcW w:w="420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Credit Spread</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Indebtedness-to-Credit EBITDA Ratio</w:t>
            </w:r>
          </w:p>
        </w:tc>
        <w:tc>
          <w:tcPr>
            <w:tcW w:w="4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Over LIBOR</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3.5x but &lt;= 4.0x</w:t>
            </w:r>
          </w:p>
        </w:tc>
        <w:tc>
          <w:tcPr>
            <w:tcW w:w="4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 3.0x but &lt;= 3.5x</w:t>
            </w:r>
          </w:p>
        </w:tc>
        <w:tc>
          <w:tcPr>
            <w:tcW w:w="4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 2.0x but &lt;= 3.0x</w:t>
            </w:r>
          </w:p>
        </w:tc>
        <w:tc>
          <w:tcPr>
            <w:tcW w:w="4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 1.0x but &lt;= 2.0x</w:t>
            </w:r>
          </w:p>
        </w:tc>
        <w:tc>
          <w:tcPr>
            <w:tcW w:w="4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8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At March 31, 2022, the interest rate on debt under the Credit Agreement existing at that date was priced at one-month LIBOR plus the applicable credit spread of 150.0 basis points.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most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indebtedness-to-Credit EBITDA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Credit EBITDA-to-interest expense of 3.00x; and</w:t>
      </w:r>
    </w:p>
    <w:p>
      <w:pPr>
        <w:spacing w:after="0" w:line="90"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distributions to shareholders over the remaining term of the Credit Agreement of $75 million; provided, that if the Leverage Ratio of equal to or greater than 3.00x, a limitation on such payments for the succeeding quarter at the greater of (i) $4.75 million and (ii) 50% of consolidated net income for the most recent fiscal quarter.</w:t>
      </w:r>
    </w:p>
    <w:p>
      <w:pPr>
        <w:spacing w:after="0" w:line="5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is secured by substantially all of the Company’s and its domestic subsidiaries’ assets, including equity in certain material first-tier foreign subsidiaries. At March 31, 2022, based upon the most restrictive covenant within the Credit Agreement, available credit under the Credit Agreement was approximately $244 million. Total debt outstanding was $131 million and $73 million as of March 31, 2022 and December 31, 2021, respectively.</w:t>
      </w:r>
    </w:p>
    <w:p>
      <w:pPr>
        <w:spacing w:after="0" w:line="5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Credit EBITDA is not intended to represent net income (loss) or cash flow from operations as defined by GAAP and should not be considered as an alternative to either net income (loss) or to cash flow. The computations of Credit EBITDA and the leverage ratio and interest coverage ratio as defined in the Credit Agreement are presented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center"/>
        <w:spacing w:after="0" w:line="23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Computations of Credit EBITDA and Leverage Ratio and Interest Coverage Ratio as Defined in the Credit Agreement Along with Related Most Restrictive Covenants as of and for the Twelve Months Ended March 31,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Computation of Credit EBITDA for the twelve months ended March 31, 2022:</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30"/>
        </w:trPr>
        <w:tc>
          <w:tcPr>
            <w:tcW w:w="10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65,217</w:t>
            </w:r>
          </w:p>
        </w:tc>
      </w:tr>
      <w:tr>
        <w:trPr>
          <w:trHeight w:val="229"/>
        </w:trPr>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29"/>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30"/>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r>
      <w:tr>
        <w:trPr>
          <w:trHeight w:val="175"/>
        </w:trPr>
        <w:tc>
          <w:tcPr>
            <w:tcW w:w="101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6"/>
        </w:trPr>
        <w:tc>
          <w:tcPr>
            <w:tcW w:w="101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(cash-related</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of $9,753)</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30"/>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29"/>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175"/>
        </w:trPr>
        <w:tc>
          <w:tcPr>
            <w:tcW w:w="101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 classified as</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unusual, extraordinary or which are related to plant shutdowns, asset impairments and/or restructurings</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29"/>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r>
      <w:tr>
        <w:trPr>
          <w:trHeight w:val="230"/>
        </w:trPr>
        <w:tc>
          <w:tcPr>
            <w:tcW w:w="10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01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w:t>
            </w:r>
          </w:p>
        </w:tc>
      </w:tr>
      <w:tr>
        <w:trPr>
          <w:trHeight w:val="230"/>
        </w:trPr>
        <w:tc>
          <w:tcPr>
            <w:tcW w:w="10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 as defined in Credit Agreement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109,934</w:t>
            </w:r>
          </w:p>
        </w:tc>
      </w:tr>
      <w:tr>
        <w:trPr>
          <w:trHeight w:val="230"/>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Computations of leverage and interest coverage ratios as defined in the Credit Agreement at March 31, 2022: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Leverage ratio (indebtedness-to-Credit EBITDA)</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1.19x</w:t>
            </w:r>
          </w:p>
        </w:tc>
      </w:tr>
      <w:tr>
        <w:trPr>
          <w:trHeight w:val="229"/>
        </w:trPr>
        <w:tc>
          <w:tcPr>
            <w:tcW w:w="10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coverage ratio (Credit EBITDA-to-interest expense)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32.82x</w:t>
            </w:r>
          </w:p>
        </w:tc>
      </w:tr>
      <w:tr>
        <w:trPr>
          <w:trHeight w:val="230"/>
        </w:trPr>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Most restrictive covenants as defined in the Credit Agreement:</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101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Available balance of maximum permitted aggregate amount of dividends that can be paid by Tredegar during the remaining term of the</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Agreement ($75,000 minus $24,246 of dividends paid after December 1, 2020)</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50,754</w:t>
            </w:r>
          </w:p>
        </w:tc>
      </w:tr>
      <w:tr>
        <w:trPr>
          <w:trHeight w:val="229"/>
        </w:trPr>
        <w:tc>
          <w:tcPr>
            <w:tcW w:w="10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leverage ratio permitted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4.00x</w:t>
            </w:r>
          </w:p>
        </w:tc>
      </w:tr>
      <w:tr>
        <w:trPr>
          <w:trHeight w:val="237"/>
        </w:trPr>
        <w:tc>
          <w:tcPr>
            <w:tcW w:w="10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interest coverage ratio permitted</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3.00x</w:t>
            </w:r>
          </w:p>
        </w:tc>
      </w:tr>
    </w:tbl>
    <w:p>
      <w:pPr>
        <w:spacing w:after="0" w:line="306"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Tredegar was in compliance with all of its debt covenants as of March 31, 2022.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Credit Agreement.</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2"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77470</wp:posOffset>
            </wp:positionV>
            <wp:extent cx="5768975" cy="254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89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18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In certain situations, Aluminum Extrusions has index-based pass-through raw material cost arrangements with customers. However, under certain agreements, changes in aluminum prices are not passed through for a period of 90 days.</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637540</wp:posOffset>
            </wp:positionV>
            <wp:extent cx="5768975" cy="254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5768975" cy="254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right="680"/>
        <w:spacing w:after="0" w:line="256"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17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637540</wp:posOffset>
            </wp:positionV>
            <wp:extent cx="5768975" cy="254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20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28575</wp:posOffset>
            </wp:positionV>
            <wp:extent cx="5768975" cy="26574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5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w:t>
      </w:r>
    </w:p>
    <w:p>
      <w:pPr>
        <w:sectPr>
          <w:pgSz w:w="11900" w:h="16838" w:orient="portrait"/>
          <w:cols w:equalWidth="0" w:num="1">
            <w:col w:w="11040"/>
          </w:cols>
          <w:pgMar w:left="320" w:top="1440" w:right="5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type w:val="continuous"/>
        </w:sectPr>
      </w:pPr>
    </w:p>
    <w:bookmarkStart w:id="32" w:name="page33"/>
    <w:bookmarkEnd w:id="32"/>
    <w:p>
      <w:pPr>
        <w:ind w:right="40"/>
        <w:spacing w:after="0" w:line="282" w:lineRule="auto"/>
        <w:rPr>
          <w:sz w:val="20"/>
          <w:szCs w:val="20"/>
          <w:color w:val="auto"/>
        </w:rPr>
      </w:pPr>
      <w:r>
        <w:rPr>
          <w:rFonts w:ascii="Times New Roman" w:cs="Times New Roman" w:eastAsia="Times New Roman" w:hAnsi="Times New Roman"/>
          <w:sz w:val="18"/>
          <w:szCs w:val="18"/>
          <w:color w:val="auto"/>
        </w:rPr>
        <w:t>with a variety of economic variables impacting currency exchange rates, causes volatility that could negatively or positively impact EBITDA from ongoing operations for Flexible Packaging Films.</w:t>
      </w:r>
    </w:p>
    <w:p>
      <w:pPr>
        <w:spacing w:after="0" w:line="2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estimates annual net costs of R$150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5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Tredegar estimates that the impact on PE Films EBITDA from ongoing operations from the change in the value of foreign currencies relative to the U.S. Dollar was flat in the first quarter of 2022 compared with the first quarter of 2021.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5768975" cy="254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8"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w:t>
      </w:r>
    </w:p>
    <w:p>
      <w:pPr>
        <w:spacing w:after="0" w:line="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our disclosure controls and procedures (as defined under Rule 13a-15(e) and 15d-15(e) under the Exchange Act) as of March 31, 2022.</w:t>
      </w:r>
    </w:p>
    <w:p>
      <w:pPr>
        <w:spacing w:after="0" w:line="58"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March 31, 2022,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3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reporting and the preparation of financial statements for external purposes in accordance with GAAP and includes policies and procedures that:</w:t>
      </w:r>
    </w:p>
    <w:p>
      <w:pPr>
        <w:spacing w:after="0" w:line="90" w:lineRule="exact"/>
        <w:rPr>
          <w:sz w:val="20"/>
          <w:szCs w:val="20"/>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18"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the Company’s internal control over financial reporting as of December 31, 2021 using the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“2013 COSO Framework”). As a result of this evaluation, management concluded, as disclosed in the 2021 Form 10-K, that the Company’s internal control over financial reporting was not effective as of December 31, 2021, because of the material weaknesses in internal control over financial reporting discussed below.</w:t>
      </w:r>
    </w:p>
    <w:p>
      <w:pPr>
        <w:spacing w:after="0" w:line="44" w:lineRule="exact"/>
        <w:rPr>
          <w:sz w:val="20"/>
          <w:szCs w:val="20"/>
          <w:color w:val="auto"/>
        </w:rPr>
      </w:pPr>
    </w:p>
    <w:p>
      <w:pPr>
        <w:ind w:left="660" w:right="8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Control Environment: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 sufficient number of trained resources with assigned responsibility and accountability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operation and documentation of internal control over financial reporting in accordance with the 2013 COSO Framework.</w:t>
      </w:r>
    </w:p>
    <w:p>
      <w:pPr>
        <w:spacing w:after="0" w:line="3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Risk Assessment: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an effective risk assessment process to identify and evaluate at a sufficient level of detail all relevant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of material misstatement, including fraud risks.</w:t>
      </w:r>
    </w:p>
    <w:p>
      <w:pPr>
        <w:spacing w:after="0" w:line="33"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Information and Communication: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an effective information and communication process that identified and assessed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source of and controls necessary to ensure the reliability of information used in financial reporting and that communicates relevant information about roles and responsibilities for internal control over financial reporting.</w:t>
      </w:r>
    </w:p>
    <w:p>
      <w:pPr>
        <w:spacing w:after="0" w:line="35" w:lineRule="exact"/>
        <w:rPr>
          <w:rFonts w:ascii="Times New Roman" w:cs="Times New Roman" w:eastAsia="Times New Roman" w:hAnsi="Times New Roman"/>
          <w:sz w:val="18"/>
          <w:szCs w:val="18"/>
          <w:color w:val="auto"/>
        </w:rPr>
      </w:pPr>
    </w:p>
    <w:p>
      <w:pPr>
        <w:ind w:left="660" w:right="500" w:hanging="328"/>
        <w:spacing w:after="0" w:line="317"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Monitoring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did not have effective monitoring activities to assess the operation of internal control over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reporting, including the continued appropriateness of control design and level of documentation maintained to support control effectiveness.</w:t>
      </w:r>
    </w:p>
    <w:p>
      <w:pPr>
        <w:spacing w:after="0" w:line="10" w:lineRule="exact"/>
        <w:rPr>
          <w:rFonts w:ascii="Times New Roman" w:cs="Times New Roman" w:eastAsia="Times New Roman" w:hAnsi="Times New Roman"/>
          <w:sz w:val="17"/>
          <w:szCs w:val="17"/>
          <w:color w:val="auto"/>
        </w:rPr>
      </w:pPr>
    </w:p>
    <w:p>
      <w:pPr>
        <w:ind w:left="660" w:right="80" w:hanging="328"/>
        <w:spacing w:after="0" w:line="317"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Control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consequence of the material weaknesses described above, internal control deficiencies related to the design and operation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process-level controls and general information technology controls were determined to be pervasive throughout the Company’s processes.</w:t>
      </w:r>
    </w:p>
    <w:p>
      <w:pPr>
        <w:spacing w:after="0" w:line="1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While these material weaknesses did not result in material misstatements of the Company’s consolidated financial statements as of and for the year ended December 31, 2021,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2021.</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KPMG LLP, which audited the 2021 consolidated financial statements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Form 10-K, expressed an adverse opinion on the operating effectiveness of the Company's internal control over financial reporting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w:t>
      </w:r>
    </w:p>
    <w:p>
      <w:pPr>
        <w:spacing w:after="0" w:line="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Remediation Plan and Efforts to Address the Previously Identified Material Weaknesses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To remediate the material weaknesses described above, the Company, with the oversight of the Audit Committee of the Board of Directors (the “Audit Committee”), has been pursuing the six remediation steps as originally identified in the Company’s Annual Report on Form 10-K for the year ended December 31, 2018. The Company’s remediation plan was designed with the assistance of management’s outside consultant, an internationally recognized accounting firm. In the first quarter of 2022, the Company began to implement new and revised internal controls over financial reporting designed as part of management’s remediation plan across the organization. The Company continues to work with its outside consultant to assist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in completing the remaining steps in the remediation plan and believes that its remediation plan will be sufficient to remediate the identified material weaknesses and strengthen its internal control over financial reporting. As the Company continues to evaluate, implement and works to improve, its internal control over financial reporting, management may determine that additional measures to address control deficiencies or modifications to the remediation plan are necessary.</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Through the first quarter of 2022, the Company has completed certain steps in its remediation plan, including:</w:t>
      </w:r>
    </w:p>
    <w:p>
      <w:pPr>
        <w:spacing w:after="0" w:line="104" w:lineRule="exact"/>
        <w:rPr>
          <w:sz w:val="20"/>
          <w:szCs w:val="20"/>
          <w:color w:val="auto"/>
        </w:rPr>
      </w:pPr>
    </w:p>
    <w:p>
      <w:pPr>
        <w:ind w:left="660" w:right="6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processes, developed new and revised existing process narratives and identified risks of material misstatement inherent to those processes;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new controls and revised the design of existing controls for a significant number of relevant key controls to mitigate the aforementioned risks, inclusive of general information technology controls and entity-level controls;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initial organization-wide training sessions with all control owners;</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resources in the Company’s internal audit function and created and staffed a controls compliance group charged with monitoring and facilitating compliance with the Company’s responsibilities under the Sarbanes Oxley Act of 2002 (“SOX”);</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software solution to assist in monitoring and documenting compliance with SOX;</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migrated certain components of a legacy information technology system onto a common information technology environment;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new and revised internal controls over financial reporting for certain processes and information technology environments.</w:t>
      </w:r>
    </w:p>
    <w:p>
      <w:pPr>
        <w:spacing w:after="0" w:line="10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remaining activities are scheduled for completion in the first half of 2022 in anticipation of conducting management’s testing that will begin in the first half of 2022 in support of issuing management’s assessment of internal control over financial reporting as of December 31, 2022:</w:t>
      </w:r>
    </w:p>
    <w:p>
      <w:pPr>
        <w:spacing w:after="0" w:line="2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identification of risks arising from inappropriate segregation of duties and fraud risks;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risk assessment and control design for the remaining populations of processes and controls;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controls across the remaining processes and information technology environments;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training with control owners, as necessary.</w:t>
      </w:r>
    </w:p>
    <w:p>
      <w:pPr>
        <w:spacing w:after="0" w:line="10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continues to monitor the impact of employee turnover, the COVID-19 pandemic and other external factors on its remediation plan and its assessment of internal control over financial reporting. The material weaknesses cannot be considered remediated until the applicable controls have operated for a sufficient period of time and management has concluded, through testing, that these controls are operating effectively.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5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making certain changes in its internal controls to remediate the material weaknesses as described above. The execution of the material aspects of this remediation plan began in the second quarter of 2019. Except as noted above with respect to the completion of certain steps in the remediation plan and implementation of certain new and revised internal controls over financial reporting, there has been no change in the Company’s internal control over financial reporting during the quarter ended March 31, 2022, that has materially affected, or is reasonably likely to materially affect, its internal control over financial reporting (as defined in Rules 13a-15(f) and 15d-15(f) under the Exchange 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2021 Form 10-K, there are a number of risks and uncertainties that can have a material effect on the operating results of our businesses and our financial condition. There are no additional material updates or changes to our risk factors previously disclosed in the 2021 Form 10-K.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90"/>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830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 Sarbanes-Oxley Act of 2002.</w:t>
            </w:r>
          </w:p>
        </w:tc>
        <w:tc>
          <w:tcPr>
            <w:tcW w:w="15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Exchange Act of 1934, as adopted pursuant to Section 302 of the Sarbanes-Oxley Act of 2002.</w:t>
            </w:r>
          </w:p>
        </w:tc>
        <w:tc>
          <w:tcPr>
            <w:tcW w:w="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55"/>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40" w:type="dxa"/>
            <w:vAlign w:val="bottom"/>
            <w:gridSpan w:val="4"/>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9"/>
                <w:szCs w:val="19"/>
                <w:color w:val="auto"/>
              </w:rPr>
            </w:pP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r>
    </w:tbl>
    <w:p>
      <w:pPr>
        <w:ind w:left="1200" w:hanging="1174"/>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Steitz</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2022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9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John M. Steitz John M. Steitz</w:t>
      </w:r>
    </w:p>
    <w:p>
      <w:pPr>
        <w:ind w:left="2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7514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2022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5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decimal"/>
      <w:start w:val="1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lvl w:ilvl="1">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2022-05-09T07:45:22Z</dcterms:created>
  <dcterms:modified xsi:type="dcterms:W3CDTF">2022-05-09T07:45:22Z</dcterms:modified>
</cp:coreProperties>
</file>