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51435</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87630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680" w:right="20" w:hanging="463"/>
        <w:spacing w:after="0" w:line="238" w:lineRule="auto"/>
        <w:tabs>
          <w:tab w:leader="none" w:pos="680"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1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680" w:hanging="443"/>
        <w:spacing w:after="0" w:line="238" w:lineRule="auto"/>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73"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5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r>
      <w:tr>
        <w:trPr>
          <w:trHeight w:val="304"/>
        </w:trPr>
        <w:tc>
          <w:tcPr>
            <w:tcW w:w="320" w:type="dxa"/>
            <w:vAlign w:val="bottom"/>
          </w:tcPr>
          <w:p>
            <w:pPr>
              <w:spacing w:after="0"/>
              <w:rPr>
                <w:sz w:val="24"/>
                <w:szCs w:val="24"/>
                <w:color w:val="auto"/>
              </w:rPr>
            </w:pPr>
          </w:p>
        </w:tc>
        <w:tc>
          <w:tcPr>
            <w:tcW w:w="376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Commission file number 1-10258</w:t>
            </w:r>
          </w:p>
        </w:tc>
        <w:tc>
          <w:tcPr>
            <w:tcW w:w="320" w:type="dxa"/>
            <w:vAlign w:val="bottom"/>
          </w:tcPr>
          <w:p>
            <w:pPr>
              <w:spacing w:after="0"/>
              <w:rPr>
                <w:sz w:val="24"/>
                <w:szCs w:val="24"/>
                <w:color w:val="auto"/>
              </w:rPr>
            </w:pPr>
          </w:p>
        </w:tc>
      </w:tr>
      <w:tr>
        <w:trPr>
          <w:trHeight w:val="102"/>
        </w:trPr>
        <w:tc>
          <w:tcPr>
            <w:tcW w:w="32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r>
    </w:tbl>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Tredegar Corporation</w:t>
      </w:r>
    </w:p>
    <w:p>
      <w:pPr>
        <w:spacing w:after="0" w:line="7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55880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180"/>
          </w:cols>
          <w:pgMar w:left="320" w:top="767" w:right="39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Virginia</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54-1497771</w:t>
      </w:r>
    </w:p>
    <w:p>
      <w:pPr>
        <w:spacing w:after="0" w:line="37" w:lineRule="exact"/>
        <w:rPr>
          <w:sz w:val="24"/>
          <w:szCs w:val="24"/>
          <w:color w:val="auto"/>
        </w:rPr>
      </w:pPr>
    </w:p>
    <w:p>
      <w:pPr>
        <w:sectPr>
          <w:pgSz w:w="11900" w:h="16838" w:orient="portrait"/>
          <w:cols w:equalWidth="0" w:num="2">
            <w:col w:w="7360" w:space="720"/>
            <w:col w:w="3100"/>
          </w:cols>
          <w:pgMar w:left="320" w:top="767" w:right="399" w:bottom="1440" w:gutter="0" w:footer="0" w:header="0"/>
          <w:type w:val="continuous"/>
        </w:sectPr>
      </w:pPr>
    </w:p>
    <w:p>
      <w:pPr>
        <w:ind w:left="18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7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2">
            <w:col w:w="7220" w:space="720"/>
            <w:col w:w="3240"/>
          </w:cols>
          <w:pgMar w:left="320" w:top="767" w:right="399" w:bottom="1440" w:gutter="0" w:footer="0" w:header="0"/>
          <w:type w:val="continuous"/>
        </w:sectPr>
      </w:pPr>
    </w:p>
    <w:p>
      <w:pPr>
        <w:ind w:left="2520"/>
        <w:spacing w:after="0"/>
        <w:rPr>
          <w:sz w:val="20"/>
          <w:szCs w:val="20"/>
          <w:color w:val="auto"/>
        </w:rPr>
      </w:pPr>
      <w:r>
        <w:rPr>
          <w:rFonts w:ascii="Times New Roman" w:cs="Times New Roman" w:eastAsia="Times New Roman" w:hAnsi="Times New Roman"/>
          <w:sz w:val="17"/>
          <w:szCs w:val="17"/>
          <w:b w:val="1"/>
          <w:bCs w:val="1"/>
          <w:color w:val="auto"/>
        </w:rPr>
        <w:t>1100 Boulders Parkway</w:t>
      </w:r>
    </w:p>
    <w:p>
      <w:pPr>
        <w:spacing w:after="0" w:line="43"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Richmond, Virginia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23225</w:t>
      </w:r>
    </w:p>
    <w:p>
      <w:pPr>
        <w:spacing w:after="0" w:line="31" w:lineRule="exact"/>
        <w:rPr>
          <w:sz w:val="24"/>
          <w:szCs w:val="24"/>
          <w:color w:val="auto"/>
        </w:rPr>
      </w:pPr>
    </w:p>
    <w:p>
      <w:pPr>
        <w:sectPr>
          <w:pgSz w:w="11900" w:h="16838" w:orient="portrait"/>
          <w:cols w:equalWidth="0" w:num="2">
            <w:col w:w="8220" w:space="720"/>
            <w:col w:w="2240"/>
          </w:cols>
          <w:pgMar w:left="320" w:top="767" w:right="399" w:bottom="1440" w:gutter="0" w:footer="0" w:header="0"/>
          <w:type w:val="continuous"/>
        </w:sectPr>
      </w:pPr>
    </w:p>
    <w:p>
      <w:pPr>
        <w:ind w:left="22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8120" w:space="720"/>
            <w:col w:w="2340"/>
          </w:cols>
          <w:pgMar w:left="320" w:top="767" w:right="399" w:bottom="1440" w:gutter="0" w:footer="0" w:header="0"/>
          <w:type w:val="continuous"/>
        </w:sectPr>
      </w:pP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(804) 330-1000</w:t>
      </w:r>
    </w:p>
    <w:p>
      <w:pPr>
        <w:spacing w:after="0" w:line="1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 w:lineRule="exact"/>
        <w:rPr>
          <w:sz w:val="24"/>
          <w:szCs w:val="24"/>
          <w:color w:val="auto"/>
        </w:rPr>
      </w:pPr>
    </w:p>
    <w:tbl>
      <w:tblPr>
        <w:tblLayout w:type="fixed"/>
        <w:tblInd w:w="1720" w:type="dxa"/>
        <w:tblCellMar>
          <w:top w:w="0" w:type="dxa"/>
          <w:left w:w="0" w:type="dxa"/>
          <w:bottom w:w="0" w:type="dxa"/>
          <w:right w:w="0" w:type="dxa"/>
        </w:tblCellMar>
      </w:tblPr>
      <w:tr>
        <w:trPr>
          <w:trHeight w:val="207"/>
        </w:trPr>
        <w:tc>
          <w:tcPr>
            <w:tcW w:w="30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Trading</w:t>
            </w: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43"/>
        </w:trPr>
        <w:tc>
          <w:tcPr>
            <w:tcW w:w="30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Symbol(s)</w:t>
            </w: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r>
      <w:tr>
        <w:trPr>
          <w:trHeight w:val="223"/>
        </w:trPr>
        <w:tc>
          <w:tcPr>
            <w:tcW w:w="30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TG</w:t>
            </w: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91" w:lineRule="exact"/>
        <w:rPr>
          <w:sz w:val="24"/>
          <w:szCs w:val="24"/>
          <w:color w:val="auto"/>
        </w:rPr>
      </w:pPr>
    </w:p>
    <w:p>
      <w:pPr>
        <w:ind w:right="220" w:firstLine="405"/>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firstLine="445"/>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right="240" w:firstLine="445"/>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767" w:right="399" w:bottom="1440" w:gutter="0" w:footer="0" w:header="0"/>
          <w:type w:val="continuous"/>
        </w:sectPr>
      </w:pPr>
    </w:p>
    <w:p>
      <w:pPr>
        <w:spacing w:after="0" w:line="2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42" w:lineRule="exact"/>
        <w:rPr>
          <w:sz w:val="24"/>
          <w:szCs w:val="24"/>
          <w:color w:val="auto"/>
        </w:rPr>
      </w:pPr>
    </w:p>
    <w:p>
      <w:pPr>
        <w:sectPr>
          <w:pgSz w:w="11900" w:h="16838" w:orient="portrait"/>
          <w:cols w:equalWidth="0" w:num="6">
            <w:col w:w="1560" w:space="720"/>
            <w:col w:w="2220" w:space="720"/>
            <w:col w:w="1400" w:space="720"/>
            <w:col w:w="180" w:space="120"/>
            <w:col w:w="2100" w:space="720"/>
            <w:col w:w="720"/>
          </w:cols>
          <w:pgMar w:left="320" w:top="767" w:right="399" w:bottom="1440" w:gutter="0" w:footer="0" w:header="0"/>
          <w:type w:val="continuous"/>
        </w:sectPr>
      </w:pPr>
    </w:p>
    <w:p>
      <w:pPr>
        <w:spacing w:after="0" w:line="3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44" w:lineRule="exact"/>
        <w:rPr>
          <w:sz w:val="24"/>
          <w:szCs w:val="24"/>
          <w:color w:val="auto"/>
        </w:rPr>
      </w:pPr>
    </w:p>
    <w:p>
      <w:pPr>
        <w:sectPr>
          <w:pgSz w:w="11900" w:h="16838" w:orient="portrait"/>
          <w:cols w:equalWidth="0" w:num="4">
            <w:col w:w="1560" w:space="720"/>
            <w:col w:w="4640" w:space="720"/>
            <w:col w:w="2040" w:space="720"/>
            <w:col w:w="780"/>
          </w:cols>
          <w:pgMar w:left="320" w:top="767" w:right="399" w:bottom="1440" w:gutter="0" w:footer="0" w:header="0"/>
          <w:type w:val="continuous"/>
        </w:sectPr>
      </w:pPr>
    </w:p>
    <w:p>
      <w:pPr>
        <w:ind w:right="120" w:firstLine="405"/>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460" w:right="2140"/>
        <w:spacing w:after="0" w:line="29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The number of shares of Common Stock, no par value, outstanding as of October 31, 2025: 34,910,693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437515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7" w:right="3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Tredegar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9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9"/>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400" w:type="dxa"/>
            <w:vAlign w:val="bottom"/>
            <w:gridSpan w:val="3"/>
          </w:tcPr>
          <w:p>
            <w:pPr>
              <w:spacing w:after="0"/>
              <w:rPr>
                <w:sz w:val="18"/>
                <w:szCs w:val="18"/>
                <w:color w:val="auto"/>
              </w:rPr>
            </w:pPr>
          </w:p>
        </w:tc>
        <w:tc>
          <w:tcPr>
            <w:tcW w:w="15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820" w:type="dxa"/>
            <w:vAlign w:val="bottom"/>
            <w:gridSpan w:val="11"/>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5520" w:type="dxa"/>
            <w:vAlign w:val="bottom"/>
            <w:gridSpan w:val="8"/>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(Loss) (unaudited)</w:t>
            </w:r>
          </w:p>
        </w:tc>
        <w:tc>
          <w:tcPr>
            <w:tcW w:w="4540" w:type="dxa"/>
            <w:vAlign w:val="bottom"/>
            <w:gridSpan w:val="5"/>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 (unaudited)</w:t>
            </w:r>
          </w:p>
        </w:tc>
        <w:tc>
          <w:tcPr>
            <w:tcW w:w="336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4740" w:type="dxa"/>
            <w:vAlign w:val="bottom"/>
            <w:gridSpan w:val="6"/>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(unaudited)</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2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 (unaudited)</w:t>
            </w:r>
          </w:p>
        </w:tc>
        <w:tc>
          <w:tcPr>
            <w:tcW w:w="4100" w:type="dxa"/>
            <w:vAlign w:val="bottom"/>
            <w:gridSpan w:val="3"/>
          </w:tcPr>
          <w:p>
            <w:pPr>
              <w:spacing w:after="0"/>
              <w:rPr>
                <w:sz w:val="18"/>
                <w:szCs w:val="18"/>
                <w:color w:val="auto"/>
              </w:rPr>
            </w:pPr>
          </w:p>
        </w:tc>
        <w:tc>
          <w:tcPr>
            <w:tcW w:w="840" w:type="dxa"/>
            <w:vAlign w:val="bottom"/>
            <w:gridSpan w:val="2"/>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400" w:type="dxa"/>
            <w:vAlign w:val="bottom"/>
            <w:gridSpan w:val="3"/>
          </w:tcPr>
          <w:p>
            <w:pPr>
              <w:spacing w:after="0"/>
              <w:rPr>
                <w:sz w:val="18"/>
                <w:szCs w:val="18"/>
                <w:color w:val="auto"/>
              </w:rPr>
            </w:pP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Item 3</w:t>
            </w:r>
            <w:r>
              <w:rPr>
                <w:rFonts w:ascii="Times New Roman" w:cs="Times New Roman" w:eastAsia="Times New Roman" w:hAnsi="Times New Roman"/>
                <w:sz w:val="18"/>
                <w:szCs w:val="18"/>
                <w:color w:val="000000"/>
                <w:w w:val="94"/>
              </w:rPr>
              <w:t>.</w:t>
            </w:r>
          </w:p>
        </w:tc>
        <w:tc>
          <w:tcPr>
            <w:tcW w:w="400" w:type="dxa"/>
            <w:vAlign w:val="bottom"/>
            <w:gridSpan w:val="3"/>
          </w:tcPr>
          <w:p>
            <w:pPr>
              <w:spacing w:after="0"/>
              <w:rPr>
                <w:sz w:val="18"/>
                <w:szCs w:val="18"/>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9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400" w:type="dxa"/>
            <w:vAlign w:val="bottom"/>
            <w:gridSpan w:val="3"/>
          </w:tcPr>
          <w:p>
            <w:pPr>
              <w:spacing w:after="0"/>
              <w:rPr>
                <w:sz w:val="18"/>
                <w:szCs w:val="18"/>
                <w:color w:val="auto"/>
              </w:rPr>
            </w:pPr>
          </w:p>
        </w:tc>
        <w:tc>
          <w:tcPr>
            <w:tcW w:w="17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80" w:type="dxa"/>
            <w:vAlign w:val="bottom"/>
            <w:tcBorders>
              <w:top w:val="single" w:sz="8" w:color="0000FF"/>
            </w:tcBorders>
            <w:gridSpan w:val="2"/>
          </w:tcPr>
          <w:p>
            <w:pPr>
              <w:spacing w:after="0"/>
              <w:rPr>
                <w:sz w:val="18"/>
                <w:szCs w:val="18"/>
                <w:color w:val="auto"/>
              </w:rPr>
            </w:pPr>
          </w:p>
        </w:tc>
        <w:tc>
          <w:tcPr>
            <w:tcW w:w="4980" w:type="dxa"/>
            <w:vAlign w:val="bottom"/>
            <w:gridSpan w:val="7"/>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756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380" w:type="dxa"/>
            <w:vAlign w:val="bottom"/>
            <w:gridSpan w:val="2"/>
          </w:tcPr>
          <w:p>
            <w:pPr>
              <w:spacing w:after="0"/>
              <w:rPr>
                <w:sz w:val="24"/>
                <w:szCs w:val="24"/>
                <w:color w:val="auto"/>
              </w:rPr>
            </w:pPr>
          </w:p>
        </w:tc>
        <w:tc>
          <w:tcPr>
            <w:tcW w:w="14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7880" w:type="dxa"/>
            <w:vAlign w:val="bottom"/>
            <w:gridSpan w:val="12"/>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20" w:type="dxa"/>
            <w:vAlign w:val="bottom"/>
            <w:gridSpan w:val="1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1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20" w:type="dxa"/>
            <w:vAlign w:val="bottom"/>
            <w:gridSpan w:val="1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400" w:type="dxa"/>
            <w:vAlign w:val="bottom"/>
            <w:gridSpan w:val="3"/>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8020" w:type="dxa"/>
            <w:vAlign w:val="bottom"/>
            <w:gridSpan w:val="13"/>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000"/>
        </w:trPr>
        <w:tc>
          <w:tcPr>
            <w:tcW w:w="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2"/>
        </w:trPr>
        <w:tc>
          <w:tcPr>
            <w:tcW w:w="83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4"/>
        </w:trPr>
        <w:tc>
          <w:tcPr>
            <w:tcW w:w="8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w:t>
            </w:r>
          </w:p>
        </w:tc>
      </w:tr>
      <w:tr>
        <w:trPr>
          <w:trHeight w:val="230"/>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87,931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64,817</w:t>
            </w:r>
          </w:p>
        </w:tc>
      </w:tr>
      <w:tr>
        <w:trPr>
          <w:trHeight w:val="229"/>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recoverable</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62,006</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51,381</w:t>
            </w:r>
          </w:p>
        </w:tc>
      </w:tr>
      <w:tr>
        <w:trPr>
          <w:trHeight w:val="230"/>
        </w:trPr>
        <w:tc>
          <w:tcPr>
            <w:tcW w:w="83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11,375</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16,567</w:t>
            </w:r>
          </w:p>
        </w:tc>
      </w:tr>
      <w:tr>
        <w:trPr>
          <w:trHeight w:val="223"/>
        </w:trPr>
        <w:tc>
          <w:tcPr>
            <w:tcW w:w="83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174,887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139,827</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502,829</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499,426</w:t>
            </w:r>
          </w:p>
        </w:tc>
      </w:tr>
      <w:tr>
        <w:trPr>
          <w:trHeight w:val="229"/>
        </w:trPr>
        <w:tc>
          <w:tcPr>
            <w:tcW w:w="8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(372,432)</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(362,394)</w:t>
            </w:r>
          </w:p>
        </w:tc>
      </w:tr>
      <w:tr>
        <w:trPr>
          <w:trHeight w:val="223"/>
        </w:trPr>
        <w:tc>
          <w:tcPr>
            <w:tcW w:w="8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130,397</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137,032</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leased assets</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13,267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14,635</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net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6,008</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22,446</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22,446</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29,671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32,517</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r>
      <w:tr>
        <w:trPr>
          <w:trHeight w:val="230"/>
        </w:trPr>
        <w:tc>
          <w:tcPr>
            <w:tcW w:w="8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83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378,806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356,357</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64,704</w:t>
            </w:r>
          </w:p>
        </w:tc>
      </w:tr>
      <w:tr>
        <w:trPr>
          <w:trHeight w:val="230"/>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22,801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22,168</w:t>
            </w:r>
          </w:p>
        </w:tc>
      </w:tr>
      <w:tr>
        <w:trPr>
          <w:trHeight w:val="229"/>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liability, short-term</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2,345</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r>
      <w:tr>
        <w:trPr>
          <w:trHeight w:val="230"/>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Short-term debt</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30"/>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492</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83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23"/>
        </w:trPr>
        <w:tc>
          <w:tcPr>
            <w:tcW w:w="8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104,885</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91,708</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 long-term</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11,472</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12,993</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ABL revolving facility</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49,500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60,600</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 obligations, net</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5,772</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5,914</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8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4,917</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4,105</w:t>
            </w:r>
          </w:p>
        </w:tc>
      </w:tr>
      <w:tr>
        <w:trPr>
          <w:trHeight w:val="223"/>
        </w:trPr>
        <w:tc>
          <w:tcPr>
            <w:tcW w:w="8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176,615</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175,389</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75"/>
        </w:trPr>
        <w:tc>
          <w:tcPr>
            <w:tcW w:w="8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no par value (authorized shares 150,000,000, issued and outstanding 34,892,602 shares at</w:t>
            </w: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2025 and 34,661,272 shares at December 31, 2024)</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65,299</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63,590</w:t>
            </w:r>
          </w:p>
        </w:tc>
      </w:tr>
      <w:tr>
        <w:trPr>
          <w:trHeight w:val="175"/>
        </w:trPr>
        <w:tc>
          <w:tcPr>
            <w:tcW w:w="8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held in trust for savings restoration plan (118,542 shares at September 30, 2025 and 118,543 shares</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December 31, 2024)</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5,334</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w:t>
            </w:r>
          </w:p>
        </w:tc>
      </w:tr>
      <w:tr>
        <w:trPr>
          <w:trHeight w:val="23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(loss) on derivative financial instruments</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834</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9"/>
        </w:trPr>
        <w:tc>
          <w:tcPr>
            <w:tcW w:w="8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and other postretirement benefit adjustments</w:t>
            </w:r>
          </w:p>
        </w:tc>
        <w:tc>
          <w:tcPr>
            <w:tcW w:w="3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30"/>
        </w:trPr>
        <w:tc>
          <w:tcPr>
            <w:tcW w:w="8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132,318</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113,412</w:t>
            </w:r>
          </w:p>
        </w:tc>
      </w:tr>
      <w:tr>
        <w:trPr>
          <w:trHeight w:val="223"/>
        </w:trPr>
        <w:tc>
          <w:tcPr>
            <w:tcW w:w="83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202,191</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180,968</w:t>
            </w:r>
          </w:p>
        </w:tc>
      </w:tr>
      <w:tr>
        <w:trPr>
          <w:trHeight w:val="230"/>
        </w:trPr>
        <w:tc>
          <w:tcPr>
            <w:tcW w:w="83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378,806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356,357</w:t>
            </w: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060"/>
          </w:cols>
          <w:pgMar w:left="400" w:top="603" w:right="4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400" w:top="603" w:right="439" w:bottom="1440" w:gutter="0" w:footer="0" w:header="0"/>
          <w:type w:val="continuous"/>
        </w:sectPr>
      </w:pPr>
    </w:p>
    <w:bookmarkStart w:id="3" w:name="page4"/>
    <w:bookmarkEnd w:id="3"/>
    <w:p>
      <w:pPr>
        <w:ind w:left="5040"/>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04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860" w:type="dxa"/>
            <w:vAlign w:val="bottom"/>
            <w:tcBorders>
              <w:top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0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r>
      <w:tr>
        <w:trPr>
          <w:trHeight w:val="234"/>
        </w:trPr>
        <w:tc>
          <w:tcPr>
            <w:tcW w:w="50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and other items: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194,942</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146,064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538,796</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443,976</w:t>
            </w:r>
          </w:p>
        </w:tc>
      </w:tr>
      <w:tr>
        <w:trPr>
          <w:trHeight w:val="229"/>
        </w:trPr>
        <w:tc>
          <w:tcPr>
            <w:tcW w:w="5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1,381</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23"/>
        </w:trPr>
        <w:tc>
          <w:tcPr>
            <w:tcW w:w="5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194,946</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146,038</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540,177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444,280</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157,209</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122,471</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441,387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356,591</w:t>
            </w:r>
          </w:p>
        </w:tc>
      </w:tr>
      <w:tr>
        <w:trPr>
          <w:trHeight w:val="229"/>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Freight</w:t>
            </w:r>
          </w:p>
        </w:tc>
        <w:tc>
          <w:tcPr>
            <w:tcW w:w="38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6,589</w:t>
            </w:r>
          </w:p>
        </w:tc>
        <w:tc>
          <w:tcPr>
            <w:tcW w:w="3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5,468</w:t>
            </w:r>
          </w:p>
        </w:tc>
        <w:tc>
          <w:tcPr>
            <w:tcW w:w="2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18,309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15,812</w:t>
            </w:r>
          </w:p>
        </w:tc>
      </w:tr>
      <w:tr>
        <w:trPr>
          <w:trHeight w:val="229"/>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20,225</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18,673</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61,443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54,289</w:t>
            </w:r>
          </w:p>
        </w:tc>
      </w:tr>
      <w:tr>
        <w:trPr>
          <w:trHeight w:val="230"/>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c>
          <w:tcPr>
            <w:tcW w:w="3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29"/>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identifiable intangibles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440</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440</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1,319</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230"/>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38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3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768</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1,192</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3,566</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r>
      <w:tr>
        <w:trPr>
          <w:trHeight w:val="176"/>
        </w:trPr>
        <w:tc>
          <w:tcPr>
            <w:tcW w:w="504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Asset impairments and costs associated with exit and disposal</w:t>
            </w: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3"/>
        </w:trPr>
        <w:tc>
          <w:tcPr>
            <w:tcW w:w="5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activities, net of adjustments</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418</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435</w:t>
            </w: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23"/>
        </w:trPr>
        <w:tc>
          <w:tcPr>
            <w:tcW w:w="504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185,823</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148,599</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526,993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432,720</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8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9,123</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2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13,184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11,560</w:t>
            </w:r>
          </w:p>
        </w:tc>
      </w:tr>
      <w:tr>
        <w:trPr>
          <w:trHeight w:val="230"/>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2,014</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828</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3,575</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8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7,109</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2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9,609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8,385</w:t>
            </w:r>
          </w:p>
        </w:tc>
      </w:tr>
      <w:tr>
        <w:trPr>
          <w:trHeight w:val="230"/>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9,297</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30"/>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7,074</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18,906</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8,134</w:t>
            </w:r>
          </w:p>
        </w:tc>
      </w:tr>
      <w:tr>
        <w:trPr>
          <w:trHeight w:val="257"/>
        </w:trPr>
        <w:tc>
          <w:tcPr>
            <w:tcW w:w="50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0.20</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0.28</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30"/>
        </w:trPr>
        <w:tc>
          <w:tcPr>
            <w:tcW w:w="50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0.27</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0.20</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0.55</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30"/>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0.20</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0.28</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30"/>
        </w:trPr>
        <w:tc>
          <w:tcPr>
            <w:tcW w:w="50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0.27</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0.20</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0.55</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57"/>
        </w:trPr>
        <w:tc>
          <w:tcPr>
            <w:tcW w:w="50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(loss) per share:</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34,773</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34,391</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34,721</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34,364</w:t>
            </w:r>
          </w:p>
        </w:tc>
      </w:tr>
      <w:tr>
        <w:trPr>
          <w:trHeight w:val="237"/>
        </w:trPr>
        <w:tc>
          <w:tcPr>
            <w:tcW w:w="5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34,773</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34,391</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34,721</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34,364</w:t>
            </w:r>
          </w:p>
        </w:tc>
      </w:tr>
    </w:tbl>
    <w:p>
      <w:pPr>
        <w:spacing w:after="0" w:line="1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887"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6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180" w:type="dxa"/>
            <w:vAlign w:val="bottom"/>
            <w:tcBorders>
              <w:top w:val="single" w:sz="8" w:color="auto"/>
            </w:tcBorders>
            <w:gridSpan w:val="3"/>
          </w:tcPr>
          <w:p>
            <w:pPr>
              <w:jc w:val="right"/>
              <w:ind w:right="33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c>
          <w:tcPr>
            <w:tcW w:w="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8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September 30,</w:t>
            </w:r>
          </w:p>
        </w:tc>
        <w:tc>
          <w:tcPr>
            <w:tcW w:w="20" w:type="dxa"/>
            <w:vAlign w:val="bottom"/>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86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7,074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foreign currency translation adjustment ($0 tax in 2025 and net of tax expense of $4 in 2024)</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86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Derivative financial instruments adjustment (net of tax expense of $48 in 2025 and net of tax expense of $120 in</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8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0" w:type="dxa"/>
            <w:vAlign w:val="bottom"/>
          </w:tcPr>
          <w:p>
            <w:pPr>
              <w:spacing w:after="0"/>
              <w:rPr>
                <w:sz w:val="21"/>
                <w:szCs w:val="21"/>
                <w:color w:val="auto"/>
              </w:rPr>
            </w:pPr>
          </w:p>
        </w:tc>
      </w:tr>
      <w:tr>
        <w:trPr>
          <w:trHeight w:val="176"/>
        </w:trPr>
        <w:tc>
          <w:tcPr>
            <w:tcW w:w="20" w:type="dxa"/>
            <w:vAlign w:val="bottom"/>
          </w:tcPr>
          <w:p>
            <w:pPr>
              <w:spacing w:after="0"/>
              <w:rPr>
                <w:sz w:val="15"/>
                <w:szCs w:val="15"/>
                <w:color w:val="auto"/>
              </w:rPr>
            </w:pPr>
          </w:p>
        </w:tc>
        <w:tc>
          <w:tcPr>
            <w:tcW w:w="86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w w:val="99"/>
              </w:rPr>
              <w:t>Amortization of prior service costs and net gains or losses (net of tax benefit of $14 in 2025 and net of tax benefit of</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6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 in 2024)</w:t>
            </w:r>
          </w:p>
        </w:tc>
        <w:tc>
          <w:tcPr>
            <w:tcW w:w="3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273</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8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7,347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20" w:type="dxa"/>
            <w:vAlign w:val="bottom"/>
          </w:tcPr>
          <w:p>
            <w:pPr>
              <w:spacing w:after="0"/>
              <w:rPr>
                <w:sz w:val="20"/>
                <w:szCs w:val="20"/>
                <w:color w:val="auto"/>
              </w:rPr>
            </w:pPr>
          </w:p>
        </w:tc>
      </w:tr>
      <w:tr>
        <w:trPr>
          <w:trHeight w:val="372"/>
        </w:trPr>
        <w:tc>
          <w:tcPr>
            <w:tcW w:w="20" w:type="dxa"/>
            <w:vAlign w:val="bottom"/>
            <w:tcBorders>
              <w:bottom w:val="single" w:sz="8" w:color="auto"/>
            </w:tcBorders>
          </w:tcPr>
          <w:p>
            <w:pPr>
              <w:spacing w:after="0"/>
              <w:rPr>
                <w:sz w:val="24"/>
                <w:szCs w:val="24"/>
                <w:color w:val="auto"/>
              </w:rPr>
            </w:pPr>
          </w:p>
        </w:tc>
        <w:tc>
          <w:tcPr>
            <w:tcW w:w="86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8600" w:type="dxa"/>
            <w:vAlign w:val="bottom"/>
          </w:tcPr>
          <w:p>
            <w:pPr>
              <w:spacing w:after="0"/>
              <w:rPr>
                <w:sz w:val="15"/>
                <w:szCs w:val="15"/>
                <w:color w:val="auto"/>
              </w:rPr>
            </w:pPr>
          </w:p>
        </w:tc>
        <w:tc>
          <w:tcPr>
            <w:tcW w:w="2540" w:type="dxa"/>
            <w:vAlign w:val="bottom"/>
            <w:gridSpan w:val="4"/>
          </w:tcPr>
          <w:p>
            <w:pPr>
              <w:jc w:val="right"/>
              <w:ind w:right="50"/>
              <w:spacing w:after="0" w:line="176" w:lineRule="exact"/>
              <w:rPr>
                <w:sz w:val="20"/>
                <w:szCs w:val="20"/>
                <w:color w:val="auto"/>
              </w:rPr>
            </w:pPr>
            <w:r>
              <w:rPr>
                <w:rFonts w:ascii="Times New Roman" w:cs="Times New Roman" w:eastAsia="Times New Roman" w:hAnsi="Times New Roman"/>
                <w:sz w:val="18"/>
                <w:szCs w:val="18"/>
                <w:color w:val="auto"/>
              </w:rPr>
              <w:t>Nine Months Ended September</w:t>
            </w:r>
          </w:p>
        </w:tc>
        <w:tc>
          <w:tcPr>
            <w:tcW w:w="2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20" w:type="dxa"/>
            <w:vAlign w:val="bottom"/>
            <w:tcBorders>
              <w:bottom w:val="single" w:sz="8" w:color="auto"/>
            </w:tcBorders>
          </w:tcPr>
          <w:p>
            <w:pPr>
              <w:spacing w:after="0"/>
              <w:rPr>
                <w:sz w:val="20"/>
                <w:szCs w:val="20"/>
                <w:color w:val="auto"/>
              </w:rPr>
            </w:pPr>
          </w:p>
        </w:tc>
        <w:tc>
          <w:tcPr>
            <w:tcW w:w="86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auto"/>
            </w:tcBorders>
          </w:tcPr>
          <w:p>
            <w:pPr>
              <w:spacing w:after="0"/>
              <w:rPr>
                <w:sz w:val="20"/>
                <w:szCs w:val="20"/>
                <w:color w:val="auto"/>
              </w:rPr>
            </w:pPr>
          </w:p>
        </w:tc>
      </w:tr>
      <w:tr>
        <w:trPr>
          <w:trHeight w:val="223"/>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18,906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20" w:type="dxa"/>
            <w:vAlign w:val="bottom"/>
            <w:shd w:val="clear" w:color="auto" w:fill="CCEEFF"/>
          </w:tcPr>
          <w:p>
            <w:pPr>
              <w:spacing w:after="0"/>
              <w:rPr>
                <w:sz w:val="19"/>
                <w:szCs w:val="19"/>
                <w:color w:val="auto"/>
              </w:rPr>
            </w:pPr>
          </w:p>
        </w:tc>
      </w:tr>
      <w:tr>
        <w:trPr>
          <w:trHeight w:val="229"/>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foreign currency translation adjustment ($0 tax in 2025 and net of tax benefit of $466 in 2024)</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20" w:type="dxa"/>
            <w:vAlign w:val="bottom"/>
            <w:shd w:val="clear" w:color="auto" w:fill="CCEEFF"/>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860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Derivative financial instruments adjustment (net of tax expense of $151 in 2025 and net of tax benefit of $273 in</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8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566</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0" w:type="dxa"/>
            <w:vAlign w:val="bottom"/>
          </w:tcPr>
          <w:p>
            <w:pPr>
              <w:spacing w:after="0"/>
              <w:rPr>
                <w:sz w:val="21"/>
                <w:szCs w:val="21"/>
                <w:color w:val="auto"/>
              </w:rPr>
            </w:pPr>
          </w:p>
        </w:tc>
      </w:tr>
      <w:tr>
        <w:trPr>
          <w:trHeight w:val="175"/>
        </w:trPr>
        <w:tc>
          <w:tcPr>
            <w:tcW w:w="20" w:type="dxa"/>
            <w:vAlign w:val="bottom"/>
            <w:shd w:val="clear" w:color="auto" w:fill="CCEEFF"/>
          </w:tcPr>
          <w:p>
            <w:pPr>
              <w:spacing w:after="0"/>
              <w:rPr>
                <w:sz w:val="15"/>
                <w:szCs w:val="15"/>
                <w:color w:val="auto"/>
              </w:rPr>
            </w:pPr>
          </w:p>
        </w:tc>
        <w:tc>
          <w:tcPr>
            <w:tcW w:w="860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costs and net gains or losses (net of tax benefit of $52 in 2025 and net of tax benefit</w:t>
            </w: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43"/>
        </w:trPr>
        <w:tc>
          <w:tcPr>
            <w:tcW w:w="20" w:type="dxa"/>
            <w:vAlign w:val="bottom"/>
            <w:tcBorders>
              <w:bottom w:val="single" w:sz="8" w:color="auto"/>
            </w:tcBorders>
            <w:shd w:val="clear" w:color="auto" w:fill="CCEEFF"/>
          </w:tcPr>
          <w:p>
            <w:pPr>
              <w:spacing w:after="0"/>
              <w:rPr>
                <w:sz w:val="21"/>
                <w:szCs w:val="21"/>
                <w:color w:val="auto"/>
              </w:rPr>
            </w:pPr>
          </w:p>
        </w:tc>
        <w:tc>
          <w:tcPr>
            <w:tcW w:w="86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 $23 in 2024)</w:t>
            </w:r>
          </w:p>
        </w:tc>
        <w:tc>
          <w:tcPr>
            <w:tcW w:w="3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3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Borders>
              <w:bottom w:val="single" w:sz="8" w:color="auto"/>
            </w:tcBorders>
            <w:shd w:val="clear" w:color="auto" w:fill="CCEEFF"/>
          </w:tcPr>
          <w:p>
            <w:pPr>
              <w:spacing w:after="0"/>
              <w:rPr>
                <w:sz w:val="21"/>
                <w:szCs w:val="2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608</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20" w:type="dxa"/>
            <w:vAlign w:val="bottom"/>
            <w:tcBorders>
              <w:bottom w:val="single" w:sz="8" w:color="auto"/>
            </w:tcBorders>
          </w:tcPr>
          <w:p>
            <w:pPr>
              <w:spacing w:after="0"/>
              <w:rPr>
                <w:sz w:val="19"/>
                <w:szCs w:val="19"/>
                <w:color w:val="auto"/>
              </w:rPr>
            </w:pPr>
          </w:p>
        </w:tc>
      </w:tr>
      <w:tr>
        <w:trPr>
          <w:trHeight w:val="230"/>
        </w:trPr>
        <w:tc>
          <w:tcPr>
            <w:tcW w:w="86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19,514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0" w:type="dxa"/>
            <w:vAlign w:val="bottom"/>
            <w:tcBorders>
              <w:bottom w:val="single" w:sz="8" w:color="auto"/>
            </w:tcBorders>
            <w:shd w:val="clear" w:color="auto" w:fill="CCEEFF"/>
          </w:tcPr>
          <w:p>
            <w:pPr>
              <w:spacing w:after="0"/>
              <w:rPr>
                <w:sz w:val="20"/>
                <w:szCs w:val="20"/>
                <w:color w:val="auto"/>
              </w:rPr>
            </w:pPr>
          </w:p>
        </w:tc>
      </w:tr>
    </w:tbl>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8088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pacing w:after="0" w:line="27" w:lineRule="exact"/>
        <w:rPr>
          <w:sz w:val="20"/>
          <w:szCs w:val="20"/>
          <w:color w:val="auto"/>
        </w:rPr>
      </w:pPr>
    </w:p>
    <w:p>
      <w:pPr>
        <w:jc w:val="center"/>
        <w:ind w:left="9220"/>
        <w:spacing w:after="0"/>
        <w:rPr>
          <w:sz w:val="20"/>
          <w:szCs w:val="20"/>
          <w:color w:val="auto"/>
        </w:rPr>
      </w:pPr>
      <w:r>
        <w:rPr>
          <w:rFonts w:ascii="Times New Roman" w:cs="Times New Roman" w:eastAsia="Times New Roman" w:hAnsi="Times New Roman"/>
          <w:sz w:val="18"/>
          <w:szCs w:val="18"/>
          <w:color w:val="auto"/>
        </w:rPr>
        <w:t>Nine Months Ended</w:t>
      </w:r>
    </w:p>
    <w:p>
      <w:pPr>
        <w:jc w:val="center"/>
        <w:ind w:left="9220"/>
        <w:spacing w:after="0"/>
        <w:rPr>
          <w:sz w:val="20"/>
          <w:szCs w:val="20"/>
          <w:color w:val="auto"/>
        </w:rPr>
      </w:pPr>
      <w:r>
        <w:rPr>
          <w:rFonts w:ascii="Times New Roman" w:cs="Times New Roman" w:eastAsia="Times New Roman" w:hAnsi="Times New Roman"/>
          <w:sz w:val="18"/>
          <w:szCs w:val="18"/>
          <w:color w:val="auto"/>
        </w:rPr>
        <w:t>September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18,906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8,134</w:t>
            </w:r>
          </w:p>
        </w:tc>
      </w:tr>
      <w:tr>
        <w:trPr>
          <w:trHeight w:val="229"/>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for noncash items: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w:t>
            </w:r>
          </w:p>
        </w:tc>
        <w:tc>
          <w:tcPr>
            <w:tcW w:w="26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15,041</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18,372</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identifiable intangibles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1,319</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29"/>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Reduction of right-of-use lease asset</w:t>
            </w:r>
          </w:p>
        </w:tc>
        <w:tc>
          <w:tcPr>
            <w:tcW w:w="26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1,584</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30"/>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2,873</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r>
      <w:tr>
        <w:trPr>
          <w:trHeight w:val="229"/>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pension and post-retirement benefits</w:t>
            </w:r>
          </w:p>
        </w:tc>
        <w:tc>
          <w:tcPr>
            <w:tcW w:w="26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1,759</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30"/>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investment in kaléo</w:t>
            </w:r>
          </w:p>
        </w:tc>
        <w:tc>
          <w:tcPr>
            <w:tcW w:w="26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Gain on the sale of assets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the sale of divested business</w:t>
            </w:r>
          </w:p>
        </w:tc>
        <w:tc>
          <w:tcPr>
            <w:tcW w:w="2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(9,657)</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2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(23,113)</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(14,683)</w:t>
            </w:r>
          </w:p>
        </w:tc>
      </w:tr>
      <w:tr>
        <w:trPr>
          <w:trHeight w:val="230"/>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(10,615)</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w:t>
            </w:r>
          </w:p>
        </w:tc>
      </w:tr>
      <w:tr>
        <w:trPr>
          <w:trHeight w:val="229"/>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taxes recoverable/payable</w:t>
            </w:r>
          </w:p>
        </w:tc>
        <w:tc>
          <w:tcPr>
            <w:tcW w:w="2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5,909</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30"/>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14,407</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w:t>
            </w:r>
          </w:p>
        </w:tc>
      </w:tr>
      <w:tr>
        <w:trPr>
          <w:trHeight w:val="229"/>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Lease liability</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w:t>
            </w: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 plan contributions</w:t>
            </w:r>
          </w:p>
        </w:tc>
        <w:tc>
          <w:tcPr>
            <w:tcW w:w="2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30"/>
        </w:trPr>
        <w:tc>
          <w:tcPr>
            <w:tcW w:w="67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2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2,559</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r>
      <w:tr>
        <w:trPr>
          <w:trHeight w:val="223"/>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17,268</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2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w:t>
            </w:r>
          </w:p>
        </w:tc>
      </w:tr>
      <w:tr>
        <w:trPr>
          <w:trHeight w:val="229"/>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sale of Terphane</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9,835</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on sale of investment in kaléo</w:t>
            </w:r>
          </w:p>
        </w:tc>
        <w:tc>
          <w:tcPr>
            <w:tcW w:w="26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67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sale of assets</w:t>
            </w:r>
          </w:p>
        </w:tc>
        <w:tc>
          <w:tcPr>
            <w:tcW w:w="2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1,904</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6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2,493</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(7,469)</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w:t>
            </w:r>
          </w:p>
        </w:tc>
        <w:tc>
          <w:tcPr>
            <w:tcW w:w="26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103,747</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519,274</w:t>
            </w:r>
          </w:p>
        </w:tc>
      </w:tr>
      <w:tr>
        <w:trPr>
          <w:trHeight w:val="229"/>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principal payments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(116,173)</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(522,240)</w:t>
            </w:r>
          </w:p>
        </w:tc>
      </w:tr>
      <w:tr>
        <w:trPr>
          <w:trHeight w:val="230"/>
        </w:trPr>
        <w:tc>
          <w:tcPr>
            <w:tcW w:w="6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Debt financing costs</w:t>
            </w:r>
          </w:p>
        </w:tc>
        <w:tc>
          <w:tcPr>
            <w:tcW w:w="2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23"/>
        </w:trPr>
        <w:tc>
          <w:tcPr>
            <w:tcW w:w="67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r>
      <w:tr>
        <w:trPr>
          <w:trHeight w:val="230"/>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2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26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6,229</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w:t>
            </w:r>
          </w:p>
        </w:tc>
      </w:tr>
      <w:tr>
        <w:trPr>
          <w:trHeight w:val="230"/>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2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7,062</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13,455</w:t>
            </w:r>
          </w:p>
        </w:tc>
      </w:tr>
      <w:tr>
        <w:trPr>
          <w:trHeight w:val="230"/>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13,291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887"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summarizes the changes in shareholders’ equity for the three month period ended September 30, 2025:</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w w:val="97"/>
              </w:rPr>
              <w:t>Trust for</w:t>
            </w:r>
          </w:p>
        </w:tc>
        <w:tc>
          <w:tcPr>
            <w:tcW w:w="15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Accumulated Other</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Savings</w:t>
            </w:r>
          </w:p>
        </w:tc>
        <w:tc>
          <w:tcPr>
            <w:tcW w:w="15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Common</w:t>
            </w:r>
          </w:p>
        </w:tc>
        <w:tc>
          <w:tcPr>
            <w:tcW w:w="220" w:type="dxa"/>
            <w:vAlign w:val="bottom"/>
          </w:tcPr>
          <w:p>
            <w:pPr>
              <w:spacing w:after="0"/>
              <w:rPr>
                <w:sz w:val="16"/>
                <w:szCs w:val="16"/>
                <w:color w:val="auto"/>
              </w:rPr>
            </w:pPr>
          </w:p>
        </w:tc>
        <w:tc>
          <w:tcPr>
            <w:tcW w:w="90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Retained</w:t>
            </w:r>
          </w:p>
        </w:tc>
        <w:tc>
          <w:tcPr>
            <w:tcW w:w="220" w:type="dxa"/>
            <w:vAlign w:val="bottom"/>
          </w:tcPr>
          <w:p>
            <w:pPr>
              <w:spacing w:after="0"/>
              <w:rPr>
                <w:sz w:val="16"/>
                <w:szCs w:val="16"/>
                <w:color w:val="auto"/>
              </w:rPr>
            </w:pPr>
          </w:p>
        </w:tc>
        <w:tc>
          <w:tcPr>
            <w:tcW w:w="104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w w:val="98"/>
              </w:rPr>
              <w:t>Restoration</w:t>
            </w:r>
          </w:p>
        </w:tc>
        <w:tc>
          <w:tcPr>
            <w:tcW w:w="200" w:type="dxa"/>
            <w:vAlign w:val="bottom"/>
          </w:tcPr>
          <w:p>
            <w:pPr>
              <w:spacing w:after="0"/>
              <w:rPr>
                <w:sz w:val="16"/>
                <w:szCs w:val="16"/>
                <w:color w:val="auto"/>
              </w:rPr>
            </w:pPr>
          </w:p>
        </w:tc>
        <w:tc>
          <w:tcPr>
            <w:tcW w:w="136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Comprehensive</w:t>
            </w:r>
          </w:p>
        </w:tc>
        <w:tc>
          <w:tcPr>
            <w:tcW w:w="220" w:type="dxa"/>
            <w:vAlign w:val="bottom"/>
          </w:tcPr>
          <w:p>
            <w:pPr>
              <w:spacing w:after="0"/>
              <w:rPr>
                <w:sz w:val="16"/>
                <w:szCs w:val="16"/>
                <w:color w:val="auto"/>
              </w:rPr>
            </w:pPr>
          </w:p>
        </w:tc>
        <w:tc>
          <w:tcPr>
            <w:tcW w:w="12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9"/>
              </w:rPr>
              <w:t>Shareholders’</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Earnings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Plan</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Income (Loss)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July 1, 2025</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64,561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125,244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6,534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194,106</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7,074</w:t>
            </w:r>
          </w:p>
        </w:tc>
        <w:tc>
          <w:tcPr>
            <w:tcW w:w="22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net gains or losses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738</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2025</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65,299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132,318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6,807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202,191</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summarizes the changes in shareholders’ equity for the nine month period ended September 30,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w w:val="97"/>
              </w:rPr>
              <w:t>Trust for</w:t>
            </w:r>
          </w:p>
        </w:tc>
        <w:tc>
          <w:tcPr>
            <w:tcW w:w="15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Accumulated Other</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Savings</w:t>
            </w:r>
          </w:p>
        </w:tc>
        <w:tc>
          <w:tcPr>
            <w:tcW w:w="15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Common</w:t>
            </w:r>
          </w:p>
        </w:tc>
        <w:tc>
          <w:tcPr>
            <w:tcW w:w="200" w:type="dxa"/>
            <w:vAlign w:val="bottom"/>
          </w:tcPr>
          <w:p>
            <w:pPr>
              <w:spacing w:after="0"/>
              <w:rPr>
                <w:sz w:val="16"/>
                <w:szCs w:val="16"/>
                <w:color w:val="auto"/>
              </w:rPr>
            </w:pPr>
          </w:p>
        </w:tc>
        <w:tc>
          <w:tcPr>
            <w:tcW w:w="900" w:type="dxa"/>
            <w:vAlign w:val="bottom"/>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rPr>
              <w:t>Retained</w:t>
            </w:r>
          </w:p>
        </w:tc>
        <w:tc>
          <w:tcPr>
            <w:tcW w:w="220" w:type="dxa"/>
            <w:vAlign w:val="bottom"/>
          </w:tcPr>
          <w:p>
            <w:pPr>
              <w:spacing w:after="0"/>
              <w:rPr>
                <w:sz w:val="16"/>
                <w:szCs w:val="16"/>
                <w:color w:val="auto"/>
              </w:rPr>
            </w:pPr>
          </w:p>
        </w:tc>
        <w:tc>
          <w:tcPr>
            <w:tcW w:w="104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w w:val="98"/>
              </w:rPr>
              <w:t>Restoration</w:t>
            </w:r>
          </w:p>
        </w:tc>
        <w:tc>
          <w:tcPr>
            <w:tcW w:w="200" w:type="dxa"/>
            <w:vAlign w:val="bottom"/>
          </w:tcPr>
          <w:p>
            <w:pPr>
              <w:spacing w:after="0"/>
              <w:rPr>
                <w:sz w:val="16"/>
                <w:szCs w:val="16"/>
                <w:color w:val="auto"/>
              </w:rPr>
            </w:pPr>
          </w:p>
        </w:tc>
        <w:tc>
          <w:tcPr>
            <w:tcW w:w="136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Comprehensive</w:t>
            </w:r>
          </w:p>
        </w:tc>
        <w:tc>
          <w:tcPr>
            <w:tcW w:w="220" w:type="dxa"/>
            <w:vAlign w:val="bottom"/>
          </w:tcPr>
          <w:p>
            <w:pPr>
              <w:spacing w:after="0"/>
              <w:rPr>
                <w:sz w:val="16"/>
                <w:szCs w:val="16"/>
                <w:color w:val="auto"/>
              </w:rPr>
            </w:pPr>
          </w:p>
        </w:tc>
        <w:tc>
          <w:tcPr>
            <w:tcW w:w="12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9"/>
              </w:rPr>
              <w:t>Shareholders’</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Stock</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Earnings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Plan</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Income (Loss)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 2025</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63,590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113,412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6,199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180,968</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18,906</w:t>
            </w:r>
          </w:p>
        </w:tc>
        <w:tc>
          <w:tcPr>
            <w:tcW w:w="22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18,906</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3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566</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net gains or losses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2,298</w:t>
            </w:r>
          </w:p>
        </w:tc>
        <w:tc>
          <w:tcPr>
            <w:tcW w:w="2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employee common stock for tax withholdings</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September 30, 2025</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65,299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132,318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6,807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ind w:left="420"/>
        <w:spacing w:after="0"/>
        <w:rPr>
          <w:sz w:val="20"/>
          <w:szCs w:val="20"/>
          <w:color w:val="auto"/>
        </w:rPr>
      </w:pPr>
      <w:r>
        <w:rPr>
          <w:rFonts w:ascii="Times New Roman" w:cs="Times New Roman" w:eastAsia="Times New Roman" w:hAnsi="Times New Roman"/>
          <w:sz w:val="18"/>
          <w:szCs w:val="18"/>
          <w:color w:val="auto"/>
        </w:rPr>
        <w:t>The following summarizes the changes in shareholders’ equity for the three month period ended September 30, 2024:</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Trust for</w:t>
            </w:r>
          </w:p>
        </w:tc>
        <w:tc>
          <w:tcPr>
            <w:tcW w:w="15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Accumulated Other</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80"/>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Common</w:t>
            </w:r>
          </w:p>
        </w:tc>
        <w:tc>
          <w:tcPr>
            <w:tcW w:w="220" w:type="dxa"/>
            <w:vAlign w:val="bottom"/>
          </w:tcPr>
          <w:p>
            <w:pPr>
              <w:spacing w:after="0"/>
              <w:rPr>
                <w:sz w:val="15"/>
                <w:szCs w:val="15"/>
                <w:color w:val="auto"/>
              </w:rPr>
            </w:pPr>
          </w:p>
        </w:tc>
        <w:tc>
          <w:tcPr>
            <w:tcW w:w="9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Retained</w:t>
            </w:r>
          </w:p>
        </w:tc>
        <w:tc>
          <w:tcPr>
            <w:tcW w:w="200" w:type="dxa"/>
            <w:vAlign w:val="bottom"/>
          </w:tcPr>
          <w:p>
            <w:pPr>
              <w:spacing w:after="0"/>
              <w:rPr>
                <w:sz w:val="15"/>
                <w:szCs w:val="15"/>
                <w:color w:val="auto"/>
              </w:rPr>
            </w:pPr>
          </w:p>
        </w:tc>
        <w:tc>
          <w:tcPr>
            <w:tcW w:w="104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rPr>
              <w:t>Savings</w:t>
            </w:r>
          </w:p>
        </w:tc>
        <w:tc>
          <w:tcPr>
            <w:tcW w:w="15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8"/>
              </w:rPr>
              <w:t>Restoration</w:t>
            </w:r>
          </w:p>
        </w:tc>
        <w:tc>
          <w:tcPr>
            <w:tcW w:w="200" w:type="dxa"/>
            <w:vAlign w:val="bottom"/>
          </w:tcPr>
          <w:p>
            <w:pPr>
              <w:spacing w:after="0"/>
              <w:rPr>
                <w:sz w:val="15"/>
                <w:szCs w:val="15"/>
                <w:color w:val="auto"/>
              </w:rPr>
            </w:pPr>
          </w:p>
        </w:tc>
        <w:tc>
          <w:tcPr>
            <w:tcW w:w="138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200" w:type="dxa"/>
            <w:vAlign w:val="bottom"/>
          </w:tcPr>
          <w:p>
            <w:pPr>
              <w:spacing w:after="0"/>
              <w:rPr>
                <w:sz w:val="15"/>
                <w:szCs w:val="15"/>
                <w:color w:val="auto"/>
              </w:rPr>
            </w:pPr>
          </w:p>
        </w:tc>
        <w:tc>
          <w:tcPr>
            <w:tcW w:w="12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Shareholders’</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Earnings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Plan</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1, 2024</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62,493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190,057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159,964</w:t>
            </w: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20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1,496</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423</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net gains or losses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538</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30"/>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63,031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186,111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(88,461)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158,448</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summarizes the changes in shareholders’ equity for the nine month period ended September 30, 2024:</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Trust for</w:t>
            </w:r>
          </w:p>
        </w:tc>
        <w:tc>
          <w:tcPr>
            <w:tcW w:w="15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Accumulated Other</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80"/>
        </w:trPr>
        <w:tc>
          <w:tcPr>
            <w:tcW w:w="4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Common</w:t>
            </w:r>
          </w:p>
        </w:tc>
        <w:tc>
          <w:tcPr>
            <w:tcW w:w="200" w:type="dxa"/>
            <w:vAlign w:val="bottom"/>
          </w:tcPr>
          <w:p>
            <w:pPr>
              <w:spacing w:after="0"/>
              <w:rPr>
                <w:sz w:val="15"/>
                <w:szCs w:val="15"/>
                <w:color w:val="auto"/>
              </w:rPr>
            </w:pPr>
          </w:p>
        </w:tc>
        <w:tc>
          <w:tcPr>
            <w:tcW w:w="8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Retained</w:t>
            </w:r>
          </w:p>
        </w:tc>
        <w:tc>
          <w:tcPr>
            <w:tcW w:w="220" w:type="dxa"/>
            <w:vAlign w:val="bottom"/>
          </w:tcPr>
          <w:p>
            <w:pPr>
              <w:spacing w:after="0"/>
              <w:rPr>
                <w:sz w:val="15"/>
                <w:szCs w:val="15"/>
                <w:color w:val="auto"/>
              </w:rPr>
            </w:pPr>
          </w:p>
        </w:tc>
        <w:tc>
          <w:tcPr>
            <w:tcW w:w="104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rPr>
              <w:t>Savings</w:t>
            </w:r>
          </w:p>
        </w:tc>
        <w:tc>
          <w:tcPr>
            <w:tcW w:w="15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8"/>
              </w:rPr>
              <w:t>Restoration</w:t>
            </w:r>
          </w:p>
        </w:tc>
        <w:tc>
          <w:tcPr>
            <w:tcW w:w="200" w:type="dxa"/>
            <w:vAlign w:val="bottom"/>
          </w:tcPr>
          <w:p>
            <w:pPr>
              <w:spacing w:after="0"/>
              <w:rPr>
                <w:sz w:val="15"/>
                <w:szCs w:val="15"/>
                <w:color w:val="auto"/>
              </w:rPr>
            </w:pPr>
          </w:p>
        </w:tc>
        <w:tc>
          <w:tcPr>
            <w:tcW w:w="138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200" w:type="dxa"/>
            <w:vAlign w:val="bottom"/>
          </w:tcPr>
          <w:p>
            <w:pPr>
              <w:spacing w:after="0"/>
              <w:rPr>
                <w:sz w:val="15"/>
                <w:szCs w:val="15"/>
                <w:color w:val="auto"/>
              </w:rPr>
            </w:pPr>
          </w:p>
        </w:tc>
        <w:tc>
          <w:tcPr>
            <w:tcW w:w="12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Shareholders’</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Stock</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Earnings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Plan</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61,606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177,977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155,653</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8,134</w:t>
            </w:r>
          </w:p>
        </w:tc>
        <w:tc>
          <w:tcPr>
            <w:tcW w:w="22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3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net gains or losses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1,651</w:t>
            </w:r>
          </w:p>
        </w:tc>
        <w:tc>
          <w:tcPr>
            <w:tcW w:w="2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employee common stock for tax withholdings</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63,031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186,111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(2,233)</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(88,461)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158,448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SUMMARY OF SIGNIFICANT ACCOUNTING POLICIES</w:t>
      </w:r>
    </w:p>
    <w:p>
      <w:pPr>
        <w:spacing w:after="0" w:line="108"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accompanying condensed consolidated financial statements of Tredegar Corporation and its subsidiaries (“Tredegar,” “the Company,” “we,” “us” or “our”) contain all adjustments necessary to state fairly, in all material respects, Tredegar’s condensed consolidated financial position as of September 30, 2025, the condensed consolidated results of operations for the three and nine months ended September 30, 2025 and 2024, the condensed consolidated cash flows for the nine months ended September 30, 2025 and 2024, and the condensed consolidated changes in shareholders’ equity for the three and nine months ended September 30, 2025 and 2024, in accordance with U.S. generally accepted accounting principles (“GAAP”). All such adjustments, unless otherwise detailed in the notes to the condensed consolidated financial statements, are deemed to be of a normal, recurring nature.</w:t>
      </w:r>
    </w:p>
    <w:p>
      <w:pPr>
        <w:spacing w:after="0" w:line="54"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The Company operates on a calendar fiscal year except for the Aluminum Extrusions segment, which operates on a 52/53-week fiscal year basis. As such, the fiscal third quarter for 2025 and 2024 for this segment references 13-week periods ended September 28, 2025 and September 29, 2024, respectively. The Company does not believe the impact of reporting the results of this segment as stated above is material to the consolidated financial results. The Company may fund or receive cash from the Aluminum Extrusions segment based on Aluminum Extrusion’s cash flows from operations during the intervening period from Aluminum Extrusion’s fiscal quarter end and the Company’s fiscal quarter end. As a result, the Company’s cash and cash equivalents declined by $3.6 million as of December 31, 2024 since the Company made payments to the Aluminum Extrusions segment to fund its working capital during the intervening period. There was no intercompany funding with Aluminum Extrusions between September 28, 2025 and September 30, 2025.</w:t>
      </w:r>
    </w:p>
    <w:p>
      <w:pPr>
        <w:spacing w:after="0" w:line="7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as of December 31, 2024 that is included herein was derived from the audited consolidated financial statements provided in the Company’s Annual Report on Form 10-K for the year ended December 31, 2024 (“2024 Form 10-K”) but does not include all disclosures required by GAAP. These financial statements should be read in conjunction with the audited consolidated financial statements and related notes included in the 2024 Form 10-K.</w:t>
      </w:r>
    </w:p>
    <w:p>
      <w:pPr>
        <w:spacing w:after="0" w:line="45"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and nine months ended September 30, 2025, are not necessarily indicative of the results to be expected for the full year.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Flexible Packaging Films</w:t>
      </w:r>
    </w:p>
    <w:p>
      <w:pPr>
        <w:spacing w:after="0" w:line="108"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On November 1, 2024, the Company completed the sale of its flexible packaging films business (also referred to as “Terphane”) headquartered in Brazil to Oben Group (“Oben”). Commencing in the fourth quarter of 2024, all historical results for Terphane have been presented as discontinued operations. For more information on this transaction, see Note 11.</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Closure of PE Films Technical Center</w:t>
      </w:r>
    </w:p>
    <w:p>
      <w:pPr>
        <w:spacing w:after="0" w:line="10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In August 2023, the Company adopted a plan to close the PE Films technical center in Richmond, VA and reduce its efforts to develop and sell films supporting the semiconductor market. Research &amp; development activities for PE Films are now being performed at the production facility in Pottsville, PA. PE Films continues to have new business opportunities primarily relating to surface protection films that protect components of flat panel and flexible displays. All activities ceased at the PE Films technical center in Richmond, VA as of the end of the first quarter of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October 2023, the Financial Accounting Standards Board ("FASB") issued Accounting Standards Update ("ASU") 2023-06 to amend various paragraphs in the Accounting Standards Codification ("ASC") to primarily reflect the issuance of U.S. Securities and Exchange Commission ("SEC") Staff Bulletin No. 33-10532. ASU 2023-06 will impact various disclosure areas, including the statement of cash flows, accounting changes and error corrections, earnings per share, debt, equity, derivatives, and transfers of financial assets. The amendments in this ASU 2023-06 will be effective on the date the related disclosures are removed from Regulation S-X or Regulation S-K by the SEC and will no longer be effective if the SEC has not removed the applicable disclosure requirement by June 30, 2027. Early adoption is not permitted. The Company does not expect a material impact from the adoption of this standard on our consolidated financial statements and related disclosures.</w:t>
      </w:r>
    </w:p>
    <w:p>
      <w:pPr>
        <w:spacing w:after="0" w:line="67"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to improve the income tax disclosures related to the rate reconciliation and income taxes paid information and to improve the effectiveness of income tax disclosures. The amendments in this ASU will require the Company to disclose specified additional information in its income tax rate reconciliation and provide additional information for reconciling items that meet a quantitative threshold. ASU 2023-09 will also require the Company to disaggregate its income taxes paid disclosure by federal, state and foreign taxes, with further disaggregation required for</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9" w:name="page10"/>
    <w:bookmarkEnd w:id="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significant individual jurisdictions. This ASU is effective for annual periods beginning after December 15, 2024; early adoption is permitted. The Company will adopt this ASU on a prospective basis and continues to evaluate additional disclosures that may be required in its Annual Report on Form 10-K for the year ended December 31, 2025.</w:t>
      </w:r>
    </w:p>
    <w:p>
      <w:pPr>
        <w:spacing w:after="0" w:line="4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to improve the disclosures about public business entity’s expenses and address requests from investors for more detailed information about the types of expenses in commonly presented expense captions. The amendments in this ASU will require the Company to disclose specified information about certain costs and expenses in the notes to the financial statements. This ASU is effective for annual periods beginning after December 15, 2026 and interim periods beginning after December 15, 2027. Early adoption is permitted. The Company is currently evaluating the impact of this standard on our consolidated financial statements and related disclosures.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AND OTHER RECEIVABLES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2025 and December 31, 2024, accounts and other receivables, net include the following:</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80" w:type="dxa"/>
            <w:vAlign w:val="bottom"/>
            <w:tcBorders>
              <w:top w:val="single" w:sz="8" w:color="auto"/>
              <w:bottom w:val="single" w:sz="8" w:color="auto"/>
            </w:tcBorders>
          </w:tcPr>
          <w:p>
            <w:pPr>
              <w:spacing w:after="0"/>
              <w:rPr>
                <w:sz w:val="22"/>
                <w:szCs w:val="22"/>
                <w:color w:val="auto"/>
              </w:rPr>
            </w:pPr>
          </w:p>
        </w:tc>
        <w:tc>
          <w:tcPr>
            <w:tcW w:w="20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September 30, 2025</w:t>
            </w:r>
          </w:p>
        </w:tc>
        <w:tc>
          <w:tcPr>
            <w:tcW w:w="360" w:type="dxa"/>
            <w:vAlign w:val="bottom"/>
            <w:tcBorders>
              <w:top w:val="single" w:sz="8" w:color="auto"/>
              <w:bottom w:val="single" w:sz="8" w:color="auto"/>
            </w:tcBorders>
          </w:tcPr>
          <w:p>
            <w:pPr>
              <w:spacing w:after="0"/>
              <w:rPr>
                <w:sz w:val="22"/>
                <w:szCs w:val="22"/>
                <w:color w:val="auto"/>
              </w:rPr>
            </w:pPr>
          </w:p>
        </w:tc>
        <w:tc>
          <w:tcPr>
            <w:tcW w:w="20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receivables</w:t>
            </w:r>
          </w:p>
        </w:tc>
        <w:tc>
          <w:tcPr>
            <w:tcW w:w="1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86,892</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64,094</w:t>
            </w:r>
          </w:p>
        </w:tc>
      </w:tr>
      <w:tr>
        <w:trPr>
          <w:trHeight w:val="22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6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1,332</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23"/>
        </w:trPr>
        <w:tc>
          <w:tcPr>
            <w:tcW w:w="5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accounts and other receivables</w:t>
            </w:r>
          </w:p>
        </w:tc>
        <w:tc>
          <w:tcPr>
            <w:tcW w:w="168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88,224</w:t>
            </w:r>
          </w:p>
        </w:tc>
        <w:tc>
          <w:tcPr>
            <w:tcW w:w="3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65,046</w:t>
            </w:r>
          </w:p>
        </w:tc>
      </w:tr>
      <w:tr>
        <w:trPr>
          <w:trHeight w:val="22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bad debts</w:t>
            </w:r>
          </w:p>
        </w:tc>
        <w:tc>
          <w:tcPr>
            <w:tcW w:w="16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30"/>
        </w:trPr>
        <w:tc>
          <w:tcPr>
            <w:tcW w:w="51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accounts and other receivables, net</w:t>
            </w:r>
          </w:p>
        </w:tc>
        <w:tc>
          <w:tcPr>
            <w:tcW w:w="16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87,931</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64,817</w:t>
            </w:r>
          </w:p>
        </w:tc>
      </w:tr>
      <w:tr>
        <w:trPr>
          <w:trHeight w:val="392"/>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16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11"/>
        </w:trPr>
        <w:tc>
          <w:tcPr>
            <w:tcW w:w="5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components of inventories are as follows:</w:t>
            </w:r>
          </w:p>
        </w:tc>
        <w:tc>
          <w:tcPr>
            <w:tcW w:w="16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4"/>
        </w:trPr>
        <w:tc>
          <w:tcPr>
            <w:tcW w:w="5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September 30, 2025</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15,063</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15,051</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6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3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18,842</w:t>
            </w:r>
          </w:p>
        </w:tc>
        <w:tc>
          <w:tcPr>
            <w:tcW w:w="3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w:t>
            </w:r>
          </w:p>
        </w:tc>
      </w:tr>
      <w:tr>
        <w:trPr>
          <w:trHeight w:val="23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Stores, supplies and other</w:t>
            </w:r>
          </w:p>
        </w:tc>
        <w:tc>
          <w:tcPr>
            <w:tcW w:w="16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23,712</w:t>
            </w:r>
          </w:p>
        </w:tc>
        <w:tc>
          <w:tcPr>
            <w:tcW w:w="3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21,186</w:t>
            </w:r>
          </w:p>
        </w:tc>
      </w:tr>
      <w:tr>
        <w:trPr>
          <w:trHeight w:val="230"/>
        </w:trPr>
        <w:tc>
          <w:tcPr>
            <w:tcW w:w="51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62,006</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51,381</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PENSION AND OTHER POSTRETIREMENT BENEFITS</w:t>
      </w:r>
    </w:p>
    <w:p>
      <w:pPr>
        <w:spacing w:after="0" w:line="10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Tredegar sponsored a noncontributory defined benefit (pension) plan covering certain current and former U.S. employees. As of January 31, 2018, the plan no longer accrued benefits associated with crediting employees for service, thereby freezing all future benefits under the plan. On February 10, 2022, Tredegar announced the initiation of a process to terminate and settle its frozen defined benefit pension plan through lump sum distributions and the purchase of annuity contracts. On November 3, 2023, the pension plan termination and settlement process for the Company was completed, and the remaining pension plan obligation was transferred to Massachusetts Mutual Life Insurance Company. During 2023, the Company recognized a total pre-tax pension settlement loss of $92.3 million.</w:t>
      </w:r>
    </w:p>
    <w:p>
      <w:pPr>
        <w:spacing w:after="0" w:line="52"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Tredegar also has a non-qualified supplemental pension plan covering certain employees. Effective December 31, 2005, further participation in this plan was terminated and benefit accruals for existing participants were frozen. Pension expense recognized for this plan was immaterial in the three and nine months ended September 30, 2025 and 2024.</w:t>
      </w:r>
    </w:p>
    <w:p>
      <w:pPr>
        <w:spacing w:after="0" w:line="54"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In addition to providing non-qualified supplemental pension benefits, the Company provides postretirement life insurance and health care benefits ("Other Post-Retirement Benefits") for certain groups of employees. Tredegar and retirees share in the costs with employees hired on or before January 1, 1993, who receive a fixed subsidy to cover a portion of their health care premiums.</w:t>
      </w:r>
    </w:p>
    <w:p>
      <w:pPr>
        <w:spacing w:after="0" w:line="54" w:lineRule="exact"/>
        <w:rPr>
          <w:sz w:val="20"/>
          <w:szCs w:val="20"/>
          <w:color w:val="auto"/>
        </w:rPr>
      </w:pPr>
    </w:p>
    <w:p>
      <w:pPr>
        <w:jc w:val="both"/>
        <w:ind w:right="100" w:firstLine="405"/>
        <w:spacing w:after="0" w:line="261" w:lineRule="auto"/>
        <w:rPr>
          <w:sz w:val="20"/>
          <w:szCs w:val="20"/>
          <w:color w:val="auto"/>
        </w:rPr>
      </w:pPr>
      <w:r>
        <w:rPr>
          <w:rFonts w:ascii="Times New Roman" w:cs="Times New Roman" w:eastAsia="Times New Roman" w:hAnsi="Times New Roman"/>
          <w:sz w:val="18"/>
          <w:szCs w:val="18"/>
          <w:color w:val="auto"/>
        </w:rPr>
        <w:t>On October 31, 2025, Tredegar terminated the Other Post-Retirement Benefits by prefunding $0.1 million, representing all required contributions for the remainder of 2025. As of September 30, 2025, the Other Post-Retirement Benefits total obligation and unrecognized pre-tax actuarial gain reported in the condensed consolidated balance sheets is $5.0 million and $1.3 million, respectively, which is expected to be realized into the income statement during the fourth quarter of 2025.</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ind w:right="40" w:firstLine="405"/>
        <w:spacing w:after="0" w:line="276" w:lineRule="auto"/>
        <w:rPr>
          <w:sz w:val="20"/>
          <w:szCs w:val="20"/>
          <w:color w:val="auto"/>
        </w:rPr>
      </w:pPr>
      <w:r>
        <w:rPr>
          <w:rFonts w:ascii="Times New Roman" w:cs="Times New Roman" w:eastAsia="Times New Roman" w:hAnsi="Times New Roman"/>
          <w:sz w:val="18"/>
          <w:szCs w:val="18"/>
          <w:color w:val="auto"/>
        </w:rPr>
        <w:t>The components of net periodic benefit cost for the pension and Other Post-Retirement Benefits reflected in the condensed consolidated statements of income for the three and nine months ended September 30, 2025 and 2024, are shown below:</w:t>
      </w:r>
    </w:p>
    <w:tbl>
      <w:tblPr>
        <w:tblLayout w:type="fixed"/>
        <w:tblInd w:w="0" w:type="dxa"/>
        <w:tblCellMar>
          <w:top w:w="0" w:type="dxa"/>
          <w:left w:w="0" w:type="dxa"/>
          <w:bottom w:w="0" w:type="dxa"/>
          <w:right w:w="0" w:type="dxa"/>
        </w:tblCellMar>
      </w:tblPr>
      <w:tr>
        <w:trPr>
          <w:trHeight w:val="184"/>
        </w:trPr>
        <w:tc>
          <w:tcPr>
            <w:tcW w:w="67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gridSpan w:val="3"/>
          </w:tcPr>
          <w:p>
            <w:pPr>
              <w:jc w:val="center"/>
              <w:ind w:right="110"/>
              <w:spacing w:after="0" w:line="184" w:lineRule="exact"/>
              <w:rPr>
                <w:sz w:val="20"/>
                <w:szCs w:val="20"/>
                <w:color w:val="auto"/>
              </w:rPr>
            </w:pPr>
            <w:r>
              <w:rPr>
                <w:rFonts w:ascii="Times New Roman" w:cs="Times New Roman" w:eastAsia="Times New Roman" w:hAnsi="Times New Roman"/>
                <w:sz w:val="18"/>
                <w:szCs w:val="18"/>
                <w:color w:val="auto"/>
                <w:w w:val="99"/>
              </w:rPr>
              <w:t>Other Post-Retirement</w:t>
            </w:r>
          </w:p>
        </w:tc>
      </w:tr>
      <w:tr>
        <w:trPr>
          <w:trHeight w:val="243"/>
        </w:trPr>
        <w:tc>
          <w:tcPr>
            <w:tcW w:w="6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rPr>
              <w:t>Pension Benefits</w:t>
            </w:r>
          </w:p>
        </w:tc>
        <w:tc>
          <w:tcPr>
            <w:tcW w:w="200" w:type="dxa"/>
            <w:vAlign w:val="bottom"/>
          </w:tcPr>
          <w:p>
            <w:pPr>
              <w:spacing w:after="0"/>
              <w:rPr>
                <w:sz w:val="21"/>
                <w:szCs w:val="21"/>
                <w:color w:val="auto"/>
              </w:rPr>
            </w:pPr>
          </w:p>
        </w:tc>
        <w:tc>
          <w:tcPr>
            <w:tcW w:w="126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9"/>
              </w:rPr>
              <w:t>Benefits</w:t>
            </w:r>
          </w:p>
        </w:tc>
        <w:tc>
          <w:tcPr>
            <w:tcW w:w="760" w:type="dxa"/>
            <w:vAlign w:val="bottom"/>
          </w:tcPr>
          <w:p>
            <w:pPr>
              <w:spacing w:after="0"/>
              <w:rPr>
                <w:sz w:val="21"/>
                <w:szCs w:val="21"/>
                <w:color w:val="auto"/>
              </w:rPr>
            </w:pPr>
          </w:p>
        </w:tc>
      </w:tr>
      <w:tr>
        <w:trPr>
          <w:trHeight w:val="169"/>
        </w:trPr>
        <w:tc>
          <w:tcPr>
            <w:tcW w:w="67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gridSpan w:val="3"/>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gridSpan w:val="3"/>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w w:val="99"/>
              </w:rPr>
              <w:t>Three Months Ended</w:t>
            </w:r>
          </w:p>
        </w:tc>
      </w:tr>
      <w:tr>
        <w:trPr>
          <w:trHeight w:val="237"/>
        </w:trPr>
        <w:tc>
          <w:tcPr>
            <w:tcW w:w="6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September 30,</w:t>
            </w:r>
          </w:p>
        </w:tc>
        <w:tc>
          <w:tcPr>
            <w:tcW w:w="200" w:type="dxa"/>
            <w:vAlign w:val="bottom"/>
          </w:tcPr>
          <w:p>
            <w:pPr>
              <w:spacing w:after="0"/>
              <w:rPr>
                <w:sz w:val="20"/>
                <w:szCs w:val="20"/>
                <w:color w:val="auto"/>
              </w:rPr>
            </w:pPr>
          </w:p>
        </w:tc>
        <w:tc>
          <w:tcPr>
            <w:tcW w:w="202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29"/>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6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(gains) losses and net transition asset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9"/>
        </w:trPr>
        <w:tc>
          <w:tcPr>
            <w:tcW w:w="6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spacing w:after="0"/>
              <w:rPr>
                <w:sz w:val="18"/>
                <w:szCs w:val="18"/>
                <w:color w:val="auto"/>
              </w:rPr>
            </w:pPr>
          </w:p>
        </w:tc>
      </w:tr>
      <w:tr>
        <w:trPr>
          <w:trHeight w:val="176"/>
        </w:trPr>
        <w:tc>
          <w:tcPr>
            <w:tcW w:w="6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3"/>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Other Post-Retirement</w:t>
            </w:r>
          </w:p>
        </w:tc>
      </w:tr>
      <w:tr>
        <w:trPr>
          <w:trHeight w:val="243"/>
        </w:trPr>
        <w:tc>
          <w:tcPr>
            <w:tcW w:w="6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rPr>
              <w:t>Pension Benefits</w:t>
            </w:r>
          </w:p>
        </w:tc>
        <w:tc>
          <w:tcPr>
            <w:tcW w:w="200" w:type="dxa"/>
            <w:vAlign w:val="bottom"/>
          </w:tcPr>
          <w:p>
            <w:pPr>
              <w:spacing w:after="0"/>
              <w:rPr>
                <w:sz w:val="21"/>
                <w:szCs w:val="21"/>
                <w:color w:val="auto"/>
              </w:rPr>
            </w:pPr>
          </w:p>
        </w:tc>
        <w:tc>
          <w:tcPr>
            <w:tcW w:w="126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9"/>
              </w:rPr>
              <w:t>Benefits</w:t>
            </w:r>
          </w:p>
        </w:tc>
        <w:tc>
          <w:tcPr>
            <w:tcW w:w="760" w:type="dxa"/>
            <w:vAlign w:val="bottom"/>
          </w:tcPr>
          <w:p>
            <w:pPr>
              <w:spacing w:after="0"/>
              <w:rPr>
                <w:sz w:val="21"/>
                <w:szCs w:val="21"/>
                <w:color w:val="auto"/>
              </w:rPr>
            </w:pPr>
          </w:p>
        </w:tc>
      </w:tr>
      <w:tr>
        <w:trPr>
          <w:trHeight w:val="169"/>
        </w:trPr>
        <w:tc>
          <w:tcPr>
            <w:tcW w:w="67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gridSpan w:val="3"/>
          </w:tcPr>
          <w:p>
            <w:pPr>
              <w:jc w:val="center"/>
              <w:ind w:right="150"/>
              <w:spacing w:after="0" w:line="169" w:lineRule="exact"/>
              <w:rPr>
                <w:sz w:val="20"/>
                <w:szCs w:val="20"/>
                <w:color w:val="auto"/>
              </w:rPr>
            </w:pPr>
            <w:r>
              <w:rPr>
                <w:rFonts w:ascii="Times New Roman" w:cs="Times New Roman" w:eastAsia="Times New Roman" w:hAnsi="Times New Roman"/>
                <w:sz w:val="18"/>
                <w:szCs w:val="18"/>
                <w:color w:val="auto"/>
              </w:rPr>
              <w:t>Nine Months Ended</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gridSpan w:val="3"/>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7"/>
        </w:trPr>
        <w:tc>
          <w:tcPr>
            <w:tcW w:w="6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September 30,</w:t>
            </w:r>
          </w:p>
        </w:tc>
        <w:tc>
          <w:tcPr>
            <w:tcW w:w="200" w:type="dxa"/>
            <w:vAlign w:val="bottom"/>
          </w:tcPr>
          <w:p>
            <w:pPr>
              <w:spacing w:after="0"/>
              <w:rPr>
                <w:sz w:val="20"/>
                <w:szCs w:val="20"/>
                <w:color w:val="auto"/>
              </w:rPr>
            </w:pPr>
          </w:p>
        </w:tc>
        <w:tc>
          <w:tcPr>
            <w:tcW w:w="202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29"/>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9"/>
        </w:trPr>
        <w:tc>
          <w:tcPr>
            <w:tcW w:w="6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(gains) losses and net transition asset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r>
    </w:tbl>
    <w:p>
      <w:pPr>
        <w:spacing w:after="0" w:line="157"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Pension and other postretirement liabilities were $6.4 million and $6.6 million at September 30, 2025 and December 31, 2024, respectively ($0.6 million included in “Accrued expenses” at September 30, 2025 and December 31, 2024 with the remainder included in “Pension and other postretirement benefit obligations, net” in the condensed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108"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(loss) by the weighted average number of shares of common stock outstanding. Diluted earnings per share is computed by dividing net income (loss) by the weighted average common and potentially dilutive common equivalent shares outstanding, determined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380" w:type="dxa"/>
            <w:vAlign w:val="bottom"/>
            <w:tcBorders>
              <w:top w:val="single" w:sz="8" w:color="auto"/>
              <w:bottom w:val="single" w:sz="8" w:color="auto"/>
            </w:tcBorders>
          </w:tcPr>
          <w:p>
            <w:pPr>
              <w:spacing w:after="0"/>
              <w:rPr>
                <w:sz w:val="22"/>
                <w:szCs w:val="22"/>
                <w:color w:val="auto"/>
              </w:rPr>
            </w:pPr>
          </w:p>
        </w:tc>
        <w:tc>
          <w:tcPr>
            <w:tcW w:w="3000" w:type="dxa"/>
            <w:vAlign w:val="bottom"/>
            <w:tcBorders>
              <w:top w:val="single" w:sz="8" w:color="auto"/>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86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2025</w:t>
            </w: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r>
      <w:tr>
        <w:trPr>
          <w:trHeight w:val="178"/>
        </w:trPr>
        <w:tc>
          <w:tcPr>
            <w:tcW w:w="53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Weighted average shares outstanding used to compute basic earnings per</w:t>
            </w:r>
          </w:p>
        </w:tc>
        <w:tc>
          <w:tcPr>
            <w:tcW w:w="16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34"/>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6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34,773</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34,391</w:t>
            </w:r>
          </w:p>
        </w:tc>
        <w:tc>
          <w:tcPr>
            <w:tcW w:w="16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34,721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34,364</w:t>
            </w:r>
          </w:p>
        </w:tc>
      </w:tr>
      <w:tr>
        <w:trPr>
          <w:trHeight w:val="184"/>
        </w:trPr>
        <w:tc>
          <w:tcPr>
            <w:tcW w:w="53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Incremental dilutive shares attributable to stock options and restricted</w:t>
            </w:r>
          </w:p>
        </w:tc>
        <w:tc>
          <w:tcPr>
            <w:tcW w:w="16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4"/>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6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diluted earnings per share</w:t>
            </w:r>
          </w:p>
        </w:tc>
        <w:tc>
          <w:tcPr>
            <w:tcW w:w="16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34,773</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34,391</w:t>
            </w:r>
          </w:p>
        </w:tc>
        <w:tc>
          <w:tcPr>
            <w:tcW w:w="16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34,721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34,364</w:t>
            </w:r>
          </w:p>
        </w:tc>
      </w:tr>
    </w:tbl>
    <w:p>
      <w:pPr>
        <w:spacing w:after="0" w:line="171"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Incremental shares attributable to stock options and restricted stock are computed under the treasury stock method using the average market price during the related period. Average out-of-the-money options to purchase shares that were excluded from the calculation of incremental shares attributable to stock options and restricted stock were 1,205,105 and 1,258,787 for the three and nine months ended September 30, 2025, respectively. If the Company had reported net income from continuing operations for the three months ended September 30, 2024, average out-of-the-money options to purchase shares that were excluded from the calculation of incremental shares attributable to stock options and restricted stock would have been 2,353,905. Average out-of-the-money options to purchase shares that were excluded from the calculation of incremental shares attributable to stock options and restricted stock were 2,550,542 for the nine months ended September 30, 2024.</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6. ACCUMULATED OTHER COMPREHENSIVE INCOME (LOSS)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for the three months ended September 30,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Foreign Currency</w:t>
            </w:r>
          </w:p>
        </w:tc>
        <w:tc>
          <w:tcPr>
            <w:tcW w:w="2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center"/>
              <w:ind w:right="130"/>
              <w:spacing w:after="0" w:line="202" w:lineRule="exact"/>
              <w:rPr>
                <w:sz w:val="20"/>
                <w:szCs w:val="20"/>
                <w:color w:val="auto"/>
              </w:rPr>
            </w:pPr>
            <w:r>
              <w:rPr>
                <w:rFonts w:ascii="Times New Roman" w:cs="Times New Roman" w:eastAsia="Times New Roman" w:hAnsi="Times New Roman"/>
                <w:sz w:val="18"/>
                <w:szCs w:val="18"/>
                <w:color w:val="auto"/>
                <w:w w:val="99"/>
              </w:rPr>
              <w:t>Gain (Loss) on</w:t>
            </w:r>
          </w:p>
        </w:tc>
        <w:tc>
          <w:tcPr>
            <w:tcW w:w="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Pension &amp; Other</w:t>
            </w:r>
          </w:p>
        </w:tc>
        <w:tc>
          <w:tcPr>
            <w:tcW w:w="22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Total Accumulated Other</w:t>
            </w:r>
          </w:p>
        </w:tc>
        <w:tc>
          <w:tcPr>
            <w:tcW w:w="0" w:type="dxa"/>
            <w:vAlign w:val="bottom"/>
          </w:tcPr>
          <w:p>
            <w:pPr>
              <w:spacing w:after="0"/>
              <w:rPr>
                <w:sz w:val="1"/>
                <w:szCs w:val="1"/>
                <w:color w:val="auto"/>
              </w:rPr>
            </w:pPr>
          </w:p>
        </w:tc>
      </w:tr>
      <w:tr>
        <w:trPr>
          <w:trHeight w:val="176"/>
        </w:trPr>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8"/>
              </w:rPr>
              <w:t>Derivative Financial</w:t>
            </w:r>
          </w:p>
        </w:tc>
        <w:tc>
          <w:tcPr>
            <w:tcW w:w="180" w:type="dxa"/>
            <w:vAlign w:val="bottom"/>
          </w:tcPr>
          <w:p>
            <w:pPr>
              <w:spacing w:after="0"/>
              <w:rPr>
                <w:sz w:val="15"/>
                <w:szCs w:val="15"/>
                <w:color w:val="auto"/>
              </w:rPr>
            </w:pPr>
          </w:p>
        </w:tc>
        <w:tc>
          <w:tcPr>
            <w:tcW w:w="144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Postretirement</w:t>
            </w:r>
          </w:p>
        </w:tc>
        <w:tc>
          <w:tcPr>
            <w:tcW w:w="22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Translation</w:t>
            </w:r>
          </w:p>
        </w:tc>
        <w:tc>
          <w:tcPr>
            <w:tcW w:w="2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Instruments</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Benefit Adjust</w:t>
            </w:r>
          </w:p>
        </w:tc>
        <w:tc>
          <w:tcPr>
            <w:tcW w:w="23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9"/>
              </w:rPr>
              <w:t>Comprehensive Income (Loss)</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5,180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rPr>
              <w:t>666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688</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19"/>
                <w:szCs w:val="19"/>
                <w:color w:val="auto"/>
              </w:rPr>
            </w:pPr>
          </w:p>
        </w:tc>
        <w:tc>
          <w:tcPr>
            <w:tcW w:w="17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829</w:t>
            </w:r>
          </w:p>
        </w:tc>
        <w:tc>
          <w:tcPr>
            <w:tcW w:w="18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7"/>
              </w:rPr>
              <w:t>(185)</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169"/>
        </w:trPr>
        <w:tc>
          <w:tcPr>
            <w:tcW w:w="3220" w:type="dxa"/>
            <w:vAlign w:val="bottom"/>
          </w:tcPr>
          <w:p>
            <w:pPr>
              <w:ind w:left="140"/>
              <w:spacing w:after="0" w:line="169" w:lineRule="exact"/>
              <w:rPr>
                <w:sz w:val="20"/>
                <w:szCs w:val="20"/>
                <w:color w:val="auto"/>
              </w:rPr>
            </w:pPr>
            <w:r>
              <w:rPr>
                <w:rFonts w:ascii="Times New Roman" w:cs="Times New Roman" w:eastAsia="Times New Roman" w:hAnsi="Times New Roman"/>
                <w:sz w:val="18"/>
                <w:szCs w:val="18"/>
                <w:color w:val="auto"/>
                <w:w w:val="99"/>
              </w:rPr>
              <w:t>Other comprehensive income (loss), net of</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w:t>
            </w:r>
          </w:p>
        </w:tc>
        <w:tc>
          <w:tcPr>
            <w:tcW w:w="16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Pr>
          <w:p>
            <w:pPr>
              <w:spacing w:after="0"/>
              <w:rPr>
                <w:sz w:val="21"/>
                <w:szCs w:val="21"/>
                <w:color w:val="auto"/>
              </w:rPr>
            </w:pPr>
          </w:p>
        </w:tc>
        <w:tc>
          <w:tcPr>
            <w:tcW w:w="17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644</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176"/>
        </w:trPr>
        <w:tc>
          <w:tcPr>
            <w:tcW w:w="3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78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7"/>
              </w:rPr>
              <w:t>(613)</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left="1170"/>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69"/>
        </w:trPr>
        <w:tc>
          <w:tcPr>
            <w:tcW w:w="3220" w:type="dxa"/>
            <w:vAlign w:val="bottom"/>
            <w:shd w:val="clear" w:color="auto" w:fill="CCEEFF"/>
          </w:tcPr>
          <w:p>
            <w:pPr>
              <w:ind w:left="140"/>
              <w:spacing w:after="0" w:line="169"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net of tax</w:t>
            </w:r>
          </w:p>
        </w:tc>
        <w:tc>
          <w:tcPr>
            <w:tcW w:w="1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7"/>
              </w:rPr>
              <w:t>(476)</w:t>
            </w:r>
          </w:p>
        </w:tc>
        <w:tc>
          <w:tcPr>
            <w:tcW w:w="1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169"/>
        </w:trPr>
        <w:tc>
          <w:tcPr>
            <w:tcW w:w="3220" w:type="dxa"/>
            <w:vAlign w:val="bottom"/>
          </w:tcPr>
          <w:p>
            <w:pPr>
              <w:ind w:left="240"/>
              <w:spacing w:after="0" w:line="169" w:lineRule="exact"/>
              <w:rPr>
                <w:sz w:val="20"/>
                <w:szCs w:val="20"/>
                <w:color w:val="auto"/>
              </w:rPr>
            </w:pPr>
            <w:r>
              <w:rPr>
                <w:rFonts w:ascii="Times New Roman" w:cs="Times New Roman" w:eastAsia="Times New Roman" w:hAnsi="Times New Roman"/>
                <w:sz w:val="18"/>
                <w:szCs w:val="18"/>
                <w:color w:val="auto"/>
              </w:rPr>
              <w:t>Other comprehensive income (loss), net</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of tax</w:t>
            </w: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center"/>
              <w:ind w:left="1170"/>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5,334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rPr>
              <w:t>834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639</w:t>
            </w:r>
          </w:p>
        </w:tc>
        <w:tc>
          <w:tcPr>
            <w:tcW w:w="2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for the nine months ended September 30,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Foreign Currency</w:t>
            </w:r>
          </w:p>
        </w:tc>
        <w:tc>
          <w:tcPr>
            <w:tcW w:w="2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center"/>
              <w:ind w:right="130"/>
              <w:spacing w:after="0" w:line="202" w:lineRule="exact"/>
              <w:rPr>
                <w:sz w:val="20"/>
                <w:szCs w:val="20"/>
                <w:color w:val="auto"/>
              </w:rPr>
            </w:pPr>
            <w:r>
              <w:rPr>
                <w:rFonts w:ascii="Times New Roman" w:cs="Times New Roman" w:eastAsia="Times New Roman" w:hAnsi="Times New Roman"/>
                <w:sz w:val="18"/>
                <w:szCs w:val="18"/>
                <w:color w:val="auto"/>
                <w:w w:val="99"/>
              </w:rPr>
              <w:t>Gain (Loss) on</w:t>
            </w:r>
          </w:p>
        </w:tc>
        <w:tc>
          <w:tcPr>
            <w:tcW w:w="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Pension &amp; Other</w:t>
            </w:r>
          </w:p>
        </w:tc>
        <w:tc>
          <w:tcPr>
            <w:tcW w:w="22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Total Accumulated Other</w:t>
            </w:r>
          </w:p>
        </w:tc>
        <w:tc>
          <w:tcPr>
            <w:tcW w:w="28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8"/>
              </w:rPr>
              <w:t>Derivative Financial</w:t>
            </w:r>
          </w:p>
        </w:tc>
        <w:tc>
          <w:tcPr>
            <w:tcW w:w="180" w:type="dxa"/>
            <w:vAlign w:val="bottom"/>
          </w:tcPr>
          <w:p>
            <w:pPr>
              <w:spacing w:after="0"/>
              <w:rPr>
                <w:sz w:val="15"/>
                <w:szCs w:val="15"/>
                <w:color w:val="auto"/>
              </w:rPr>
            </w:pPr>
          </w:p>
        </w:tc>
        <w:tc>
          <w:tcPr>
            <w:tcW w:w="144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Postretirement</w:t>
            </w:r>
          </w:p>
        </w:tc>
        <w:tc>
          <w:tcPr>
            <w:tcW w:w="22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1"/>
                <w:szCs w:val="21"/>
                <w:color w:val="auto"/>
              </w:rPr>
            </w:pPr>
          </w:p>
        </w:tc>
        <w:tc>
          <w:tcPr>
            <w:tcW w:w="1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Translation</w:t>
            </w:r>
          </w:p>
        </w:tc>
        <w:tc>
          <w:tcPr>
            <w:tcW w:w="240" w:type="dxa"/>
            <w:vAlign w:val="bottom"/>
          </w:tcPr>
          <w:p>
            <w:pPr>
              <w:spacing w:after="0"/>
              <w:rPr>
                <w:sz w:val="21"/>
                <w:szCs w:val="21"/>
                <w:color w:val="auto"/>
              </w:rPr>
            </w:pPr>
          </w:p>
        </w:tc>
        <w:tc>
          <w:tcPr>
            <w:tcW w:w="17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Instruments</w:t>
            </w:r>
          </w:p>
        </w:tc>
        <w:tc>
          <w:tcPr>
            <w:tcW w:w="180" w:type="dxa"/>
            <w:vAlign w:val="bottom"/>
          </w:tcPr>
          <w:p>
            <w:pPr>
              <w:spacing w:after="0"/>
              <w:rPr>
                <w:sz w:val="21"/>
                <w:szCs w:val="21"/>
                <w:color w:val="auto"/>
              </w:rPr>
            </w:pP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Benefit Adjust</w:t>
            </w:r>
          </w:p>
        </w:tc>
        <w:tc>
          <w:tcPr>
            <w:tcW w:w="2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0" w:type="dxa"/>
            <w:vAlign w:val="bottom"/>
          </w:tcPr>
          <w:p>
            <w:pPr>
              <w:spacing w:after="0"/>
              <w:rPr>
                <w:sz w:val="1"/>
                <w:szCs w:val="1"/>
                <w:color w:val="auto"/>
              </w:rPr>
            </w:pPr>
          </w:p>
        </w:tc>
      </w:tr>
      <w:tr>
        <w:trPr>
          <w:trHeight w:val="223"/>
        </w:trPr>
        <w:tc>
          <w:tcPr>
            <w:tcW w:w="3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5,105</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826</w:t>
            </w:r>
          </w:p>
        </w:tc>
        <w:tc>
          <w:tcPr>
            <w:tcW w:w="2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1,201</w:t>
            </w:r>
          </w:p>
        </w:tc>
        <w:tc>
          <w:tcPr>
            <w:tcW w:w="18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220" w:type="dxa"/>
            <w:vAlign w:val="bottom"/>
          </w:tcPr>
          <w:p>
            <w:pPr>
              <w:ind w:left="140"/>
              <w:spacing w:after="0" w:line="169" w:lineRule="exact"/>
              <w:rPr>
                <w:sz w:val="20"/>
                <w:szCs w:val="20"/>
                <w:color w:val="auto"/>
              </w:rPr>
            </w:pPr>
            <w:r>
              <w:rPr>
                <w:rFonts w:ascii="Times New Roman" w:cs="Times New Roman" w:eastAsia="Times New Roman" w:hAnsi="Times New Roman"/>
                <w:sz w:val="18"/>
                <w:szCs w:val="18"/>
                <w:color w:val="auto"/>
                <w:w w:val="99"/>
              </w:rPr>
              <w:t>Other comprehensive income (loss), net of</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w:t>
            </w:r>
          </w:p>
        </w:tc>
        <w:tc>
          <w:tcPr>
            <w:tcW w:w="16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931</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220" w:type="dxa"/>
            <w:vAlign w:val="bottom"/>
            <w:shd w:val="clear" w:color="auto" w:fill="CCEEFF"/>
          </w:tcPr>
          <w:p>
            <w:pPr>
              <w:ind w:left="140"/>
              <w:spacing w:after="0" w:line="169"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net of tax</w:t>
            </w:r>
          </w:p>
        </w:tc>
        <w:tc>
          <w:tcPr>
            <w:tcW w:w="16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220" w:type="dxa"/>
            <w:vAlign w:val="bottom"/>
          </w:tcPr>
          <w:p>
            <w:pPr>
              <w:ind w:left="240"/>
              <w:spacing w:after="0" w:line="169" w:lineRule="exact"/>
              <w:rPr>
                <w:sz w:val="20"/>
                <w:szCs w:val="20"/>
                <w:color w:val="auto"/>
              </w:rPr>
            </w:pPr>
            <w:r>
              <w:rPr>
                <w:rFonts w:ascii="Times New Roman" w:cs="Times New Roman" w:eastAsia="Times New Roman" w:hAnsi="Times New Roman"/>
                <w:sz w:val="18"/>
                <w:szCs w:val="18"/>
                <w:color w:val="auto"/>
              </w:rPr>
              <w:t>Other comprehensive income (loss), net</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of tax</w:t>
            </w: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566</w:t>
            </w: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5,334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639</w:t>
            </w:r>
          </w:p>
        </w:tc>
        <w:tc>
          <w:tcPr>
            <w:tcW w:w="2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3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ind w:left="42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for the three months ended September 30, 2024.</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8"/>
              </w:rPr>
              <w:t>Foreign Currency</w:t>
            </w:r>
          </w:p>
        </w:tc>
        <w:tc>
          <w:tcPr>
            <w:tcW w:w="2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Gain (Loss) on</w:t>
            </w: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Pension &amp; Other</w:t>
            </w:r>
          </w:p>
        </w:tc>
        <w:tc>
          <w:tcPr>
            <w:tcW w:w="24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Total Accumulated Other</w:t>
            </w:r>
          </w:p>
        </w:tc>
        <w:tc>
          <w:tcPr>
            <w:tcW w:w="0" w:type="dxa"/>
            <w:vAlign w:val="bottom"/>
          </w:tcPr>
          <w:p>
            <w:pPr>
              <w:spacing w:after="0"/>
              <w:rPr>
                <w:sz w:val="1"/>
                <w:szCs w:val="1"/>
                <w:color w:val="auto"/>
              </w:rPr>
            </w:pPr>
          </w:p>
        </w:tc>
      </w:tr>
      <w:tr>
        <w:trPr>
          <w:trHeight w:val="180"/>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rPr>
              <w:t>Derivative Financial</w:t>
            </w:r>
          </w:p>
        </w:tc>
        <w:tc>
          <w:tcPr>
            <w:tcW w:w="200" w:type="dxa"/>
            <w:vAlign w:val="bottom"/>
          </w:tcPr>
          <w:p>
            <w:pPr>
              <w:spacing w:after="0"/>
              <w:rPr>
                <w:sz w:val="15"/>
                <w:szCs w:val="15"/>
                <w:color w:val="auto"/>
              </w:rPr>
            </w:pPr>
          </w:p>
        </w:tc>
        <w:tc>
          <w:tcPr>
            <w:tcW w:w="142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9"/>
              </w:rPr>
              <w:t>Postretirement</w:t>
            </w:r>
          </w:p>
        </w:tc>
        <w:tc>
          <w:tcPr>
            <w:tcW w:w="2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Translation</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Instruments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Benefit Adjust</w:t>
            </w:r>
          </w:p>
        </w:tc>
        <w:tc>
          <w:tcPr>
            <w:tcW w:w="2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484</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(90,353)</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Other comprehensive income (loss), net of tax</w:t>
            </w:r>
          </w:p>
        </w:tc>
        <w:tc>
          <w:tcPr>
            <w:tcW w:w="180" w:type="dxa"/>
            <w:vAlign w:val="bottom"/>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1,496</w:t>
            </w:r>
          </w:p>
        </w:tc>
        <w:tc>
          <w:tcPr>
            <w:tcW w:w="24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0" w:type="dxa"/>
            <w:vAlign w:val="bottom"/>
          </w:tcPr>
          <w:p>
            <w:pPr>
              <w:spacing w:after="0"/>
              <w:rPr>
                <w:sz w:val="1"/>
                <w:szCs w:val="1"/>
                <w:color w:val="auto"/>
              </w:rPr>
            </w:pPr>
          </w:p>
        </w:tc>
      </w:tr>
      <w:tr>
        <w:trPr>
          <w:trHeight w:val="184"/>
        </w:trPr>
        <w:tc>
          <w:tcPr>
            <w:tcW w:w="34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78"/>
        </w:trPr>
        <w:tc>
          <w:tcPr>
            <w:tcW w:w="3480" w:type="dxa"/>
            <w:vAlign w:val="bottom"/>
            <w:shd w:val="clear" w:color="auto" w:fill="CCEEFF"/>
          </w:tcPr>
          <w:p>
            <w:pPr>
              <w:ind w:left="140"/>
              <w:spacing w:after="0" w:line="177"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net of tax</w:t>
            </w:r>
          </w:p>
        </w:tc>
        <w:tc>
          <w:tcPr>
            <w:tcW w:w="1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178"/>
        </w:trPr>
        <w:tc>
          <w:tcPr>
            <w:tcW w:w="3480" w:type="dxa"/>
            <w:vAlign w:val="bottom"/>
          </w:tcPr>
          <w:p>
            <w:pPr>
              <w:ind w:left="240"/>
              <w:spacing w:after="0" w:line="177"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1,496</w:t>
            </w: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(88,777)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457</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(88,461)</w:t>
            </w:r>
          </w:p>
        </w:tc>
        <w:tc>
          <w:tcPr>
            <w:tcW w:w="0" w:type="dxa"/>
            <w:vAlign w:val="bottom"/>
          </w:tcPr>
          <w:p>
            <w:pPr>
              <w:spacing w:after="0"/>
              <w:rPr>
                <w:sz w:val="1"/>
                <w:szCs w:val="1"/>
                <w:color w:val="auto"/>
              </w:rPr>
            </w:pPr>
          </w:p>
        </w:tc>
      </w:tr>
      <w:tr>
        <w:trPr>
          <w:trHeight w:val="405"/>
        </w:trPr>
        <w:tc>
          <w:tcPr>
            <w:tcW w:w="11240" w:type="dxa"/>
            <w:vAlign w:val="bottom"/>
            <w:gridSpan w:val="9"/>
          </w:tcPr>
          <w:p>
            <w:pPr>
              <w:ind w:left="42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for the nine months ended September 30, 2024.</w:t>
            </w:r>
          </w:p>
        </w:tc>
        <w:tc>
          <w:tcPr>
            <w:tcW w:w="0" w:type="dxa"/>
            <w:vAlign w:val="bottom"/>
          </w:tcPr>
          <w:p>
            <w:pPr>
              <w:spacing w:after="0"/>
              <w:rPr>
                <w:sz w:val="1"/>
                <w:szCs w:val="1"/>
                <w:color w:val="auto"/>
              </w:rPr>
            </w:pPr>
          </w:p>
        </w:tc>
      </w:tr>
      <w:tr>
        <w:trPr>
          <w:trHeight w:val="115"/>
        </w:trPr>
        <w:tc>
          <w:tcPr>
            <w:tcW w:w="34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8"/>
              </w:rPr>
              <w:t>Foreign Currency</w:t>
            </w:r>
          </w:p>
        </w:tc>
        <w:tc>
          <w:tcPr>
            <w:tcW w:w="240" w:type="dxa"/>
            <w:vAlign w:val="bottom"/>
          </w:tcPr>
          <w:p>
            <w:pPr>
              <w:spacing w:after="0"/>
              <w:rPr>
                <w:sz w:val="16"/>
                <w:szCs w:val="16"/>
                <w:color w:val="auto"/>
              </w:rPr>
            </w:pPr>
          </w:p>
        </w:tc>
        <w:tc>
          <w:tcPr>
            <w:tcW w:w="176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color w:val="auto"/>
                <w:w w:val="99"/>
              </w:rPr>
              <w:t>Gain (Loss) on</w:t>
            </w:r>
          </w:p>
        </w:tc>
        <w:tc>
          <w:tcPr>
            <w:tcW w:w="200" w:type="dxa"/>
            <w:vAlign w:val="bottom"/>
          </w:tcPr>
          <w:p>
            <w:pPr>
              <w:spacing w:after="0"/>
              <w:rPr>
                <w:sz w:val="16"/>
                <w:szCs w:val="16"/>
                <w:color w:val="auto"/>
              </w:rPr>
            </w:pPr>
          </w:p>
        </w:tc>
        <w:tc>
          <w:tcPr>
            <w:tcW w:w="142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w w:val="99"/>
              </w:rPr>
              <w:t>Pension &amp; Other</w:t>
            </w:r>
          </w:p>
        </w:tc>
        <w:tc>
          <w:tcPr>
            <w:tcW w:w="240" w:type="dxa"/>
            <w:vAlign w:val="bottom"/>
          </w:tcPr>
          <w:p>
            <w:pPr>
              <w:spacing w:after="0"/>
              <w:rPr>
                <w:sz w:val="16"/>
                <w:szCs w:val="16"/>
                <w:color w:val="auto"/>
              </w:rPr>
            </w:pPr>
          </w:p>
        </w:tc>
        <w:tc>
          <w:tcPr>
            <w:tcW w:w="21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Total Accumulated Other</w:t>
            </w:r>
          </w:p>
        </w:tc>
        <w:tc>
          <w:tcPr>
            <w:tcW w:w="0" w:type="dxa"/>
            <w:vAlign w:val="bottom"/>
          </w:tcPr>
          <w:p>
            <w:pPr>
              <w:spacing w:after="0"/>
              <w:rPr>
                <w:sz w:val="1"/>
                <w:szCs w:val="1"/>
                <w:color w:val="auto"/>
              </w:rPr>
            </w:pPr>
          </w:p>
        </w:tc>
      </w:tr>
      <w:tr>
        <w:trPr>
          <w:trHeight w:val="180"/>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rPr>
              <w:t>Derivative Financial</w:t>
            </w:r>
          </w:p>
        </w:tc>
        <w:tc>
          <w:tcPr>
            <w:tcW w:w="200" w:type="dxa"/>
            <w:vAlign w:val="bottom"/>
          </w:tcPr>
          <w:p>
            <w:pPr>
              <w:spacing w:after="0"/>
              <w:rPr>
                <w:sz w:val="15"/>
                <w:szCs w:val="15"/>
                <w:color w:val="auto"/>
              </w:rPr>
            </w:pPr>
          </w:p>
        </w:tc>
        <w:tc>
          <w:tcPr>
            <w:tcW w:w="142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9"/>
              </w:rPr>
              <w:t>Postretirement</w:t>
            </w:r>
          </w:p>
        </w:tc>
        <w:tc>
          <w:tcPr>
            <w:tcW w:w="24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Translation</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Instruments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Benefit Adjust</w:t>
            </w:r>
          </w:p>
        </w:tc>
        <w:tc>
          <w:tcPr>
            <w:tcW w:w="2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(83,037)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539</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(81,697)</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466</w:t>
            </w: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23"/>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Other comprehensive income (loss), net of tax</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0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0" w:type="dxa"/>
            <w:vAlign w:val="bottom"/>
          </w:tcPr>
          <w:p>
            <w:pPr>
              <w:spacing w:after="0"/>
              <w:rPr>
                <w:sz w:val="1"/>
                <w:szCs w:val="1"/>
                <w:color w:val="auto"/>
              </w:rPr>
            </w:pPr>
          </w:p>
        </w:tc>
      </w:tr>
      <w:tr>
        <w:trPr>
          <w:trHeight w:val="184"/>
        </w:trPr>
        <w:tc>
          <w:tcPr>
            <w:tcW w:w="34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78"/>
        </w:trPr>
        <w:tc>
          <w:tcPr>
            <w:tcW w:w="3480" w:type="dxa"/>
            <w:vAlign w:val="bottom"/>
            <w:shd w:val="clear" w:color="auto" w:fill="CCEEFF"/>
          </w:tcPr>
          <w:p>
            <w:pPr>
              <w:ind w:left="140"/>
              <w:spacing w:after="0" w:line="177" w:lineRule="exact"/>
              <w:rPr>
                <w:sz w:val="20"/>
                <w:szCs w:val="20"/>
                <w:color w:val="auto"/>
              </w:rPr>
            </w:pPr>
            <w:r>
              <w:rPr>
                <w:rFonts w:ascii="Times New Roman" w:cs="Times New Roman" w:eastAsia="Times New Roman" w:hAnsi="Times New Roman"/>
                <w:sz w:val="18"/>
                <w:szCs w:val="18"/>
                <w:color w:val="auto"/>
              </w:rPr>
              <w:t>Reclassification adjustment to net income</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net of tax</w:t>
            </w:r>
          </w:p>
        </w:tc>
        <w:tc>
          <w:tcPr>
            <w:tcW w:w="18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78"/>
        </w:trPr>
        <w:tc>
          <w:tcPr>
            <w:tcW w:w="3480" w:type="dxa"/>
            <w:vAlign w:val="bottom"/>
          </w:tcPr>
          <w:p>
            <w:pPr>
              <w:ind w:left="240"/>
              <w:spacing w:after="0" w:line="177"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(88,777)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457</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(88,461)</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The amounts reclassified out of accumulated other comprehensive income (loss) related to pension and Other Post-Retirement Benefits is included in the computation of net periodic pension costs. See Note 4 for additional details.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DERIVATIVES</w:t>
      </w:r>
    </w:p>
    <w:p>
      <w:pPr>
        <w:spacing w:after="0" w:line="108"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Tredegar uses derivative financial instruments for the purpose of hedging margin exposure from fixed-price forward sales contracts in Aluminum Extrusions. These derivative financial instruments are designated as and qualify as cash flow hedges and are recognized in the condensed consolidated balance sheet at fair value. The fair value of derivative instruments recorded on the consolidated balance sheets is based upon Level 2 inputs. If individual derivative instruments with the same counterparty can be settled on a net basis, the Company records the corresponding derivative fair values as a net asset or net liability.</w:t>
      </w:r>
    </w:p>
    <w:p>
      <w:pPr>
        <w:spacing w:after="0" w:line="62" w:lineRule="exact"/>
        <w:rPr>
          <w:sz w:val="20"/>
          <w:szCs w:val="20"/>
          <w:color w:val="auto"/>
        </w:rPr>
      </w:pPr>
    </w:p>
    <w:p>
      <w:pPr>
        <w:ind w:right="280" w:firstLine="405"/>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Aluminum Extrusions enters into fixed-price forward sales contracts with a small subset of its customers for the future sale of fixed quantities of aluminum extrusions at scheduled intervals. In order to hedge margin exposure created from the fixing of future sales prices relative to volatile raw material (aluminum) costs, Aluminum Extrusions enters into a combination of forward purchase commitments and futures contracts to acquire or hedge aluminum, based on the scheduled purchases for the firm sales commitments. The fixed-price firm sales commitments and related hedging instruments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ind w:right="120"/>
        <w:spacing w:after="0" w:line="266" w:lineRule="auto"/>
        <w:rPr>
          <w:sz w:val="20"/>
          <w:szCs w:val="20"/>
          <w:color w:val="auto"/>
        </w:rPr>
      </w:pPr>
      <w:r>
        <w:rPr>
          <w:rFonts w:ascii="Times New Roman" w:cs="Times New Roman" w:eastAsia="Times New Roman" w:hAnsi="Times New Roman"/>
          <w:sz w:val="18"/>
          <w:szCs w:val="18"/>
          <w:color w:val="auto"/>
        </w:rPr>
        <w:t>have durations generally no longer than 12 months. The notional amount of aluminum futures contracts that hedged future purchases of aluminum to meet fixed-price forward sales contract obligations was $6.0 million (3.7 million pounds of aluminum) at September 30, 2025 and $4.3 million (3.1 million pounds of aluminum) at December 31, 2024.</w:t>
      </w:r>
    </w:p>
    <w:p>
      <w:pPr>
        <w:spacing w:after="0" w:line="41" w:lineRule="exact"/>
        <w:rPr>
          <w:sz w:val="20"/>
          <w:szCs w:val="20"/>
          <w:color w:val="auto"/>
        </w:rPr>
      </w:pPr>
    </w:p>
    <w:p>
      <w:pPr>
        <w:ind w:right="40" w:firstLine="405"/>
        <w:spacing w:after="0" w:line="276" w:lineRule="auto"/>
        <w:rPr>
          <w:sz w:val="20"/>
          <w:szCs w:val="20"/>
          <w:color w:val="auto"/>
        </w:rPr>
      </w:pPr>
      <w:r>
        <w:rPr>
          <w:rFonts w:ascii="Times New Roman" w:cs="Times New Roman" w:eastAsia="Times New Roman" w:hAnsi="Times New Roman"/>
          <w:sz w:val="18"/>
          <w:szCs w:val="18"/>
          <w:color w:val="auto"/>
        </w:rPr>
        <w:t>The table below summarizes the location and gross amounts of aluminum futures contract fair values (Level 2) in the condensed consolidated balance sheets as of September 30, 2025 and December 31, 2024:</w:t>
      </w:r>
    </w:p>
    <w:tbl>
      <w:tblPr>
        <w:tblLayout w:type="fixed"/>
        <w:tblInd w:w="0" w:type="dxa"/>
        <w:tblCellMar>
          <w:top w:w="0" w:type="dxa"/>
          <w:left w:w="0" w:type="dxa"/>
          <w:bottom w:w="0" w:type="dxa"/>
          <w:right w:w="0" w:type="dxa"/>
        </w:tblCellMar>
      </w:tblPr>
      <w:tr>
        <w:trPr>
          <w:trHeight w:val="238"/>
        </w:trPr>
        <w:tc>
          <w:tcPr>
            <w:tcW w:w="5180" w:type="dxa"/>
            <w:vAlign w:val="bottom"/>
            <w:tcBorders>
              <w:top w:val="single" w:sz="8" w:color="auto"/>
            </w:tcBorders>
          </w:tcPr>
          <w:p>
            <w:pPr>
              <w:spacing w:after="0"/>
              <w:rPr>
                <w:sz w:val="20"/>
                <w:szCs w:val="20"/>
                <w:color w:val="auto"/>
              </w:rPr>
            </w:pPr>
          </w:p>
        </w:tc>
        <w:tc>
          <w:tcPr>
            <w:tcW w:w="2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c>
          <w:tcPr>
            <w:tcW w:w="7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c>
          <w:tcPr>
            <w:tcW w:w="740" w:type="dxa"/>
            <w:vAlign w:val="bottom"/>
            <w:tcBorders>
              <w:top w:val="single" w:sz="8" w:color="auto"/>
              <w:bottom w:val="single" w:sz="8" w:color="auto"/>
            </w:tcBorders>
          </w:tcPr>
          <w:p>
            <w:pPr>
              <w:spacing w:after="0"/>
              <w:rPr>
                <w:sz w:val="20"/>
                <w:szCs w:val="20"/>
                <w:color w:val="auto"/>
              </w:rPr>
            </w:pPr>
          </w:p>
        </w:tc>
      </w:tr>
      <w:tr>
        <w:trPr>
          <w:trHeight w:val="178"/>
        </w:trPr>
        <w:tc>
          <w:tcPr>
            <w:tcW w:w="5180" w:type="dxa"/>
            <w:vAlign w:val="bottom"/>
          </w:tcPr>
          <w:p>
            <w:pPr>
              <w:spacing w:after="0"/>
              <w:rPr>
                <w:sz w:val="15"/>
                <w:szCs w:val="15"/>
                <w:color w:val="auto"/>
              </w:rPr>
            </w:pPr>
          </w:p>
        </w:tc>
        <w:tc>
          <w:tcPr>
            <w:tcW w:w="18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Balance Sheet</w:t>
            </w:r>
          </w:p>
        </w:tc>
        <w:tc>
          <w:tcPr>
            <w:tcW w:w="380" w:type="dxa"/>
            <w:vAlign w:val="bottom"/>
          </w:tcPr>
          <w:p>
            <w:pPr>
              <w:spacing w:after="0"/>
              <w:rPr>
                <w:sz w:val="15"/>
                <w:szCs w:val="15"/>
                <w:color w:val="auto"/>
              </w:rPr>
            </w:pPr>
          </w:p>
        </w:tc>
        <w:tc>
          <w:tcPr>
            <w:tcW w:w="720" w:type="dxa"/>
            <w:vAlign w:val="bottom"/>
          </w:tcPr>
          <w:p>
            <w:pPr>
              <w:jc w:val="center"/>
              <w:ind w:right="150"/>
              <w:spacing w:after="0" w:line="177" w:lineRule="exact"/>
              <w:rPr>
                <w:sz w:val="20"/>
                <w:szCs w:val="20"/>
                <w:color w:val="auto"/>
              </w:rPr>
            </w:pPr>
            <w:r>
              <w:rPr>
                <w:rFonts w:ascii="Times New Roman" w:cs="Times New Roman" w:eastAsia="Times New Roman" w:hAnsi="Times New Roman"/>
                <w:sz w:val="18"/>
                <w:szCs w:val="18"/>
                <w:color w:val="auto"/>
                <w:w w:val="96"/>
              </w:rPr>
              <w:t>Fair</w:t>
            </w:r>
          </w:p>
        </w:tc>
        <w:tc>
          <w:tcPr>
            <w:tcW w:w="120" w:type="dxa"/>
            <w:vAlign w:val="bottom"/>
          </w:tcPr>
          <w:p>
            <w:pPr>
              <w:spacing w:after="0"/>
              <w:rPr>
                <w:sz w:val="15"/>
                <w:szCs w:val="15"/>
                <w:color w:val="auto"/>
              </w:rPr>
            </w:pPr>
          </w:p>
        </w:tc>
        <w:tc>
          <w:tcPr>
            <w:tcW w:w="18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Balance Sheet</w:t>
            </w:r>
          </w:p>
        </w:tc>
        <w:tc>
          <w:tcPr>
            <w:tcW w:w="380" w:type="dxa"/>
            <w:vAlign w:val="bottom"/>
          </w:tcPr>
          <w:p>
            <w:pPr>
              <w:spacing w:after="0"/>
              <w:rPr>
                <w:sz w:val="15"/>
                <w:szCs w:val="15"/>
                <w:color w:val="auto"/>
              </w:rPr>
            </w:pPr>
          </w:p>
        </w:tc>
        <w:tc>
          <w:tcPr>
            <w:tcW w:w="740" w:type="dxa"/>
            <w:vAlign w:val="bottom"/>
          </w:tcPr>
          <w:p>
            <w:pPr>
              <w:jc w:val="right"/>
              <w:ind w:right="250"/>
              <w:spacing w:after="0" w:line="177" w:lineRule="exact"/>
              <w:rPr>
                <w:sz w:val="20"/>
                <w:szCs w:val="20"/>
                <w:color w:val="auto"/>
              </w:rPr>
            </w:pPr>
            <w:r>
              <w:rPr>
                <w:rFonts w:ascii="Times New Roman" w:cs="Times New Roman" w:eastAsia="Times New Roman" w:hAnsi="Times New Roman"/>
                <w:sz w:val="18"/>
                <w:szCs w:val="18"/>
                <w:color w:val="auto"/>
              </w:rPr>
              <w:t>Fair</w:t>
            </w:r>
          </w:p>
        </w:tc>
      </w:tr>
      <w:tr>
        <w:trPr>
          <w:trHeight w:val="234"/>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Account</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2"/>
              </w:rPr>
              <w:t>Value</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Account</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Value</w:t>
            </w: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184"/>
        </w:trPr>
        <w:tc>
          <w:tcPr>
            <w:tcW w:w="51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Asset derivatives:</w:t>
            </w:r>
          </w:p>
        </w:tc>
        <w:tc>
          <w:tcPr>
            <w:tcW w:w="18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Prepaid expenses and</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Prepaid expenses and</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4"/>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184"/>
        </w:trPr>
        <w:tc>
          <w:tcPr>
            <w:tcW w:w="51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Asset derivatives:</w:t>
            </w:r>
          </w:p>
        </w:tc>
        <w:tc>
          <w:tcPr>
            <w:tcW w:w="1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34"/>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20"/>
                <w:szCs w:val="20"/>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51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Liability derivatives:</w:t>
            </w:r>
          </w:p>
        </w:tc>
        <w:tc>
          <w:tcPr>
            <w:tcW w:w="1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4"/>
        </w:trPr>
        <w:tc>
          <w:tcPr>
            <w:tcW w:w="5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 (liability)</w:t>
            </w:r>
          </w:p>
        </w:tc>
        <w:tc>
          <w:tcPr>
            <w:tcW w:w="18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bl>
    <w:p>
      <w:pPr>
        <w:spacing w:after="0" w:line="171"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In the event that a counterparty to an aluminum fixed-price forward sales contract chooses not to take delivery of its aluminum extrusions, the customer is contractually obligated to compensate Aluminum Extrusions for any losses on the related aluminum futures and/or forward contracts through the date of cancellation.</w:t>
      </w:r>
    </w:p>
    <w:p>
      <w:pPr>
        <w:spacing w:after="0" w:line="41" w:lineRule="exact"/>
        <w:rPr>
          <w:sz w:val="20"/>
          <w:szCs w:val="20"/>
          <w:color w:val="auto"/>
        </w:rPr>
      </w:pPr>
    </w:p>
    <w:p>
      <w:pPr>
        <w:ind w:right="80" w:firstLine="405"/>
        <w:spacing w:after="0" w:line="276" w:lineRule="auto"/>
        <w:rPr>
          <w:sz w:val="20"/>
          <w:szCs w:val="20"/>
          <w:color w:val="auto"/>
        </w:rPr>
      </w:pPr>
      <w:r>
        <w:rPr>
          <w:rFonts w:ascii="Times New Roman" w:cs="Times New Roman" w:eastAsia="Times New Roman" w:hAnsi="Times New Roman"/>
          <w:sz w:val="18"/>
          <w:szCs w:val="18"/>
          <w:color w:val="auto"/>
        </w:rPr>
        <w:t>The pre-tax effect on net income (loss) and other comprehensive income (loss) of derivative instruments classified as cash flow hedges and described in the previous paragraphs for the three and nine month periods ended September 30, 2025 and 2024 is summarized in the table below:</w:t>
      </w:r>
    </w:p>
    <w:tbl>
      <w:tblPr>
        <w:tblLayout w:type="fixed"/>
        <w:tblInd w:w="0" w:type="dxa"/>
        <w:tblCellMar>
          <w:top w:w="0" w:type="dxa"/>
          <w:left w:w="0" w:type="dxa"/>
          <w:bottom w:w="0" w:type="dxa"/>
          <w:right w:w="0" w:type="dxa"/>
        </w:tblCellMar>
      </w:tblPr>
      <w:tr>
        <w:trPr>
          <w:trHeight w:val="238"/>
        </w:trPr>
        <w:tc>
          <w:tcPr>
            <w:tcW w:w="840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2720" w:type="dxa"/>
            <w:vAlign w:val="bottom"/>
            <w:tcBorders>
              <w:top w:val="single" w:sz="8" w:color="auto"/>
              <w:bottom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8"/>
                <w:szCs w:val="18"/>
                <w:color w:val="auto"/>
                <w:w w:val="99"/>
              </w:rPr>
              <w:t>Cash Flow Derivative Hedges</w:t>
            </w:r>
          </w:p>
        </w:tc>
      </w:tr>
      <w:tr>
        <w:trPr>
          <w:trHeight w:val="223"/>
        </w:trPr>
        <w:tc>
          <w:tcPr>
            <w:tcW w:w="8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8"/>
                <w:szCs w:val="18"/>
                <w:color w:val="auto"/>
                <w:w w:val="99"/>
              </w:rPr>
              <w:t>Three Months Ended September 30,</w:t>
            </w:r>
          </w:p>
        </w:tc>
      </w:tr>
      <w:tr>
        <w:trPr>
          <w:trHeight w:val="218"/>
        </w:trPr>
        <w:tc>
          <w:tcPr>
            <w:tcW w:w="8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color w:val="auto"/>
                <w:w w:val="99"/>
              </w:rPr>
              <w:t>Aluminum Futures Contracts</w:t>
            </w:r>
          </w:p>
        </w:tc>
      </w:tr>
      <w:tr>
        <w:trPr>
          <w:trHeight w:val="234"/>
        </w:trPr>
        <w:tc>
          <w:tcPr>
            <w:tcW w:w="8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of pre-tax gain (loss) recognized in other comprehensive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84"/>
        </w:trPr>
        <w:tc>
          <w:tcPr>
            <w:tcW w:w="84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Location of gain (loss) reclassified from accumulated other comprehensive income (loss) into net income (effective</w:t>
            </w:r>
          </w:p>
        </w:tc>
        <w:tc>
          <w:tcPr>
            <w:tcW w:w="120" w:type="dxa"/>
            <w:vAlign w:val="bottom"/>
          </w:tcPr>
          <w:p>
            <w:pPr>
              <w:spacing w:after="0"/>
              <w:rPr>
                <w:sz w:val="16"/>
                <w:szCs w:val="16"/>
                <w:color w:val="auto"/>
              </w:rPr>
            </w:pPr>
          </w:p>
        </w:tc>
        <w:tc>
          <w:tcPr>
            <w:tcW w:w="128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color w:val="auto"/>
                <w:w w:val="99"/>
              </w:rPr>
              <w:t>Cost of goods</w:t>
            </w:r>
          </w:p>
        </w:tc>
        <w:tc>
          <w:tcPr>
            <w:tcW w:w="220" w:type="dxa"/>
            <w:vAlign w:val="bottom"/>
          </w:tcPr>
          <w:p>
            <w:pPr>
              <w:spacing w:after="0"/>
              <w:rPr>
                <w:sz w:val="16"/>
                <w:szCs w:val="16"/>
                <w:color w:val="auto"/>
              </w:rPr>
            </w:pPr>
          </w:p>
        </w:tc>
        <w:tc>
          <w:tcPr>
            <w:tcW w:w="122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color w:val="auto"/>
                <w:w w:val="99"/>
              </w:rPr>
              <w:t>Cost of goods</w:t>
            </w:r>
          </w:p>
        </w:tc>
      </w:tr>
      <w:tr>
        <w:trPr>
          <w:trHeight w:val="234"/>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portion)</w:t>
            </w:r>
          </w:p>
        </w:tc>
        <w:tc>
          <w:tcPr>
            <w:tcW w:w="120" w:type="dxa"/>
            <w:vAlign w:val="bottom"/>
          </w:tcPr>
          <w:p>
            <w:pPr>
              <w:spacing w:after="0"/>
              <w:rPr>
                <w:sz w:val="20"/>
                <w:szCs w:val="20"/>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sold</w:t>
            </w:r>
          </w:p>
        </w:tc>
        <w:tc>
          <w:tcPr>
            <w:tcW w:w="220" w:type="dxa"/>
            <w:vAlign w:val="bottom"/>
          </w:tcPr>
          <w:p>
            <w:pPr>
              <w:spacing w:after="0"/>
              <w:rPr>
                <w:sz w:val="20"/>
                <w:szCs w:val="20"/>
                <w:color w:val="auto"/>
              </w:rPr>
            </w:pP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sold</w:t>
            </w:r>
          </w:p>
        </w:tc>
      </w:tr>
      <w:tr>
        <w:trPr>
          <w:trHeight w:val="184"/>
        </w:trPr>
        <w:tc>
          <w:tcPr>
            <w:tcW w:w="84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Amount of pre-tax gain (loss) reclassified from accumulated other comprehensive income (loss) to net income</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34"/>
        </w:trPr>
        <w:tc>
          <w:tcPr>
            <w:tcW w:w="8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portion)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3"/>
        </w:trPr>
        <w:tc>
          <w:tcPr>
            <w:tcW w:w="8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r>
      <w:tr>
        <w:trPr>
          <w:trHeight w:val="218"/>
        </w:trPr>
        <w:tc>
          <w:tcPr>
            <w:tcW w:w="8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color w:val="auto"/>
                <w:w w:val="99"/>
              </w:rPr>
              <w:t>Aluminum Futures Contracts</w:t>
            </w:r>
          </w:p>
        </w:tc>
      </w:tr>
      <w:tr>
        <w:trPr>
          <w:trHeight w:val="234"/>
        </w:trPr>
        <w:tc>
          <w:tcPr>
            <w:tcW w:w="8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3"/>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 of pre-tax gain (loss) recognized in other comprehensive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184"/>
        </w:trPr>
        <w:tc>
          <w:tcPr>
            <w:tcW w:w="840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Location of gain (loss) reclassified from accumulated other comprehensive income (loss) into net income</w:t>
            </w:r>
          </w:p>
        </w:tc>
        <w:tc>
          <w:tcPr>
            <w:tcW w:w="120" w:type="dxa"/>
            <w:vAlign w:val="bottom"/>
          </w:tcPr>
          <w:p>
            <w:pPr>
              <w:spacing w:after="0"/>
              <w:rPr>
                <w:sz w:val="16"/>
                <w:szCs w:val="16"/>
                <w:color w:val="auto"/>
              </w:rPr>
            </w:pPr>
          </w:p>
        </w:tc>
        <w:tc>
          <w:tcPr>
            <w:tcW w:w="128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color w:val="auto"/>
                <w:w w:val="99"/>
              </w:rPr>
              <w:t>Cost of goods</w:t>
            </w:r>
          </w:p>
        </w:tc>
        <w:tc>
          <w:tcPr>
            <w:tcW w:w="220" w:type="dxa"/>
            <w:vAlign w:val="bottom"/>
          </w:tcPr>
          <w:p>
            <w:pPr>
              <w:spacing w:after="0"/>
              <w:rPr>
                <w:sz w:val="16"/>
                <w:szCs w:val="16"/>
                <w:color w:val="auto"/>
              </w:rPr>
            </w:pPr>
          </w:p>
        </w:tc>
        <w:tc>
          <w:tcPr>
            <w:tcW w:w="122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color w:val="auto"/>
                <w:w w:val="99"/>
              </w:rPr>
              <w:t>Cost of goods</w:t>
            </w:r>
          </w:p>
        </w:tc>
      </w:tr>
      <w:tr>
        <w:trPr>
          <w:trHeight w:val="234"/>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(effective portion)</w:t>
            </w:r>
          </w:p>
        </w:tc>
        <w:tc>
          <w:tcPr>
            <w:tcW w:w="120" w:type="dxa"/>
            <w:vAlign w:val="bottom"/>
          </w:tcPr>
          <w:p>
            <w:pPr>
              <w:spacing w:after="0"/>
              <w:rPr>
                <w:sz w:val="20"/>
                <w:szCs w:val="20"/>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sold</w:t>
            </w:r>
          </w:p>
        </w:tc>
        <w:tc>
          <w:tcPr>
            <w:tcW w:w="220" w:type="dxa"/>
            <w:vAlign w:val="bottom"/>
          </w:tcPr>
          <w:p>
            <w:pPr>
              <w:spacing w:after="0"/>
              <w:rPr>
                <w:sz w:val="20"/>
                <w:szCs w:val="20"/>
                <w:color w:val="auto"/>
              </w:rPr>
            </w:pP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sold</w:t>
            </w:r>
          </w:p>
        </w:tc>
      </w:tr>
      <w:tr>
        <w:trPr>
          <w:trHeight w:val="184"/>
        </w:trPr>
        <w:tc>
          <w:tcPr>
            <w:tcW w:w="840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Amount of pre-tax gain (loss) reclassified from accumulated other comprehensive income (loss) to net income</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41"/>
        </w:trPr>
        <w:tc>
          <w:tcPr>
            <w:tcW w:w="84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(effective portion)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r>
    </w:tbl>
    <w:p>
      <w:pPr>
        <w:spacing w:after="0" w:line="171"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As of September 30, 2025, the Company expects $0.8 million of unrealized after-tax gains on aluminum derivative instruments reported in accumulated other comprehensive income (loss) to be reclassified to earnings within the next 12 months. For the three and nine month periods ended September 30, 2025 and 2024, net gains or losses realized, from previously unrealized net gains or losses on hedges that had been discontinued, were not material.</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08"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Tredegar recorded tax expense (benefit) of $3.6 million on pre-tax income (loss) from continuing operations of $13.2 million in the first nine months of 2025. The effective tax rate in the first nine months of 2025 was 27.1% and 27.5% in the first nine months of 2024. The effective tax rate in the first nine months of 2025 and the first nine months of 2024 was impacted by taxable discrete items, including stock-based compensation.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On July 4, 2025, new U.S. tax legislation was signed into law (known as the "One Big Beautiful Bill Act" or "OBBBA"), which makes permanent many of the tax provisions enacted in 2017 as part of the Tax Cuts and Jobs Act that were set to expire at the end of 2025. In addition, the OBBBA makes changes to certain U.S. corporate tax provisions, which have various effective dates. The OBBBA did not have a material impact on the Company's tax provision and effective rate for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BUSINESS SEGMENTS</w:t>
      </w:r>
    </w:p>
    <w:p>
      <w:pPr>
        <w:spacing w:after="0" w:line="94"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Company's business segments are Aluminum Extrusions and PE Films. Aluminum Extrusions, also referred to as Bonnell Aluminum, produces high-quality, soft and medium strength alloyed aluminum extrusions, custom fabricated and finished, for the building and construction, automotive and transportation, consumer durables goods, machinery and equipment, electrical and renewable energy, and distribution markets. PE Films produces surface protection films, polyethylene overwrap films and films for other markets.</w:t>
      </w:r>
    </w:p>
    <w:p>
      <w:pPr>
        <w:spacing w:after="0" w:line="5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Company’s reportable segments are based on its method of internal reporting, which is generally segregated by differences in products. Accounting standards for presentation of segments require an approach based on the way the Company organizes the segments for making operating decisions and how the chief operating decision maker (“CODM”) assesses performance. EBITDA from ongoing operations is the key profitability measure used by the CODM (Tredegar’s President and Chief Executive Officer) for purposes of assessing financial performance.</w:t>
      </w:r>
    </w:p>
    <w:p>
      <w:pPr>
        <w:spacing w:after="0" w:line="58"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EBITDA from ongoing operations used by the CODM excludes certain non-recurring items, such as restructuring costs, asset impairments and other items, which are reported separately. The CODM uses EBITDA from ongoing operations to evaluate the operating performance of Tredegar’s ongoing operations, monitor budget versus actual results, establish management’s compensation and allocate resources. EBITDA from ongoing operations is the primary measure of segment performance and is consistent with how the business is managed internally, in addition to being a key financial and analytic metric for borrowing capacity and estimated enterprise value.</w:t>
      </w:r>
    </w:p>
    <w:p>
      <w:pPr>
        <w:spacing w:after="0" w:line="4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uses sales less freight (“net sales”) as its measure of revenues from external customers at the segment level. This measure is separately included in the financial information regularly provided to the CODM.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15" w:name="page16"/>
    <w:bookmarkEnd w:id="15"/>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present segment revenue, segment profit (loss), and significant expenses for the three months ended September 30, 2025 and 2024:</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78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4220" w:type="dxa"/>
            <w:vAlign w:val="bottom"/>
            <w:tcBorders>
              <w:top w:val="single" w:sz="8" w:color="auto"/>
              <w:bottom w:val="single" w:sz="8" w:color="auto"/>
            </w:tcBorders>
            <w:gridSpan w:val="5"/>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 September 30, 2025</w:t>
            </w:r>
          </w:p>
        </w:tc>
      </w:tr>
      <w:tr>
        <w:trPr>
          <w:trHeight w:val="178"/>
        </w:trPr>
        <w:tc>
          <w:tcPr>
            <w:tcW w:w="6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350"/>
              <w:spacing w:after="0" w:line="177" w:lineRule="exact"/>
              <w:rPr>
                <w:sz w:val="20"/>
                <w:szCs w:val="20"/>
                <w:color w:val="auto"/>
              </w:rPr>
            </w:pPr>
            <w:r>
              <w:rPr>
                <w:rFonts w:ascii="Times New Roman" w:cs="Times New Roman" w:eastAsia="Times New Roman" w:hAnsi="Times New Roman"/>
                <w:sz w:val="18"/>
                <w:szCs w:val="18"/>
                <w:color w:val="auto"/>
              </w:rPr>
              <w:t>Aluminum</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4"/>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Extrusions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PE Films</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162,470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25,883</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188,353</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back freight</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w:t>
            </w:r>
          </w:p>
        </w:tc>
      </w:tr>
      <w:tr>
        <w:trPr>
          <w:trHeight w:val="223"/>
        </w:trPr>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as shown in the consolidated statements of income (loss)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194,942</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costs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124,462</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11,922</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136,384</w:t>
            </w:r>
          </w:p>
        </w:tc>
      </w:tr>
      <w:tr>
        <w:trPr>
          <w:trHeight w:val="229"/>
        </w:trPr>
        <w:tc>
          <w:tcPr>
            <w:tcW w:w="67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Manufacturing fixed costs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11,906</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3,785</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15,691</w:t>
            </w:r>
          </w:p>
        </w:tc>
      </w:tr>
      <w:tr>
        <w:trPr>
          <w:trHeight w:val="230"/>
        </w:trPr>
        <w:tc>
          <w:tcPr>
            <w:tcW w:w="67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costs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8,948</w:t>
            </w:r>
          </w:p>
        </w:tc>
        <w:tc>
          <w:tcPr>
            <w:tcW w:w="30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2,961</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11,909</w:t>
            </w:r>
          </w:p>
        </w:tc>
      </w:tr>
      <w:tr>
        <w:trPr>
          <w:trHeight w:val="229"/>
        </w:trPr>
        <w:tc>
          <w:tcPr>
            <w:tcW w:w="678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 from ongoing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16,808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7,221</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24,029</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profit (loss):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w:t>
            </w: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29"/>
        </w:trPr>
        <w:tc>
          <w:tcPr>
            <w:tcW w:w="67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 expenses, net</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7,815</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w:t>
            </w:r>
          </w:p>
        </w:tc>
      </w:tr>
      <w:tr>
        <w:trPr>
          <w:trHeight w:val="229"/>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w:t>
            </w:r>
          </w:p>
        </w:tc>
      </w:tr>
      <w:tr>
        <w:trPr>
          <w:trHeight w:val="230"/>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w:t>
            </w:r>
          </w:p>
        </w:tc>
      </w:tr>
    </w:tbl>
    <w:p>
      <w:pPr>
        <w:ind w:left="200" w:hanging="174"/>
        <w:spacing w:after="0" w:line="236" w:lineRule="auto"/>
        <w:tabs>
          <w:tab w:leader="none" w:pos="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related depreciation and amortization.</w:t>
      </w:r>
    </w:p>
    <w:p>
      <w:pPr>
        <w:ind w:left="200" w:hanging="174"/>
        <w:spacing w:after="0" w:line="203" w:lineRule="auto"/>
        <w:tabs>
          <w:tab w:leader="none" w:pos="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segment allocated employee compensation benefit expenses.</w:t>
      </w:r>
    </w:p>
    <w:p>
      <w:pPr>
        <w:ind w:left="200" w:hanging="174"/>
        <w:spacing w:after="0"/>
        <w:tabs>
          <w:tab w:leader="none" w:pos="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56"/>
        </w:trPr>
        <w:tc>
          <w:tcPr>
            <w:tcW w:w="664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4220" w:type="dxa"/>
            <w:vAlign w:val="bottom"/>
            <w:tcBorders>
              <w:top w:val="single" w:sz="8" w:color="auto"/>
              <w:bottom w:val="single" w:sz="8" w:color="auto"/>
            </w:tcBorders>
            <w:gridSpan w:val="5"/>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 September 30, 2024</w:t>
            </w:r>
          </w:p>
        </w:tc>
      </w:tr>
      <w:tr>
        <w:trPr>
          <w:trHeight w:val="169"/>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350"/>
              <w:spacing w:after="0" w:line="169" w:lineRule="exact"/>
              <w:rPr>
                <w:sz w:val="20"/>
                <w:szCs w:val="20"/>
                <w:color w:val="auto"/>
              </w:rPr>
            </w:pPr>
            <w:r>
              <w:rPr>
                <w:rFonts w:ascii="Times New Roman" w:cs="Times New Roman" w:eastAsia="Times New Roman" w:hAnsi="Times New Roman"/>
                <w:sz w:val="18"/>
                <w:szCs w:val="18"/>
                <w:color w:val="auto"/>
              </w:rPr>
              <w:t>Aluminum</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43"/>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Extrusions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PE Films</w:t>
            </w: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115,717</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24,879</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140,596</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back freight</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r>
      <w:tr>
        <w:trPr>
          <w:trHeight w:val="223"/>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as shown in the consolidated statements of income (loss)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146,064</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costs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90,397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12,294</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102,691</w:t>
            </w:r>
          </w:p>
        </w:tc>
      </w:tr>
      <w:tr>
        <w:trPr>
          <w:trHeight w:val="230"/>
        </w:trPr>
        <w:tc>
          <w:tcPr>
            <w:tcW w:w="66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Manufacturing fixed costs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10,218</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3,496</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13,714</w:t>
            </w:r>
          </w:p>
        </w:tc>
      </w:tr>
      <w:tr>
        <w:trPr>
          <w:trHeight w:val="229"/>
        </w:trPr>
        <w:tc>
          <w:tcPr>
            <w:tcW w:w="66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costs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8,549</w:t>
            </w:r>
          </w:p>
        </w:tc>
        <w:tc>
          <w:tcPr>
            <w:tcW w:w="3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3,173</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11,722</w:t>
            </w:r>
          </w:p>
        </w:tc>
      </w:tr>
      <w:tr>
        <w:trPr>
          <w:trHeight w:val="230"/>
        </w:trPr>
        <w:tc>
          <w:tcPr>
            <w:tcW w:w="664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376</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 from ongoing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6,177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5,876</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12,053</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profit (loss):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w:t>
            </w:r>
          </w:p>
        </w:tc>
      </w:tr>
      <w:tr>
        <w:trPr>
          <w:trHeight w:val="22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22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investment in kaleo, Inc.</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4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 expenses, net</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r>
      <w:tr>
        <w:trPr>
          <w:trHeight w:val="230"/>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w:t>
            </w:r>
          </w:p>
        </w:tc>
      </w:tr>
      <w:tr>
        <w:trPr>
          <w:trHeight w:val="230"/>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2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054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54850" cy="17145"/>
                    </a:xfrm>
                    <a:prstGeom prst="rect">
                      <a:avLst/>
                    </a:prstGeom>
                    <a:noFill/>
                  </pic:spPr>
                </pic:pic>
              </a:graphicData>
            </a:graphic>
          </wp:anchor>
        </w:drawing>
      </w:r>
    </w:p>
    <w:p>
      <w:pPr>
        <w:ind w:left="200" w:hanging="174"/>
        <w:spacing w:after="0"/>
        <w:tabs>
          <w:tab w:leader="none" w:pos="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related depreciation and amortization.</w:t>
      </w:r>
    </w:p>
    <w:p>
      <w:pPr>
        <w:ind w:left="200" w:hanging="174"/>
        <w:spacing w:after="0" w:line="203" w:lineRule="auto"/>
        <w:tabs>
          <w:tab w:leader="none" w:pos="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segment allocated employee compensation benefit expenses.</w:t>
      </w:r>
    </w:p>
    <w:p>
      <w:pPr>
        <w:ind w:left="200" w:hanging="174"/>
        <w:spacing w:after="0"/>
        <w:tabs>
          <w:tab w:leader="none" w:pos="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11" w:right="459" w:bottom="1440" w:gutter="0" w:footer="0" w:header="0"/>
        </w:sectPr>
      </w:pPr>
    </w:p>
    <w:bookmarkStart w:id="17" w:name="page18"/>
    <w:bookmarkEnd w:id="17"/>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present segment revenue, segment profit (loss), and significant expenses for the nine months ended September 30, 2025 and 2024:</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78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4220" w:type="dxa"/>
            <w:vAlign w:val="bottom"/>
            <w:tcBorders>
              <w:top w:val="single" w:sz="8" w:color="auto"/>
              <w:bottom w:val="single" w:sz="8" w:color="auto"/>
            </w:tcBorders>
            <w:gridSpan w:val="5"/>
          </w:tcPr>
          <w:p>
            <w:pPr>
              <w:jc w:val="right"/>
              <w:ind w:right="670"/>
              <w:spacing w:after="0"/>
              <w:rPr>
                <w:sz w:val="20"/>
                <w:szCs w:val="20"/>
                <w:color w:val="auto"/>
              </w:rPr>
            </w:pPr>
            <w:r>
              <w:rPr>
                <w:rFonts w:ascii="Times New Roman" w:cs="Times New Roman" w:eastAsia="Times New Roman" w:hAnsi="Times New Roman"/>
                <w:sz w:val="18"/>
                <w:szCs w:val="18"/>
                <w:color w:val="auto"/>
              </w:rPr>
              <w:t>Nine Months Ended September 30, 2025</w:t>
            </w:r>
          </w:p>
        </w:tc>
      </w:tr>
      <w:tr>
        <w:trPr>
          <w:trHeight w:val="178"/>
        </w:trPr>
        <w:tc>
          <w:tcPr>
            <w:tcW w:w="6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350"/>
              <w:spacing w:after="0" w:line="177" w:lineRule="exact"/>
              <w:rPr>
                <w:sz w:val="20"/>
                <w:szCs w:val="20"/>
                <w:color w:val="auto"/>
              </w:rPr>
            </w:pPr>
            <w:r>
              <w:rPr>
                <w:rFonts w:ascii="Times New Roman" w:cs="Times New Roman" w:eastAsia="Times New Roman" w:hAnsi="Times New Roman"/>
                <w:sz w:val="18"/>
                <w:szCs w:val="18"/>
                <w:color w:val="auto"/>
              </w:rPr>
              <w:t>Aluminum</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4"/>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Extrusions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PE Films</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444,470</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76,017</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520,487</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back freight</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18,309</w:t>
            </w:r>
          </w:p>
        </w:tc>
      </w:tr>
      <w:tr>
        <w:trPr>
          <w:trHeight w:val="223"/>
        </w:trPr>
        <w:tc>
          <w:tcPr>
            <w:tcW w:w="6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as shown in the consolidated statements of income (loss)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538,796</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costs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344,043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35,586</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379,629</w:t>
            </w:r>
          </w:p>
        </w:tc>
      </w:tr>
      <w:tr>
        <w:trPr>
          <w:trHeight w:val="229"/>
        </w:trPr>
        <w:tc>
          <w:tcPr>
            <w:tcW w:w="67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Manufacturing fixed costs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34,879</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10,487</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45,366</w:t>
            </w:r>
          </w:p>
        </w:tc>
      </w:tr>
      <w:tr>
        <w:trPr>
          <w:trHeight w:val="230"/>
        </w:trPr>
        <w:tc>
          <w:tcPr>
            <w:tcW w:w="67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costs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28,489</w:t>
            </w:r>
          </w:p>
        </w:tc>
        <w:tc>
          <w:tcPr>
            <w:tcW w:w="3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8,420</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36,909</w:t>
            </w:r>
          </w:p>
        </w:tc>
      </w:tr>
      <w:tr>
        <w:trPr>
          <w:trHeight w:val="229"/>
        </w:trPr>
        <w:tc>
          <w:tcPr>
            <w:tcW w:w="678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1,808</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 from ongoing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35,251</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21,454</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56,705</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profit (loss):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16,214</w:t>
            </w: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r>
      <w:tr>
        <w:trPr>
          <w:trHeight w:val="229"/>
        </w:trPr>
        <w:tc>
          <w:tcPr>
            <w:tcW w:w="67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 expenses, net</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21,619</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13,184</w:t>
            </w:r>
          </w:p>
        </w:tc>
      </w:tr>
      <w:tr>
        <w:trPr>
          <w:trHeight w:val="229"/>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w:t>
            </w: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9,609</w:t>
            </w:r>
          </w:p>
        </w:tc>
      </w:tr>
      <w:tr>
        <w:trPr>
          <w:trHeight w:val="230"/>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9,297</w:t>
            </w:r>
          </w:p>
        </w:tc>
      </w:tr>
      <w:tr>
        <w:trPr>
          <w:trHeight w:val="230"/>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18,906</w:t>
            </w:r>
          </w:p>
        </w:tc>
      </w:tr>
    </w:tbl>
    <w:p>
      <w:pPr>
        <w:ind w:left="200" w:hanging="174"/>
        <w:spacing w:after="0" w:line="236" w:lineRule="auto"/>
        <w:tabs>
          <w:tab w:leader="none" w:pos="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related depreciation and amortization.</w:t>
      </w:r>
    </w:p>
    <w:p>
      <w:pPr>
        <w:ind w:left="200" w:hanging="174"/>
        <w:spacing w:after="0" w:line="203" w:lineRule="auto"/>
        <w:tabs>
          <w:tab w:leader="none" w:pos="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segment allocated employee compensation benefit expenses.</w:t>
      </w:r>
    </w:p>
    <w:p>
      <w:pPr>
        <w:ind w:left="200" w:hanging="174"/>
        <w:spacing w:after="0"/>
        <w:tabs>
          <w:tab w:leader="none" w:pos="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57"/>
        </w:trPr>
        <w:tc>
          <w:tcPr>
            <w:tcW w:w="664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4220" w:type="dxa"/>
            <w:vAlign w:val="bottom"/>
            <w:tcBorders>
              <w:top w:val="single" w:sz="8" w:color="auto"/>
              <w:bottom w:val="single" w:sz="8" w:color="auto"/>
            </w:tcBorders>
            <w:gridSpan w:val="5"/>
          </w:tcPr>
          <w:p>
            <w:pPr>
              <w:jc w:val="right"/>
              <w:ind w:right="690"/>
              <w:spacing w:after="0"/>
              <w:rPr>
                <w:sz w:val="20"/>
                <w:szCs w:val="20"/>
                <w:color w:val="auto"/>
              </w:rPr>
            </w:pPr>
            <w:r>
              <w:rPr>
                <w:rFonts w:ascii="Times New Roman" w:cs="Times New Roman" w:eastAsia="Times New Roman" w:hAnsi="Times New Roman"/>
                <w:sz w:val="18"/>
                <w:szCs w:val="18"/>
                <w:color w:val="auto"/>
              </w:rPr>
              <w:t>Nine Months Ended September 30, 2024</w:t>
            </w:r>
          </w:p>
        </w:tc>
      </w:tr>
      <w:tr>
        <w:trPr>
          <w:trHeight w:val="169"/>
        </w:trPr>
        <w:tc>
          <w:tcPr>
            <w:tcW w:w="6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350"/>
              <w:spacing w:after="0" w:line="169" w:lineRule="exact"/>
              <w:rPr>
                <w:sz w:val="20"/>
                <w:szCs w:val="20"/>
                <w:color w:val="auto"/>
              </w:rPr>
            </w:pPr>
            <w:r>
              <w:rPr>
                <w:rFonts w:ascii="Times New Roman" w:cs="Times New Roman" w:eastAsia="Times New Roman" w:hAnsi="Times New Roman"/>
                <w:sz w:val="18"/>
                <w:szCs w:val="18"/>
                <w:color w:val="auto"/>
              </w:rPr>
              <w:t>Aluminum</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43"/>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Extrusions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PE Films</w:t>
            </w: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349,353</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78,811</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428,164</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back freight</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15,812</w:t>
            </w:r>
          </w:p>
        </w:tc>
      </w:tr>
      <w:tr>
        <w:trPr>
          <w:trHeight w:val="223"/>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as shown in the consolidated statements of income (loss)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443,976</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costs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263,007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37,522</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300,529</w:t>
            </w:r>
          </w:p>
        </w:tc>
      </w:tr>
      <w:tr>
        <w:trPr>
          <w:trHeight w:val="229"/>
        </w:trPr>
        <w:tc>
          <w:tcPr>
            <w:tcW w:w="66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Manufacturing fixed costs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29,726</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9,832</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39,558</w:t>
            </w:r>
          </w:p>
        </w:tc>
      </w:tr>
      <w:tr>
        <w:trPr>
          <w:trHeight w:val="229"/>
        </w:trPr>
        <w:tc>
          <w:tcPr>
            <w:tcW w:w="66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costs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24,319</w:t>
            </w:r>
          </w:p>
        </w:tc>
        <w:tc>
          <w:tcPr>
            <w:tcW w:w="3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8,480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32,799</w:t>
            </w:r>
          </w:p>
        </w:tc>
      </w:tr>
      <w:tr>
        <w:trPr>
          <w:trHeight w:val="230"/>
        </w:trPr>
        <w:tc>
          <w:tcPr>
            <w:tcW w:w="664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677</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 from ongoing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31,624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22,913</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54,537</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profit (loss):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17,336</w:t>
            </w:r>
          </w:p>
        </w:tc>
      </w:tr>
      <w:tr>
        <w:trPr>
          <w:trHeight w:val="22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w:t>
            </w: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investment in kaleo, Inc.</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664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Corporate expenses, net</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16,730</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11,560</w:t>
            </w:r>
          </w:p>
        </w:tc>
      </w:tr>
      <w:tr>
        <w:trPr>
          <w:trHeight w:val="230"/>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8,385</w:t>
            </w:r>
          </w:p>
        </w:tc>
      </w:tr>
      <w:tr>
        <w:trPr>
          <w:trHeight w:val="230"/>
        </w:trPr>
        <w:tc>
          <w:tcPr>
            <w:tcW w:w="6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2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054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54850" cy="17145"/>
                    </a:xfrm>
                    <a:prstGeom prst="rect">
                      <a:avLst/>
                    </a:prstGeom>
                    <a:noFill/>
                  </pic:spPr>
                </pic:pic>
              </a:graphicData>
            </a:graphic>
          </wp:anchor>
        </w:drawing>
      </w:r>
    </w:p>
    <w:p>
      <w:pPr>
        <w:ind w:left="200" w:hanging="174"/>
        <w:spacing w:after="0"/>
        <w:tabs>
          <w:tab w:leader="none" w:pos="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related depreciation and amortization.</w:t>
      </w:r>
    </w:p>
    <w:p>
      <w:pPr>
        <w:ind w:left="200" w:hanging="174"/>
        <w:spacing w:after="0" w:line="203" w:lineRule="auto"/>
        <w:tabs>
          <w:tab w:leader="none" w:pos="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segment allocated employee compensation benefit expenses.</w:t>
      </w:r>
    </w:p>
    <w:p>
      <w:pPr>
        <w:ind w:left="200" w:hanging="174"/>
        <w:spacing w:after="0"/>
        <w:tabs>
          <w:tab w:leader="none" w:pos="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depreciation and amortization.</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identifiable assets by segment at September 30, 2025 and December 31, 2024:</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1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98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September 30, 2025</w:t>
            </w:r>
          </w:p>
        </w:tc>
        <w:tc>
          <w:tcPr>
            <w:tcW w:w="2020" w:type="dxa"/>
            <w:vAlign w:val="bottom"/>
            <w:tcBorders>
              <w:top w:val="single" w:sz="8" w:color="auto"/>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269,664</w:t>
            </w:r>
          </w:p>
        </w:tc>
        <w:tc>
          <w:tcPr>
            <w:tcW w:w="5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247,205</w:t>
            </w:r>
          </w:p>
        </w:tc>
      </w:tr>
      <w:tr>
        <w:trPr>
          <w:trHeight w:val="230"/>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2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54,694</w:t>
            </w:r>
          </w:p>
        </w:tc>
        <w:tc>
          <w:tcPr>
            <w:tcW w:w="5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55,081</w:t>
            </w:r>
          </w:p>
        </w:tc>
      </w:tr>
      <w:tr>
        <w:trPr>
          <w:trHeight w:val="223"/>
        </w:trPr>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2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324,358</w:t>
            </w: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302,286</w:t>
            </w: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w:t>
            </w:r>
          </w:p>
        </w:tc>
        <w:tc>
          <w:tcPr>
            <w:tcW w:w="2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41,157</w:t>
            </w: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46,883</w:t>
            </w: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13,291</w:t>
            </w:r>
          </w:p>
        </w:tc>
        <w:tc>
          <w:tcPr>
            <w:tcW w:w="5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w:t>
            </w:r>
          </w:p>
        </w:tc>
      </w:tr>
      <w:tr>
        <w:trPr>
          <w:trHeight w:val="229"/>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37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378,806</w:t>
            </w:r>
          </w:p>
        </w:tc>
        <w:tc>
          <w:tcPr>
            <w:tcW w:w="5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356,357</w:t>
            </w:r>
          </w:p>
        </w:tc>
      </w:tr>
      <w:tr>
        <w:trPr>
          <w:trHeight w:val="392"/>
        </w:trPr>
        <w:tc>
          <w:tcPr>
            <w:tcW w:w="980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depreciation and amortization for the three and nine months ended September 30, 2025 and 2024:</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28"/>
        </w:trPr>
        <w:tc>
          <w:tcPr>
            <w:tcW w:w="3720" w:type="dxa"/>
            <w:vAlign w:val="bottom"/>
            <w:tcBorders>
              <w:bottom w:val="single" w:sz="8" w:color="auto"/>
            </w:tcBorders>
          </w:tcPr>
          <w:p>
            <w:pPr>
              <w:spacing w:after="0"/>
              <w:rPr>
                <w:sz w:val="11"/>
                <w:szCs w:val="11"/>
                <w:color w:val="auto"/>
              </w:rPr>
            </w:pPr>
          </w:p>
        </w:tc>
        <w:tc>
          <w:tcPr>
            <w:tcW w:w="4660" w:type="dxa"/>
            <w:vAlign w:val="bottom"/>
            <w:tcBorders>
              <w:bottom w:val="single" w:sz="8" w:color="auto"/>
            </w:tcBorders>
            <w:gridSpan w:val="4"/>
          </w:tcPr>
          <w:p>
            <w:pPr>
              <w:spacing w:after="0"/>
              <w:rPr>
                <w:sz w:val="11"/>
                <w:szCs w:val="11"/>
                <w:color w:val="auto"/>
              </w:rPr>
            </w:pPr>
          </w:p>
        </w:tc>
        <w:tc>
          <w:tcPr>
            <w:tcW w:w="2860" w:type="dxa"/>
            <w:vAlign w:val="bottom"/>
            <w:tcBorders>
              <w:bottom w:val="single" w:sz="8" w:color="auto"/>
            </w:tcBorders>
            <w:gridSpan w:val="4"/>
          </w:tcPr>
          <w:p>
            <w:pPr>
              <w:spacing w:after="0"/>
              <w:rPr>
                <w:sz w:val="11"/>
                <w:szCs w:val="11"/>
                <w:color w:val="auto"/>
              </w:rPr>
            </w:pPr>
          </w:p>
        </w:tc>
      </w:tr>
      <w:tr>
        <w:trPr>
          <w:trHeight w:val="225"/>
        </w:trPr>
        <w:tc>
          <w:tcPr>
            <w:tcW w:w="3720" w:type="dxa"/>
            <w:vAlign w:val="bottom"/>
          </w:tcPr>
          <w:p>
            <w:pPr>
              <w:spacing w:after="0"/>
              <w:rPr>
                <w:sz w:val="19"/>
                <w:szCs w:val="19"/>
                <w:color w:val="auto"/>
              </w:rPr>
            </w:pPr>
          </w:p>
        </w:tc>
        <w:tc>
          <w:tcPr>
            <w:tcW w:w="46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8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4"/>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42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160" w:type="dxa"/>
            <w:vAlign w:val="bottom"/>
            <w:shd w:val="clear" w:color="auto" w:fill="CCEEFF"/>
          </w:tcPr>
          <w:p>
            <w:pPr>
              <w:jc w:val="center"/>
              <w:ind w:left="15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4,404</w:t>
            </w:r>
          </w:p>
        </w:tc>
        <w:tc>
          <w:tcPr>
            <w:tcW w:w="8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12,509</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13,392</w:t>
            </w:r>
          </w:p>
        </w:tc>
      </w:tr>
      <w:tr>
        <w:trPr>
          <w:trHeight w:val="230"/>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2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1,224</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1,299</w:t>
            </w: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w:t>
            </w:r>
          </w:p>
        </w:tc>
      </w:tr>
      <w:tr>
        <w:trPr>
          <w:trHeight w:val="223"/>
        </w:trPr>
        <w:tc>
          <w:tcPr>
            <w:tcW w:w="3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2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5,414</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5,703</w:t>
            </w:r>
          </w:p>
        </w:tc>
        <w:tc>
          <w:tcPr>
            <w:tcW w:w="8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16,214</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17,336</w:t>
            </w: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w:t>
            </w:r>
          </w:p>
        </w:tc>
        <w:tc>
          <w:tcPr>
            <w:tcW w:w="21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8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30"/>
        </w:trPr>
        <w:tc>
          <w:tcPr>
            <w:tcW w:w="3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708</w:t>
            </w:r>
          </w:p>
        </w:tc>
        <w:tc>
          <w:tcPr>
            <w:tcW w:w="8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r>
      <w:tr>
        <w:trPr>
          <w:trHeight w:val="230"/>
        </w:trPr>
        <w:tc>
          <w:tcPr>
            <w:tcW w:w="3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auto"/>
            </w:tcBorders>
          </w:tcPr>
          <w:p>
            <w:pPr>
              <w:jc w:val="center"/>
              <w:ind w:left="15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5,462</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6,477</w:t>
            </w:r>
          </w:p>
        </w:tc>
        <w:tc>
          <w:tcPr>
            <w:tcW w:w="8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16,360</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19,782</w:t>
            </w:r>
          </w:p>
        </w:tc>
      </w:tr>
      <w:tr>
        <w:trPr>
          <w:trHeight w:val="864"/>
        </w:trPr>
        <w:tc>
          <w:tcPr>
            <w:tcW w:w="3720" w:type="dxa"/>
            <w:vAlign w:val="bottom"/>
          </w:tcPr>
          <w:p>
            <w:pPr>
              <w:spacing w:after="0"/>
              <w:rPr>
                <w:sz w:val="24"/>
                <w:szCs w:val="24"/>
                <w:color w:val="auto"/>
              </w:rPr>
            </w:pPr>
          </w:p>
        </w:tc>
        <w:tc>
          <w:tcPr>
            <w:tcW w:w="216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w w:val="99"/>
              </w:rPr>
              <w:t>18</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19" w:name="page20"/>
    <w:bookmarkEnd w:id="19"/>
    <w:p>
      <w:pPr>
        <w:ind w:left="420"/>
        <w:spacing w:after="0"/>
        <w:rPr>
          <w:sz w:val="20"/>
          <w:szCs w:val="20"/>
          <w:color w:val="auto"/>
        </w:rPr>
      </w:pPr>
      <w:r>
        <w:rPr>
          <w:rFonts w:ascii="Times New Roman" w:cs="Times New Roman" w:eastAsia="Times New Roman" w:hAnsi="Times New Roman"/>
          <w:sz w:val="18"/>
          <w:szCs w:val="18"/>
          <w:color w:val="auto"/>
        </w:rPr>
        <w:t>The following table presents capital expenditures for the three and nine months ended September 30, 2025 and 2024:</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640" w:type="dxa"/>
            <w:vAlign w:val="bottom"/>
            <w:tcBorders>
              <w:top w:val="single" w:sz="8" w:color="auto"/>
            </w:tcBorders>
          </w:tcPr>
          <w:p>
            <w:pPr>
              <w:spacing w:after="0"/>
              <w:rPr>
                <w:sz w:val="21"/>
                <w:szCs w:val="21"/>
                <w:color w:val="auto"/>
              </w:rPr>
            </w:pPr>
          </w:p>
        </w:tc>
        <w:tc>
          <w:tcPr>
            <w:tcW w:w="4680" w:type="dxa"/>
            <w:vAlign w:val="bottom"/>
            <w:tcBorders>
              <w:top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2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r>
      <w:tr>
        <w:trPr>
          <w:trHeight w:val="234"/>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1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3,079</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7,835</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w:t>
            </w:r>
          </w:p>
        </w:tc>
      </w:tr>
      <w:tr>
        <w:trPr>
          <w:trHeight w:val="229"/>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2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529</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1,411</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23"/>
        </w:trPr>
        <w:tc>
          <w:tcPr>
            <w:tcW w:w="3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2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3,608</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1,966</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9,246</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w:t>
            </w:r>
          </w:p>
        </w:tc>
      </w:tr>
      <w:tr>
        <w:trPr>
          <w:trHeight w:val="229"/>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948</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w:t>
            </w:r>
          </w:p>
        </w:tc>
      </w:tr>
      <w:tr>
        <w:trPr>
          <w:trHeight w:val="230"/>
        </w:trPr>
        <w:tc>
          <w:tcPr>
            <w:tcW w:w="36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3,608</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9,246</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w:t>
            </w:r>
          </w:p>
        </w:tc>
      </w:tr>
    </w:tbl>
    <w:p>
      <w:pPr>
        <w:spacing w:after="0" w:line="171"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disaggregate the Company’s revenue by geographic area and product group for the three and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Net Sales by Geographic Area (a)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2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r>
      <w:tr>
        <w:trPr>
          <w:trHeight w:val="234"/>
        </w:trPr>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171,063</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124,800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473,712</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381,637</w:t>
            </w: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Exports from the United States to:</w:t>
            </w:r>
          </w:p>
        </w:tc>
        <w:tc>
          <w:tcPr>
            <w:tcW w:w="1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1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11,482</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11,728</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32,654</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34,387</w:t>
            </w:r>
          </w:p>
        </w:tc>
      </w:tr>
      <w:tr>
        <w:trPr>
          <w:trHeight w:val="229"/>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Latin America</w:t>
            </w:r>
          </w:p>
        </w:tc>
        <w:tc>
          <w:tcPr>
            <w:tcW w:w="146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1,462</w:t>
            </w:r>
          </w:p>
        </w:tc>
        <w:tc>
          <w:tcPr>
            <w:tcW w:w="2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w:t>
            </w:r>
          </w:p>
        </w:tc>
      </w:tr>
      <w:tr>
        <w:trPr>
          <w:trHeight w:val="230"/>
        </w:trPr>
        <w:tc>
          <w:tcPr>
            <w:tcW w:w="4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Canada</w:t>
            </w:r>
          </w:p>
        </w:tc>
        <w:tc>
          <w:tcPr>
            <w:tcW w:w="1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3,416</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2,282</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8,586</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w:t>
            </w:r>
          </w:p>
        </w:tc>
      </w:tr>
      <w:tr>
        <w:trPr>
          <w:trHeight w:val="229"/>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146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outside the United States:</w:t>
            </w:r>
          </w:p>
        </w:tc>
        <w:tc>
          <w:tcPr>
            <w:tcW w:w="14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40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1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366</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289</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882</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30"/>
        </w:trPr>
        <w:tc>
          <w:tcPr>
            <w:tcW w:w="40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188,353</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140,596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520,487</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428,164</w:t>
            </w:r>
          </w:p>
        </w:tc>
      </w:tr>
    </w:tbl>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 Export sales relate mostly to PE Films.</w:t>
      </w:r>
    </w:p>
    <w:p>
      <w:pPr>
        <w:spacing w:after="0" w:line="208" w:lineRule="exact"/>
        <w:rPr>
          <w:sz w:val="20"/>
          <w:szCs w:val="20"/>
          <w:color w:val="auto"/>
        </w:rPr>
      </w:pPr>
    </w:p>
    <w:p>
      <w:pPr>
        <w:ind w:right="60" w:firstLine="405"/>
        <w:spacing w:after="0" w:line="270" w:lineRule="auto"/>
        <w:rPr>
          <w:sz w:val="20"/>
          <w:szCs w:val="20"/>
          <w:color w:val="auto"/>
        </w:rPr>
      </w:pPr>
      <w:r>
        <w:rPr>
          <w:rFonts w:ascii="Times New Roman" w:cs="Times New Roman" w:eastAsia="Times New Roman" w:hAnsi="Times New Roman"/>
          <w:sz w:val="17"/>
          <w:szCs w:val="17"/>
          <w:color w:val="auto"/>
        </w:rPr>
        <w:t>The Company’s facilities in Pottsville, PA (“PV”) and Guangzhou, China (“GZ”) have a tolling arrangement whereby certain surface protection films are manufactured in GZ for a fee with raw materials supplied from PV that are then shipped by GZ directly to customers principally in the Asian market, but paid by customers directly to PV. Amounts associated with this intercompany tolling arrangement are reported in the table above as export sales from the U.S. to Asia, and include net sales of $6.7 million and $6.5 million in the third quarter of 2025 and 2024, respectively, and $19.7 million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$19.1 million in the first nine months of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Net Sales by Product Group</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2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r>
      <w:tr>
        <w:trPr>
          <w:trHeight w:val="234"/>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1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Nonresidential building &amp; construction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87,388</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63,362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236,612</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200,978</w:t>
            </w:r>
          </w:p>
        </w:tc>
      </w:tr>
      <w:tr>
        <w:trPr>
          <w:trHeight w:val="229"/>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Consumer durables</w:t>
            </w:r>
          </w:p>
        </w:tc>
        <w:tc>
          <w:tcPr>
            <w:tcW w:w="1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13,297</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8,210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37,715</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24,440</w:t>
            </w:r>
          </w:p>
        </w:tc>
      </w:tr>
      <w:tr>
        <w:trPr>
          <w:trHeight w:val="230"/>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Automotive</w:t>
            </w:r>
          </w:p>
        </w:tc>
        <w:tc>
          <w:tcPr>
            <w:tcW w:w="122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10,832</w:t>
            </w:r>
          </w:p>
        </w:tc>
        <w:tc>
          <w:tcPr>
            <w:tcW w:w="4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10,583</w:t>
            </w:r>
          </w:p>
        </w:tc>
        <w:tc>
          <w:tcPr>
            <w:tcW w:w="2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32,899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30,487</w:t>
            </w:r>
          </w:p>
        </w:tc>
      </w:tr>
      <w:tr>
        <w:trPr>
          <w:trHeight w:val="229"/>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building &amp; construction</w:t>
            </w:r>
          </w:p>
        </w:tc>
        <w:tc>
          <w:tcPr>
            <w:tcW w:w="1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11,516</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9,368</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30,539</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26,440</w:t>
            </w:r>
          </w:p>
        </w:tc>
      </w:tr>
      <w:tr>
        <w:trPr>
          <w:trHeight w:val="230"/>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Electrical</w:t>
            </w:r>
          </w:p>
        </w:tc>
        <w:tc>
          <w:tcPr>
            <w:tcW w:w="122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14,429</w:t>
            </w:r>
          </w:p>
        </w:tc>
        <w:tc>
          <w:tcPr>
            <w:tcW w:w="4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8,541</w:t>
            </w:r>
          </w:p>
        </w:tc>
        <w:tc>
          <w:tcPr>
            <w:tcW w:w="22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42,292</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21,075</w:t>
            </w:r>
          </w:p>
        </w:tc>
      </w:tr>
      <w:tr>
        <w:trPr>
          <w:trHeight w:val="229"/>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Machinery &amp; equipment</w:t>
            </w:r>
          </w:p>
        </w:tc>
        <w:tc>
          <w:tcPr>
            <w:tcW w:w="1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17,662</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12,564</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48,943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36,434</w:t>
            </w:r>
          </w:p>
        </w:tc>
      </w:tr>
      <w:tr>
        <w:trPr>
          <w:trHeight w:val="229"/>
        </w:trPr>
        <w:tc>
          <w:tcPr>
            <w:tcW w:w="42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1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7,346</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3,089</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15,470</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9,499</w:t>
            </w:r>
          </w:p>
        </w:tc>
      </w:tr>
      <w:tr>
        <w:trPr>
          <w:trHeight w:val="223"/>
        </w:trPr>
        <w:tc>
          <w:tcPr>
            <w:tcW w:w="4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1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162,470</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115,717</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444,470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349,353</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1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Surface protection films</w:t>
            </w:r>
          </w:p>
        </w:tc>
        <w:tc>
          <w:tcPr>
            <w:tcW w:w="1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19,163</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17,516</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54,675</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56,241</w:t>
            </w:r>
          </w:p>
        </w:tc>
      </w:tr>
      <w:tr>
        <w:trPr>
          <w:trHeight w:val="229"/>
        </w:trPr>
        <w:tc>
          <w:tcPr>
            <w:tcW w:w="42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Overwrap packaging</w:t>
            </w:r>
          </w:p>
        </w:tc>
        <w:tc>
          <w:tcPr>
            <w:tcW w:w="1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6,720</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7,363</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21,342</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22,570</w:t>
            </w:r>
          </w:p>
        </w:tc>
      </w:tr>
      <w:tr>
        <w:trPr>
          <w:trHeight w:val="223"/>
        </w:trPr>
        <w:tc>
          <w:tcPr>
            <w:tcW w:w="42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1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25,883</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24,879</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76,017</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78,811</w:t>
            </w:r>
          </w:p>
        </w:tc>
      </w:tr>
      <w:tr>
        <w:trPr>
          <w:trHeight w:val="230"/>
        </w:trPr>
        <w:tc>
          <w:tcPr>
            <w:tcW w:w="42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188,353</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140,596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520,487</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428,164</w:t>
            </w:r>
          </w:p>
        </w:tc>
      </w:tr>
    </w:tbl>
    <w:p>
      <w:pPr>
        <w:spacing w:after="0" w:line="315" w:lineRule="exact"/>
        <w:rPr>
          <w:sz w:val="20"/>
          <w:szCs w:val="20"/>
          <w:color w:val="auto"/>
        </w:rPr>
      </w:pPr>
    </w:p>
    <w:p>
      <w:pPr>
        <w:ind w:right="10300" w:firstLine="8"/>
        <w:spacing w:after="0" w:line="354" w:lineRule="auto"/>
        <w:tabs>
          <w:tab w:leader="none" w:pos="27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w:t>
      </w:r>
      <w:r>
        <w:rPr>
          <w:rFonts w:ascii="Times New Roman" w:cs="Times New Roman" w:eastAsia="Times New Roman" w:hAnsi="Times New Roman"/>
          <w:sz w:val="18"/>
          <w:szCs w:val="18"/>
          <w:i w:val="1"/>
          <w:iCs w:val="1"/>
          <w:u w:val="single" w:color="auto"/>
          <w:color w:val="auto"/>
        </w:rPr>
        <w:t>ABL Facility</w:t>
      </w:r>
    </w:p>
    <w:p>
      <w:pPr>
        <w:spacing w:after="0" w:line="1"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In May 2025, the Company entered into Amendment No. 5 (“Amendment No. 5”) to the Second Amended and Restated Credit Agreement (the "ABL Facility"), which provides the Company with a $125 million senior secured asset-based revolving credit facility. The ABL Facility is secured by substantially all assets of the Company and its domestic subsidiaries, including equity in certain material first-tier foreign subsidiaries. Availability for borrowings under the ABL Facility is governed by a borrowing base, determined by the application of specified advance rates against eligible assets, including a portion of trade accounts receivable, inventory, cash and cash equivalents, and owned machinery and equipment. Amendment No. 5 extended the maturity date of the ABL Facility to May 6, 2030. As of September 30, 2025, funds available to borrow under the ABL Facility was $72.5 million, or 58.0% of the aggregate commitment of $125 million. During the third quarter of 2025, the Company's letters of credit have been reduced from approximately $12 million to $3 million, which directly increases the Company's borrowing availability.</w:t>
      </w:r>
    </w:p>
    <w:p>
      <w:pPr>
        <w:spacing w:after="0" w:line="70"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Outstanding borrowings accrue interest at the rates elected by the Company depending on the type of loan and denomination of such borrowing. With respect to revolving loans denominated in U.S. Dollars, the Company may elect interest rates at:</w:t>
      </w:r>
    </w:p>
    <w:p>
      <w:pPr>
        <w:spacing w:after="0" w:line="27" w:lineRule="exact"/>
        <w:rPr>
          <w:sz w:val="20"/>
          <w:szCs w:val="20"/>
          <w:color w:val="auto"/>
        </w:rPr>
      </w:pPr>
    </w:p>
    <w:p>
      <w:pPr>
        <w:ind w:left="660" w:right="120" w:hanging="328"/>
        <w:spacing w:after="0" w:line="289" w:lineRule="auto"/>
        <w:tabs>
          <w:tab w:leader="none" w:pos="6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Alternate Base Rate (“ABR”) plus the applicable ABR Spread (as defined in the ABL Facility) determined in accordance with an excess availability-based pricing grid. ABR is defined, in part, as the greater of (a) the Prime Rate in effect on such day, (b) the Federal Reserve Bank of New York Rate in effect on such day plus ½ of 1% and (c) the Adjusted Term SOFR Rate (defined below) for a one-month period plus 1%; or</w:t>
      </w:r>
    </w:p>
    <w:p>
      <w:pPr>
        <w:spacing w:after="0" w:line="36" w:lineRule="exact"/>
        <w:rPr>
          <w:rFonts w:ascii="Times New Roman" w:cs="Times New Roman" w:eastAsia="Times New Roman" w:hAnsi="Times New Roman"/>
          <w:sz w:val="17"/>
          <w:szCs w:val="17"/>
          <w:color w:val="auto"/>
        </w:rPr>
      </w:pPr>
    </w:p>
    <w:p>
      <w:pPr>
        <w:ind w:left="660" w:right="24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Term Secured Overnight Financing Rate ("SOFR") Rate plus the applicable Term Benchmark Spread (as defined in the ABL Facility) determined in accordance with an excess availability-based pricing grid. Adjusted Term SOFR Rate is defined as the Term SOFR Rate plus 0.10%, subject to an initial Floor (as defined in the ABL Facility) of 0%.</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21" w:name="page22"/>
    <w:bookmarkEnd w:id="21"/>
    <w:p>
      <w:pPr>
        <w:ind w:right="200" w:firstLine="405"/>
        <w:spacing w:after="0" w:line="281" w:lineRule="auto"/>
        <w:rPr>
          <w:sz w:val="20"/>
          <w:szCs w:val="20"/>
          <w:color w:val="auto"/>
        </w:rPr>
      </w:pPr>
      <w:r>
        <w:rPr>
          <w:rFonts w:ascii="Times New Roman" w:cs="Times New Roman" w:eastAsia="Times New Roman" w:hAnsi="Times New Roman"/>
          <w:sz w:val="18"/>
          <w:szCs w:val="18"/>
          <w:color w:val="auto"/>
        </w:rPr>
        <w:t>As amended by Amendment No. 5, based upon the quarterly average of daily availability under the ABL Facility, the interest rate pricing grid,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Pricing under the ABL Facility (Basis Points)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6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Term Benchmark</w:t>
            </w:r>
          </w:p>
        </w:tc>
        <w:tc>
          <w:tcPr>
            <w:tcW w:w="12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ABR</w:t>
            </w:r>
          </w:p>
        </w:tc>
      </w:tr>
      <w:tr>
        <w:trPr>
          <w:trHeight w:val="234"/>
        </w:trPr>
        <w:tc>
          <w:tcPr>
            <w:tcW w:w="73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Quarter Average of Daily Availability</w:t>
            </w:r>
          </w:p>
        </w:tc>
        <w:tc>
          <w:tcPr>
            <w:tcW w:w="26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Spread</w:t>
            </w: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Spread</w:t>
            </w:r>
          </w:p>
        </w:tc>
      </w:tr>
      <w:tr>
        <w:trPr>
          <w:trHeight w:val="27"/>
        </w:trPr>
        <w:tc>
          <w:tcPr>
            <w:tcW w:w="73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360" w:type="dxa"/>
            <w:vAlign w:val="bottom"/>
            <w:tcBorders>
              <w:bottom w:val="single" w:sz="8" w:color="CCEEFF"/>
            </w:tcBorders>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&gt; 66% of $125 million aggregate commitment</w:t>
            </w:r>
          </w:p>
        </w:tc>
        <w:tc>
          <w:tcPr>
            <w:tcW w:w="26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175.0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4"/>
        </w:trPr>
        <w:tc>
          <w:tcPr>
            <w:tcW w:w="7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 66% but &gt; 33% of $125 million aggregate commitment</w:t>
            </w:r>
          </w:p>
        </w:tc>
        <w:tc>
          <w:tcPr>
            <w:tcW w:w="2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
        </w:trPr>
        <w:tc>
          <w:tcPr>
            <w:tcW w:w="7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4"/>
        </w:trPr>
        <w:tc>
          <w:tcPr>
            <w:tcW w:w="73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 33% of $125 million aggregate commitment</w:t>
            </w:r>
          </w:p>
        </w:tc>
        <w:tc>
          <w:tcPr>
            <w:tcW w:w="2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225.0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
        </w:trPr>
        <w:tc>
          <w:tcPr>
            <w:tcW w:w="736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r>
    </w:tbl>
    <w:p>
      <w:pPr>
        <w:spacing w:after="0" w:line="157"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Pursuant to Amendment No. 5, the commitment fee was decreased from 0.40% to (i) 0.25% if the Average Usage (as defined in the ABL Facility) is greater than or equal to 50% and (ii) 0.375% if Average Usage is less than 50%.</w:t>
      </w:r>
    </w:p>
    <w:p>
      <w:pPr>
        <w:spacing w:after="0" w:line="40"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borrowing base calculation was amended by Amendment No. 5 as follows: (i) real property is no longer eligible to be included in the borrowing base, (ii) the PP&amp;E Component (as defined in the ABL Facility), as included in the borrowing base, was decreased to the lesser of (a) 60% of the Net Orderly Liquidation Value (as defined in the ABL Facility) in place of eligible equipment and (b) 30% of the borrowing base and (iii) the amount of eligible cash included in the borrowing base is now capped at 15% of the borrowing base.</w:t>
      </w:r>
    </w:p>
    <w:p>
      <w:pPr>
        <w:spacing w:after="0" w:line="45"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financial covenant is a minimum fixed charge coverage ratio (as defined in the ABL Facility) of 1.00:1.00 that will be triggered in the event that availability is less than the greater of (x) 10% of the Line Cap (as defined in the ABL Facility) and (y) $10 million and will continue until availability is equal to or greater than the greater of (x) 10% of the Line Cap and (y) $10 million for 30 consecutive days, as long as no events of default are continuing.</w:t>
      </w:r>
    </w:p>
    <w:p>
      <w:pPr>
        <w:spacing w:after="0" w:line="54"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If at any time the availability under the ABL facility is less than the greater of (x) 20% of the Line Cap and (y) $20 million and until such subsequent date, if any, on which availability is greater than the greater of (x) 20% of the Line Cap and (y) $20 million for a period of thirty (30) consecutive calendar days, the Company’s current monthly reporting requirements to lenders changes to a weekly cadence.</w:t>
      </w:r>
    </w:p>
    <w:p>
      <w:pPr>
        <w:spacing w:after="0" w:line="54" w:lineRule="exact"/>
        <w:rPr>
          <w:sz w:val="20"/>
          <w:szCs w:val="20"/>
          <w:color w:val="auto"/>
        </w:rPr>
      </w:pPr>
    </w:p>
    <w:p>
      <w:pPr>
        <w:jc w:val="both"/>
        <w:ind w:right="120" w:firstLine="405"/>
        <w:spacing w:after="0" w:line="261" w:lineRule="auto"/>
        <w:rPr>
          <w:sz w:val="20"/>
          <w:szCs w:val="20"/>
          <w:color w:val="auto"/>
        </w:rPr>
      </w:pPr>
      <w:r>
        <w:rPr>
          <w:rFonts w:ascii="Times New Roman" w:cs="Times New Roman" w:eastAsia="Times New Roman" w:hAnsi="Times New Roman"/>
          <w:sz w:val="18"/>
          <w:szCs w:val="18"/>
          <w:color w:val="auto"/>
        </w:rPr>
        <w:t>A Cash Dominion Period (as defined in the ABL Facility) is now triggered when (x) availability falls below the greater of (i) 12.5% of the Line Cap and (ii) $12.6 million or (y) during the continuation of an event of default and continuing until (x) availability is above the greater of (i) 12.5% of the Line Cap and (ii) $12.6 million for 30 consecutive days and (y) no events of default are continuing. During a Cash Dominion Period, receipts that have not yet been applied to the ABL Facility are classified as restricted cash in the Company’s consolidated balance sheets.</w:t>
      </w:r>
    </w:p>
    <w:p>
      <w:pPr>
        <w:spacing w:after="0" w:line="45" w:lineRule="exact"/>
        <w:rPr>
          <w:sz w:val="20"/>
          <w:szCs w:val="20"/>
          <w:color w:val="auto"/>
        </w:rPr>
      </w:pPr>
    </w:p>
    <w:p>
      <w:pPr>
        <w:ind w:right="440" w:firstLine="405"/>
        <w:spacing w:after="0" w:line="261" w:lineRule="auto"/>
        <w:rPr>
          <w:sz w:val="20"/>
          <w:szCs w:val="20"/>
          <w:color w:val="auto"/>
        </w:rPr>
      </w:pPr>
      <w:r>
        <w:rPr>
          <w:rFonts w:ascii="Times New Roman" w:cs="Times New Roman" w:eastAsia="Times New Roman" w:hAnsi="Times New Roman"/>
          <w:sz w:val="18"/>
          <w:szCs w:val="18"/>
          <w:color w:val="auto"/>
        </w:rPr>
        <w:t>The ABL Facility has customary representations and warranties including, as a condition to each borrowing, that all such representations and warranties are true and correct in all material respects (including a representation that no Material Adverse Effect (as defined in the ABL Facility) has occurred since December 31, 2024). In the event that the Company cannot certify that all conditions to the borrowing have been met, the lenders can restrict the Company’s future borrowings under the ABL Facility.</w:t>
      </w:r>
    </w:p>
    <w:p>
      <w:pPr>
        <w:spacing w:after="0" w:line="58"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In accordance with the ABL Facility, the lenders have been provided with the Company’s financial statements, covenant compliance certificates and projections to facilitate their ongoing assessment of the Company. Accordingly, the Company believes the likelihood that lenders would exercise the subjective acceleration clause whereby prohibiting future borrowings is remote. As of September 30, 2025, the Company was in compliance with all debt covenants.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 Films Guangzhou Loan</w:t>
      </w:r>
    </w:p>
    <w:p>
      <w:pPr>
        <w:spacing w:after="0" w:line="92"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June 2024, PE Films' business location in Guangzhou, China, Guangzhou Tredegar Film Products Co., Ltd. (“Guangzhou Tredegar”), entered into a 9.5 million Chinese Yuan revolving loan with the Industrial and Commercial Bank of China. This loan matured on July 3, 2025. The interest rate was the one year loan prime rate published by the National Interbank Funding Center for the working day immediately preceding the drawdown date, minus 0.45%. As of September 30, 2025, there was no outstanding loan balance. The revolving loan was secured by a mortgage contract listing the Guangzhou Tredegar factory building as collateral. The mortgage contract has a maximum value of 30 million Chinese Yuan and is effective from June 25, 2024 through May 31, 2027. Guangzhou Tredegar has the option to enter into additional loan contracts with the Industrial and Commercial Bank of China for the duration of the mortgage contract. As of December 31, 2024, this loan was presented as current debt on the consolidated balance sheets.</w:t>
      </w:r>
    </w:p>
    <w:p>
      <w:pPr>
        <w:spacing w:after="0" w:line="63" w:lineRule="exact"/>
        <w:rPr>
          <w:sz w:val="20"/>
          <w:szCs w:val="20"/>
          <w:color w:val="auto"/>
        </w:rPr>
      </w:pPr>
    </w:p>
    <w:p>
      <w:pPr>
        <w:ind w:right="8360" w:firstLine="8"/>
        <w:spacing w:after="0" w:line="375" w:lineRule="auto"/>
        <w:tabs>
          <w:tab w:leader="none" w:pos="26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DISCONTINUED OPERATIONS </w:t>
      </w:r>
      <w:r>
        <w:rPr>
          <w:rFonts w:ascii="Times New Roman" w:cs="Times New Roman" w:eastAsia="Times New Roman" w:hAnsi="Times New Roman"/>
          <w:sz w:val="17"/>
          <w:szCs w:val="17"/>
          <w:i w:val="1"/>
          <w:iCs w:val="1"/>
          <w:color w:val="auto"/>
        </w:rPr>
        <w:t>Flexible Packaging Films</w:t>
      </w:r>
    </w:p>
    <w:p>
      <w:pPr>
        <w:spacing w:after="0" w:line="1"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In September 2023, the Company entered into an agreement to sell Terphane, headquartered in Brazil, to Oben for net cash-free and debt-free base consideration of $116 million.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On November 1, 2024, Tredegar completed the sale of Terphane to Oben. At closing, Tredegar received $60 million in cash, which was net of Terphane debt assumed by Oben of $20 million and estimated Terphane cash retained by Oben of $2 million. The cash proceeds received by Tredegar at closing were after deducting net working capital adjustments and closing indebtedness ($20.5 million), escrow funds ($19.8 million), projected Brazil withholding taxes ($10.8 million), and transaction expenses ($4.4 million). In February 2025, the Company received $9.8 million from post-closing settlement of the transaction. The proceeds from the sale of Terphane were required to be used to pay down debt outstanding under the ABL Facility.</w:t>
      </w:r>
    </w:p>
    <w:p>
      <w:pPr>
        <w:spacing w:after="0" w:line="48"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Upon completion of the sale, the Company recognized a pre-tax loss of $74.9 million for the year ended December 31, 2024, which included the realization of other comprehensive losses on foreign currency translation adjustments, net of gains on derivative financial instruments of $102.3 million previously reflected in accumulated other comprehensive income (loss).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financial results of discontinued operations reflected in the Condensed Consolidated Statements of Income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2025 and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3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3140" w:type="dxa"/>
            <w:vAlign w:val="bottom"/>
            <w:tcBorders>
              <w:top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00" w:type="dxa"/>
            <w:vAlign w:val="bottom"/>
            <w:tcBorders>
              <w:top w:val="single" w:sz="8" w:color="auto"/>
            </w:tcBorders>
          </w:tcPr>
          <w:p>
            <w:pPr>
              <w:spacing w:after="0"/>
              <w:rPr>
                <w:sz w:val="21"/>
                <w:szCs w:val="21"/>
                <w:color w:val="auto"/>
              </w:rPr>
            </w:pPr>
          </w:p>
        </w:tc>
        <w:tc>
          <w:tcPr>
            <w:tcW w:w="3080" w:type="dxa"/>
            <w:vAlign w:val="bottom"/>
            <w:tcBorders>
              <w:top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4"/>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and other items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35,987</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104,046</w:t>
            </w:r>
          </w:p>
        </w:tc>
      </w:tr>
      <w:tr>
        <w:trPr>
          <w:trHeight w:val="229"/>
        </w:trPr>
        <w:tc>
          <w:tcPr>
            <w:tcW w:w="43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4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35,990</w:t>
            </w:r>
          </w:p>
        </w:tc>
        <w:tc>
          <w:tcPr>
            <w:tcW w:w="30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104,052</w:t>
            </w: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tcPr>
          <w:p>
            <w:pPr>
              <w:spacing w:after="0"/>
              <w:rPr>
                <w:sz w:val="19"/>
                <w:szCs w:val="19"/>
                <w:color w:val="auto"/>
              </w:rPr>
            </w:pPr>
          </w:p>
        </w:tc>
        <w:tc>
          <w:tcPr>
            <w:tcW w:w="14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29,204</w:t>
            </w:r>
          </w:p>
        </w:tc>
        <w:tc>
          <w:tcPr>
            <w:tcW w:w="30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85,793</w:t>
            </w:r>
          </w:p>
        </w:tc>
      </w:tr>
      <w:tr>
        <w:trPr>
          <w:trHeight w:val="230"/>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Freight</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1,618</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w:t>
            </w:r>
          </w:p>
        </w:tc>
      </w:tr>
      <w:tr>
        <w:trPr>
          <w:trHeight w:val="229"/>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19"/>
                <w:szCs w:val="19"/>
                <w:color w:val="auto"/>
              </w:rPr>
            </w:pPr>
          </w:p>
        </w:tc>
        <w:tc>
          <w:tcPr>
            <w:tcW w:w="14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35</w:t>
            </w:r>
          </w:p>
        </w:tc>
        <w:tc>
          <w:tcPr>
            <w:tcW w:w="4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3,121</w:t>
            </w:r>
          </w:p>
        </w:tc>
        <w:tc>
          <w:tcPr>
            <w:tcW w:w="30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5,651</w:t>
            </w:r>
          </w:p>
        </w:tc>
      </w:tr>
      <w:tr>
        <w:trPr>
          <w:trHeight w:val="230"/>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29"/>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tcPr>
          <w:p>
            <w:pPr>
              <w:spacing w:after="0"/>
              <w:rPr>
                <w:sz w:val="19"/>
                <w:szCs w:val="19"/>
                <w:color w:val="auto"/>
              </w:rPr>
            </w:pPr>
          </w:p>
        </w:tc>
        <w:tc>
          <w:tcPr>
            <w:tcW w:w="14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43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2,288</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w:t>
            </w:r>
          </w:p>
        </w:tc>
      </w:tr>
      <w:tr>
        <w:trPr>
          <w:trHeight w:val="230"/>
        </w:trPr>
        <w:tc>
          <w:tcPr>
            <w:tcW w:w="43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(Gain) loss on sale of business</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(9,657)</w:t>
            </w: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36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35</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36,428</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(9,297)</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103,905</w:t>
            </w:r>
          </w:p>
        </w:tc>
      </w:tr>
      <w:tr>
        <w:trPr>
          <w:trHeight w:val="169"/>
        </w:trPr>
        <w:tc>
          <w:tcPr>
            <w:tcW w:w="43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Income (loss) from discontinued operations before income</w:t>
            </w:r>
          </w:p>
        </w:tc>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360" w:type="dxa"/>
            <w:vAlign w:val="bottom"/>
          </w:tcPr>
          <w:p>
            <w:pPr>
              <w:spacing w:after="0"/>
              <w:rPr>
                <w:sz w:val="21"/>
                <w:szCs w:val="21"/>
                <w:color w:val="auto"/>
              </w:rPr>
            </w:pPr>
          </w:p>
        </w:tc>
        <w:tc>
          <w:tcPr>
            <w:tcW w:w="144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(35)</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3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9,297</w:t>
            </w: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436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tax expense (benefit)</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3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color w:val="auto"/>
                <w:w w:val="99"/>
              </w:rPr>
              <w:t>(35)</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9,297</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r>
    </w:tbl>
    <w:p>
      <w:pPr>
        <w:spacing w:after="0" w:line="9" w:lineRule="exact"/>
        <w:rPr>
          <w:sz w:val="20"/>
          <w:szCs w:val="20"/>
          <w:color w:val="auto"/>
        </w:rPr>
      </w:pPr>
    </w:p>
    <w:p>
      <w:pPr>
        <w:ind w:left="360" w:right="160" w:hanging="334"/>
        <w:spacing w:after="0" w:line="261"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September 30, 2024, interest expense includes $0.6 million and $1.8 million, respectively, directly related to the $20 million of outstanding Terphane debt assumed by Oben.</w:t>
      </w:r>
    </w:p>
    <w:p>
      <w:pPr>
        <w:ind w:left="360" w:right="280" w:hanging="334"/>
        <w:spacing w:after="0" w:line="255" w:lineRule="auto"/>
        <w:tabs>
          <w:tab w:leader="none" w:pos="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inconsequential income tax expense (benefit) was recognized during the three and nine months ended September 30, 2025, primarily due to foreign tax credits generated from the final Brazilian withholding tax payment made during the periods, which offset the tax liability on the income from discontinued operations.</w:t>
      </w:r>
    </w:p>
    <w:p>
      <w:pPr>
        <w:spacing w:after="0" w:line="172"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Interest expense allocated to discontinued operations was determined by applying the ABL Facility weighted-average interest rate to the Terphane sale proceeds, as the sale proceeds were required to be used to pay down debt outstanding under the ABL Facility.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3" w:name="page24"/>
    <w:bookmarkEnd w:id="23"/>
    <w:p>
      <w:pPr>
        <w:ind w:left="420"/>
        <w:spacing w:after="0"/>
        <w:rPr>
          <w:sz w:val="20"/>
          <w:szCs w:val="20"/>
          <w:color w:val="auto"/>
        </w:rPr>
      </w:pPr>
      <w:r>
        <w:rPr>
          <w:rFonts w:ascii="Times New Roman" w:cs="Times New Roman" w:eastAsia="Times New Roman" w:hAnsi="Times New Roman"/>
          <w:sz w:val="18"/>
          <w:szCs w:val="18"/>
          <w:color w:val="auto"/>
        </w:rPr>
        <w:t>The assets and liabilities of the discontinued operations reflected in the Condensed Consolidated Balance Sheets as of September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respectively, were as follows:</w:t>
      </w:r>
    </w:p>
    <w:p>
      <w:pPr>
        <w:spacing w:after="0" w:line="97" w:lineRule="exact"/>
        <w:rPr>
          <w:sz w:val="20"/>
          <w:szCs w:val="20"/>
          <w:color w:val="auto"/>
        </w:rPr>
      </w:pPr>
    </w:p>
    <w:tbl>
      <w:tblPr>
        <w:tblLayout w:type="fixed"/>
        <w:tblInd w:w="80" w:type="dxa"/>
        <w:tblCellMar>
          <w:top w:w="0" w:type="dxa"/>
          <w:left w:w="0" w:type="dxa"/>
          <w:bottom w:w="0" w:type="dxa"/>
          <w:right w:w="0" w:type="dxa"/>
        </w:tblCellMar>
      </w:tblPr>
      <w:tr>
        <w:trPr>
          <w:trHeight w:val="257"/>
        </w:trPr>
        <w:tc>
          <w:tcPr>
            <w:tcW w:w="5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40" w:type="dxa"/>
            <w:vAlign w:val="bottom"/>
            <w:tcBorders>
              <w:top w:val="single" w:sz="8" w:color="auto"/>
              <w:bottom w:val="single" w:sz="8" w:color="auto"/>
            </w:tcBorders>
          </w:tcPr>
          <w:p>
            <w:pPr>
              <w:spacing w:after="0"/>
              <w:rPr>
                <w:sz w:val="22"/>
                <w:szCs w:val="22"/>
                <w:color w:val="auto"/>
              </w:rPr>
            </w:pPr>
          </w:p>
        </w:tc>
        <w:tc>
          <w:tcPr>
            <w:tcW w:w="18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September 30, 2025</w:t>
            </w:r>
          </w:p>
        </w:tc>
        <w:tc>
          <w:tcPr>
            <w:tcW w:w="26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9"/>
        </w:trPr>
        <w:tc>
          <w:tcPr>
            <w:tcW w:w="5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55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noncurrent assets of discontinued operations</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57"/>
        </w:trPr>
        <w:tc>
          <w:tcPr>
            <w:tcW w:w="55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29"/>
        </w:trPr>
        <w:tc>
          <w:tcPr>
            <w:tcW w:w="55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23"/>
                <w:szCs w:val="23"/>
                <w:b w:val="1"/>
                <w:bCs w:val="1"/>
                <w:color w:val="auto"/>
                <w:vertAlign w:val="superscript"/>
              </w:rPr>
              <w:t>1</w:t>
            </w:r>
          </w:p>
        </w:tc>
        <w:tc>
          <w:tcPr>
            <w:tcW w:w="18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30"/>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55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18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28"/>
        </w:trPr>
        <w:tc>
          <w:tcPr>
            <w:tcW w:w="5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 of discontinued operations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-2540</wp:posOffset>
            </wp:positionV>
            <wp:extent cx="70548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ind w:left="420" w:right="820" w:hanging="333"/>
        <w:spacing w:after="0" w:line="282" w:lineRule="auto"/>
        <w:tabs>
          <w:tab w:leader="none" w:pos="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balance sheet of discontinued operations as of December 31, 2024 includes $0.6 million of severance and $0.2 million of miscellaneous accrued expenses.</w:t>
      </w:r>
    </w:p>
    <w:p>
      <w:pPr>
        <w:spacing w:after="0" w:line="161"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significant operating, investing and financing cash flow information for discontinued operations: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5340" w:type="dxa"/>
            <w:vAlign w:val="bottom"/>
            <w:tcBorders>
              <w:top w:val="single" w:sz="8" w:color="auto"/>
            </w:tcBorders>
          </w:tcPr>
          <w:p>
            <w:pPr>
              <w:spacing w:after="0"/>
              <w:rPr>
                <w:sz w:val="21"/>
                <w:szCs w:val="21"/>
                <w:color w:val="auto"/>
              </w:rPr>
            </w:pPr>
          </w:p>
        </w:tc>
        <w:tc>
          <w:tcPr>
            <w:tcW w:w="2720" w:type="dxa"/>
            <w:vAlign w:val="bottom"/>
            <w:tcBorders>
              <w:top w:val="single" w:sz="8" w:color="auto"/>
            </w:tcBorders>
          </w:tcPr>
          <w:p>
            <w:pPr>
              <w:spacing w:after="0"/>
              <w:rPr>
                <w:sz w:val="21"/>
                <w:szCs w:val="21"/>
                <w:color w:val="auto"/>
              </w:rPr>
            </w:pPr>
          </w:p>
        </w:tc>
        <w:tc>
          <w:tcPr>
            <w:tcW w:w="3140" w:type="dxa"/>
            <w:vAlign w:val="bottom"/>
            <w:tcBorders>
              <w:top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4"/>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7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7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r>
      <w:tr>
        <w:trPr>
          <w:trHeight w:val="229"/>
        </w:trPr>
        <w:tc>
          <w:tcPr>
            <w:tcW w:w="53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the sale of divested business</w:t>
            </w:r>
          </w:p>
        </w:tc>
        <w:tc>
          <w:tcPr>
            <w:tcW w:w="27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(9,657)</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(9,657)</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7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the sale of Terphane</w:t>
            </w:r>
          </w:p>
        </w:tc>
        <w:tc>
          <w:tcPr>
            <w:tcW w:w="2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9,835</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27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r>
      <w:tr>
        <w:trPr>
          <w:trHeight w:val="230"/>
        </w:trPr>
        <w:tc>
          <w:tcPr>
            <w:tcW w:w="53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9,835</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4" w:name="page25"/>
    <w:bookmarkEnd w:id="24"/>
    <w:p>
      <w:pPr>
        <w:jc w:val="right"/>
        <w:ind w:right="3620"/>
        <w:spacing w:after="0" w:line="354"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u w:val="single" w:color="auto"/>
          <w:color w:val="auto"/>
        </w:rPr>
        <w:t>Forward-looking and Cautionary Statements</w:t>
      </w:r>
    </w:p>
    <w:p>
      <w:pPr>
        <w:spacing w:after="0" w:line="1"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Some of the information contained in this Quarterly Report on Form 10-Q ("Form 10-Q") may constitute “forward-looking statements” within the meaning of the “safe harbor” provisions of the Private Securities Litigation Reform Act of 1995. When the Company uses the words “believe,” “estimate,” “anticipate,” “appear to,” “expect,” “project,” “plan,” “likely,” “may” and similar expressions, it does so to identify forward-looking statements. Such statements are based on the Company's then current expectations and are subject to a number of risks and uncertainties that could cause actual results to differ materially from those addressed in the forward-looking statements. It is possible that the Company's actual results and financial condition may differ, possibly materially, from the anticipated results and financial condition indicated in or implied by these forward-looking statements. Accordingly, you should not place undue reliance on these forward-looking statements. Factors that could cause actual results to differ materially from expectations include, without limitation, the following:</w:t>
      </w:r>
    </w:p>
    <w:p>
      <w:pPr>
        <w:spacing w:after="0" w:line="7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factors, such as inflation, interest rates and recession risks;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operating costs incurred by the Company’s business units, including, for example, the cost of raw materials and energy;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any of the financial and other restrictive covenants in the ABL Facility;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continue to attract, develop and retain certain key officers or employees;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Company’s manufacturing facilities, including those resulting from labor shortages;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information technology system failure or breach;</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doing business in countries outside the U.S. that affect our international operations;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epidemics on employees, production and the global economy, such as the COVID-19 pandemic;</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regulatory factors concerning the Company’s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efficiently manufacture and deliver new products at competitive prices;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imposition of tariffs and sanctions on imported aluminum ingot used by Bonnell Aluminum;</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governmental entities to prevent foreign companies from evading antidumping and countervailing duties;</w:t>
      </w:r>
    </w:p>
    <w:p>
      <w:pPr>
        <w:spacing w:after="0" w:line="10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problems or delays with the implementation of the enterprise resource planning and manufacturing executions systems, or security breaches and other disruptions to the Company's information technology infrastructure;</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sales to significant customers on which the Company’s business is highly dependent;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sales to new customers to replace lost business;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Company’s customers to achieve success or maintain market share;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rights;</w:t>
      </w:r>
    </w:p>
    <w:p>
      <w:pPr>
        <w:spacing w:after="0" w:line="103"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complete strategic acquisitions or dispositions, failure to realize the expected benefits of such acquisitions or dispositions, and assumption of unanticipated risks in such acquisitions or dispositions;</w:t>
      </w:r>
    </w:p>
    <w:p>
      <w:pPr>
        <w:spacing w:after="0" w:line="2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and the other factors discussed in the reports Tredegar files with or furnishes to the Securities and Exchange Commission (the “SEC”) from time to time, including the risks and important factors set forth in additional detail in Part I, Item 1A of Tredegar’s Annual Report on Form 10-K for the year ended December 31, 2024 (the “2024 Form 10-K”). Readers are urged to review and consider carefully the disclosures Tredegar makes in its filings with the SEC.</w:t>
      </w:r>
    </w:p>
    <w:p>
      <w:pPr>
        <w:spacing w:after="0" w:line="36" w:lineRule="exact"/>
        <w:rPr>
          <w:sz w:val="20"/>
          <w:szCs w:val="20"/>
          <w:color w:val="auto"/>
        </w:rPr>
      </w:pPr>
    </w:p>
    <w:p>
      <w:pPr>
        <w:ind w:right="460" w:firstLine="405"/>
        <w:spacing w:after="0" w:line="312" w:lineRule="auto"/>
        <w:rPr>
          <w:sz w:val="20"/>
          <w:szCs w:val="20"/>
          <w:color w:val="auto"/>
        </w:rPr>
      </w:pPr>
      <w:r>
        <w:rPr>
          <w:rFonts w:ascii="Times New Roman" w:cs="Times New Roman" w:eastAsia="Times New Roman" w:hAnsi="Times New Roman"/>
          <w:sz w:val="17"/>
          <w:szCs w:val="17"/>
          <w:color w:val="auto"/>
        </w:rPr>
        <w:t>Tredegar does not undertake, and expressly disclaims any duty, to update any forward-looking statement to reflect any change in management’s expectations or any change in conditions, assumptions or circumstances on which such statements are based, except as required by applicable law.</w:t>
      </w:r>
    </w:p>
    <w:p>
      <w:pPr>
        <w:spacing w:after="0" w:line="18"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References herein to “Tredegar,” “the Company,” “we,” “us” and “our” are to Tredegar Corporation and its subsidiaries, collectively, unless the context otherwise indicates or requires.</w:t>
      </w:r>
    </w:p>
    <w:p>
      <w:pPr>
        <w:spacing w:after="0" w:line="27"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Unless otherwise stated or indicated, all comparisons are to the prior year period. References to "Notes" are to notes to our condensed consolidated financial statements found in Part I, Item 1 of this Form 10-Q.</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9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makes a number of estimates and assumptions relating to the reporting of results of operations and financial position in the preparation of financial statements in conformity with generally accepted accounting standards in the United States ("GAAP"). The Company believes the estimates, assumptions and judgments described in the section “Management’s Discussion and Analysis of Financial Condition and Results of Operations – Critical Accounting Policies and Estimates” in the 2024 Form 10-K have the greatest potential impact on our financial statements, so Tredegar considers these to be its critical accounting policies. Since December 31, 2024, there have been no changes in these policies or estimates that have had a material impact on our results of operations or financial position.</w:t>
      </w:r>
    </w:p>
    <w:p>
      <w:pPr>
        <w:spacing w:after="0" w:line="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u w:val="single" w:color="auto"/>
          <w:color w:val="auto"/>
        </w:rPr>
        <w:t>Business Overview</w:t>
      </w:r>
    </w:p>
    <w:p>
      <w:pPr>
        <w:spacing w:after="0" w:line="10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Tredegar Corporation is an industrial manufacturer with two primary businesses: custom aluminum extrusions for the building &amp; construction (“B&amp;C”), automotive and specialty end-use markets in the United States through its Aluminum Extrusions segment (with exports comprising less than 5% of total sales volume) and surface protection films for high-technology applications in the global electronics industry through its PE Films segment. With approximately 1,700 employees, the Company operates manufacturing facilities in the U.S. and China.</w:t>
      </w:r>
    </w:p>
    <w:p>
      <w:pPr>
        <w:spacing w:after="0" w:line="4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Earnings before interest, taxes, depreciation and amortization ("EBITDA") from ongoing operations is the measure of segment profit and loss used by Tredegar’s chief operating decision maker ("CODM") for purposes of assessing financial performance. The Company uses sales less freight (“net sales”) as its measure of revenues from external customers at the segment level. This measure is separately included in the financial information regularly provided to the CODM.</w:t>
      </w:r>
    </w:p>
    <w:p>
      <w:pPr>
        <w:spacing w:after="0" w:line="5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Earnings before interest and taxes ("EBIT") from ongoing operations is a non-GAAP financial measure included in the reconciliation of segment financial information to consolidated results for the Company in the </w:t>
      </w:r>
      <w:r>
        <w:rPr>
          <w:rFonts w:ascii="Times New Roman" w:cs="Times New Roman" w:eastAsia="Times New Roman" w:hAnsi="Times New Roman"/>
          <w:sz w:val="18"/>
          <w:szCs w:val="18"/>
          <w:b w:val="1"/>
          <w:bCs w:val="1"/>
          <w:i w:val="1"/>
          <w:iCs w:val="1"/>
          <w:color w:val="auto"/>
        </w:rPr>
        <w:t>Segment Operations Review</w:t>
      </w:r>
      <w:r>
        <w:rPr>
          <w:rFonts w:ascii="Times New Roman" w:cs="Times New Roman" w:eastAsia="Times New Roman" w:hAnsi="Times New Roman"/>
          <w:sz w:val="18"/>
          <w:szCs w:val="18"/>
          <w:color w:val="auto"/>
        </w:rPr>
        <w:t xml:space="preserve"> section below. It is not intended to represent the stand-alone results for Tredegar's ongoing operations under GAAP and should not be considered as an alternative to net income as defined by GAAP. We believe that EBIT is a widely understood and utilized metric that is meaningful to certain investors and that including this financial metric in the reconciliation of management’s performance metric, EBITDA from ongoing operations, provides useful information to those investors that primarily utilize EBIT to analyze the Company’s core operations.</w:t>
      </w:r>
    </w:p>
    <w:p>
      <w:pPr>
        <w:spacing w:after="0" w:line="66"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Third quarter 2025 net income (loss) from continuing operations was $7.1 million ($0.20 per diluted share) compared to $(3.4) million ($(0.10) per diluted share) in the third quarter of 2024.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Financial Results Highlights</w:t>
      </w:r>
    </w:p>
    <w:p>
      <w:pPr>
        <w:spacing w:after="0" w:line="108" w:lineRule="exact"/>
        <w:rPr>
          <w:sz w:val="20"/>
          <w:szCs w:val="20"/>
          <w:color w:val="auto"/>
        </w:rPr>
      </w:pPr>
    </w:p>
    <w:p>
      <w:pPr>
        <w:ind w:left="660" w:right="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from ongoing operations for Aluminum Extrusions was $16.8 million in the third quarter of 2025 versus $6.2 million in the third quarter of 2024 and versus $9.3 million in the second quarter of 2025.</w:t>
      </w:r>
    </w:p>
    <w:p>
      <w:pPr>
        <w:spacing w:after="0" w:line="40"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was 41.3 million pounds in the third quarter of 2025 versus 34.6 million pounds in the third quarter of 2024 and 40.7 million pounds in the second quarter of 2025.</w:t>
      </w:r>
    </w:p>
    <w:p>
      <w:pPr>
        <w:spacing w:after="0" w:line="26" w:lineRule="exact"/>
        <w:rPr>
          <w:rFonts w:ascii="Times New Roman" w:cs="Times New Roman" w:eastAsia="Times New Roman" w:hAnsi="Times New Roman"/>
          <w:sz w:val="18"/>
          <w:szCs w:val="18"/>
          <w:color w:val="auto"/>
        </w:rPr>
      </w:pPr>
    </w:p>
    <w:p>
      <w:pPr>
        <w:jc w:val="both"/>
        <w:ind w:left="1300" w:right="320" w:hanging="320"/>
        <w:spacing w:after="0" w:line="266" w:lineRule="auto"/>
        <w:tabs>
          <w:tab w:leader="none" w:pos="129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new orders decreased 5% in the third quarter of 2025 versus the third quarter of 2024 and 16% versus the second quarter of 2025. Open orders at the end of the third quarter of 2025 were 19 million pounds versus 16 million pounds at the end of the third quarter of 2024 and 25 million pounds at the end of the second quarter of 2025.</w:t>
      </w:r>
    </w:p>
    <w:p>
      <w:pPr>
        <w:spacing w:after="0" w:line="54"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from ongoing operations for PE Films was $7.2 million in the third quarter of 2025 versus $5.9 million in the third quarter of 2024 and versus $6.7 million in the second quarter of 2025.</w:t>
      </w:r>
    </w:p>
    <w:p>
      <w:pPr>
        <w:spacing w:after="0" w:line="40" w:lineRule="exact"/>
        <w:rPr>
          <w:rFonts w:ascii="Times New Roman" w:cs="Times New Roman" w:eastAsia="Times New Roman" w:hAnsi="Times New Roman"/>
          <w:sz w:val="18"/>
          <w:szCs w:val="18"/>
          <w:color w:val="auto"/>
        </w:rPr>
      </w:pPr>
    </w:p>
    <w:p>
      <w:pPr>
        <w:ind w:left="1300" w:right="220" w:hanging="320"/>
        <w:spacing w:after="0" w:line="282" w:lineRule="auto"/>
        <w:tabs>
          <w:tab w:leader="none" w:pos="129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was 9.7 million pounds in the third quarter of 2025 versus 9.6 million pounds in the third quarter of 2024 and 9.8 million pounds in the second quarter of 2025.</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ind w:left="480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Third Quarter of 2025 Compared with the Third Quarter of 2024 Results</w:t>
      </w:r>
    </w:p>
    <w:p>
      <w:pPr>
        <w:spacing w:after="0" w:line="106"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bridge of consolidated net income (loss) from continuing operations from the third quarter of 2024 to the third quarter of 2025 with management's related discussion and analysis below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 for the three months ended September 30, 2024</w:t>
            </w:r>
          </w:p>
        </w:tc>
        <w:tc>
          <w:tcPr>
            <w:tcW w:w="13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w:t>
            </w:r>
          </w:p>
        </w:tc>
      </w:tr>
      <w:tr>
        <w:trPr>
          <w:trHeight w:val="229"/>
        </w:trPr>
        <w:tc>
          <w:tcPr>
            <w:tcW w:w="9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for the three months ended September 30, 2024</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income (loss) from increases (decreases) in the following items:</w:t>
            </w: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48,878</w:t>
            </w:r>
          </w:p>
        </w:tc>
      </w:tr>
      <w:tr>
        <w:trPr>
          <w:trHeight w:val="229"/>
        </w:trPr>
        <w:tc>
          <w:tcPr>
            <w:tcW w:w="90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9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48,908</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income (loss) from (increases) decreases in the following items:</w:t>
            </w: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(34,738)</w:t>
            </w:r>
          </w:p>
        </w:tc>
      </w:tr>
      <w:tr>
        <w:trPr>
          <w:trHeight w:val="230"/>
        </w:trPr>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Freight</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r>
      <w:tr>
        <w:trPr>
          <w:trHeight w:val="229"/>
        </w:trPr>
        <w:tc>
          <w:tcPr>
            <w:tcW w:w="9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r>
      <w:tr>
        <w:trPr>
          <w:trHeight w:val="230"/>
        </w:trPr>
        <w:tc>
          <w:tcPr>
            <w:tcW w:w="9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29"/>
        </w:trPr>
        <w:tc>
          <w:tcPr>
            <w:tcW w:w="90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3"/>
        </w:trPr>
        <w:tc>
          <w:tcPr>
            <w:tcW w:w="9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(37,224)</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for the three months ended September 30, 2025</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w:t>
            </w:r>
          </w:p>
        </w:tc>
      </w:tr>
      <w:tr>
        <w:trPr>
          <w:trHeight w:val="229"/>
        </w:trPr>
        <w:tc>
          <w:tcPr>
            <w:tcW w:w="9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r>
      <w:tr>
        <w:trPr>
          <w:trHeight w:val="230"/>
        </w:trPr>
        <w:tc>
          <w:tcPr>
            <w:tcW w:w="9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 for the three months ended September 30, 2025</w:t>
            </w: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w:t>
            </w:r>
          </w:p>
        </w:tc>
      </w:tr>
    </w:tbl>
    <w:p>
      <w:pPr>
        <w:spacing w:after="0" w:line="157"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 xml:space="preserve">Sales in the third quarter of 2025 increased by $48.9 million compared with the third quarter of 2024. Net sales (sales less freight) in Aluminum Extrusions increased $46.8 million, primarily due to higher sales volume and the pass-through of higher metal costs. Net sales in PE Films increased $1.0 million, primarily due to an increase in sales volume in surface protection films. For more information on net sales and volume, see the </w:t>
      </w:r>
      <w:r>
        <w:rPr>
          <w:rFonts w:ascii="Times New Roman" w:cs="Times New Roman" w:eastAsia="Times New Roman" w:hAnsi="Times New Roman"/>
          <w:sz w:val="18"/>
          <w:szCs w:val="18"/>
          <w:b w:val="1"/>
          <w:bCs w:val="1"/>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Operations Review </w:t>
      </w:r>
      <w:r>
        <w:rPr>
          <w:rFonts w:ascii="Times New Roman" w:cs="Times New Roman" w:eastAsia="Times New Roman" w:hAnsi="Times New Roman"/>
          <w:sz w:val="18"/>
          <w:szCs w:val="18"/>
          <w:color w:val="auto"/>
        </w:rPr>
        <w:t>below.</w:t>
      </w:r>
    </w:p>
    <w:p>
      <w:pPr>
        <w:spacing w:after="0" w:line="58"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Consolidated gross profit (sales minus cost of goods sold and freight) as a percentage of sales (gross profit margin) was 16.0% in the third quarter of 2025 compared to 12.4% in the third quarter of 2024. The gross profit margin in Aluminum Extrusions increased compared to the prior year period primarily due to higher volume, favorable pricing and lower manufacturing costs associated with material yield, partially offset by higher labor rates, unfavorable labor productivity associated with onboarding new employees, higher maintenance and supply expense, and higher fixed costs primarily associated with wage increases and compensation-related costs. Additionally, the timing of the flow-through under the first-in first-out (“FIFO”) method of aluminum raw materials costs, which were previously acquired in a quickly changing commodity pricing environment, causing a temporary mismatch in the change in the cost of raw materials included in variable costs and the pass through to customers included in sales, resulted in a benefit of $4.3 million in the third quarter of 2025 versus a charge of $1.0 million in the third quarter of 2024. The gross profit margin in PE Films increased due to a higher Surface Protection contribution margin associated with higher volume, cost improvements and favorable productivity and the pass-through lag associated with resin costs, partially offset by lower overwrap films volume and unfavorable productivity.</w:t>
      </w:r>
    </w:p>
    <w:p>
      <w:pPr>
        <w:spacing w:after="0" w:line="59"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As a percentage of sales, selling, general and administrative (“SG&amp;A”) and research and development ("R&amp;D") expenses were 10.5% in the third quarter of 2025 compared with 13.0% in the third quarter of 2024. Third quarter sales increased 33.5% while SG&amp;A increased 8.3% compared to the prior period. Higher SG&amp;A spending was primarily due to employee-related incentive compensation, stock-based compensation and business development activities.</w:t>
      </w:r>
    </w:p>
    <w:p>
      <w:pPr>
        <w:spacing w:after="0" w:line="58"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Interest expense was $0.8 million in the third quarter of 2025 in comparison to $1.2 million in the third quarter of 2024. The decrease in interest expense was primarily due to lower weighted average total debt outstanding and lower interest rates.</w:t>
      </w:r>
    </w:p>
    <w:p>
      <w:pPr>
        <w:spacing w:after="0" w:line="40"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effective tax rate used to compute income taxes (benefit) from continuing operations in the third quarter of 2025 was 22.1% compared to (32.3)% in the third quarter of 2024. The effective tax rate in the third quarter of 2025 was impacted by taxable discrete items, including stock-based compensation. The effective tax rate in the third quarter of 2024 was impacted by a loss from continuing operations before income taxes.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 xml:space="preserve">Pre-tax gains and losses associated with plant shutdowns, asset impairments, restructurings and other items for the third quarters of 2025 and 2024 detailed below are shown in the reconciliation of net sales and EBITDA from ongoing operations by segment in the table in the </w:t>
      </w:r>
      <w:r>
        <w:rPr>
          <w:rFonts w:ascii="Times New Roman" w:cs="Times New Roman" w:eastAsia="Times New Roman" w:hAnsi="Times New Roman"/>
          <w:sz w:val="18"/>
          <w:szCs w:val="18"/>
          <w:b w:val="1"/>
          <w:bCs w:val="1"/>
          <w:i w:val="1"/>
          <w:iCs w:val="1"/>
          <w:color w:val="auto"/>
        </w:rPr>
        <w:t>Segment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section below and are included in “Asset impairments and costs associated with exit and disposal activities, net of adjustments” in the condensed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statements of income, unless otherwise noted.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5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0"/>
        </w:trPr>
        <w:tc>
          <w:tcPr>
            <w:tcW w:w="8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98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7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7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Production equipment asset impairment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52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Consulting expenses for ERP/MES project</w:t>
            </w:r>
            <w:r>
              <w:rPr>
                <w:rFonts w:ascii="Times New Roman" w:cs="Times New Roman" w:eastAsia="Times New Roman" w:hAnsi="Times New Roman"/>
                <w:sz w:val="23"/>
                <w:szCs w:val="23"/>
                <w:color w:val="auto"/>
                <w:vertAlign w:val="superscript"/>
              </w:rPr>
              <w:t>1</w:t>
            </w:r>
          </w:p>
        </w:tc>
        <w:tc>
          <w:tcPr>
            <w:tcW w:w="7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852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Aluminum extrusion press fire at the Newnan, Georgia plant</w:t>
            </w:r>
            <w:r>
              <w:rPr>
                <w:rFonts w:ascii="Times New Roman" w:cs="Times New Roman" w:eastAsia="Times New Roman" w:hAnsi="Times New Roman"/>
                <w:sz w:val="23"/>
                <w:szCs w:val="23"/>
                <w:color w:val="auto"/>
                <w:vertAlign w:val="superscript"/>
              </w:rPr>
              <w:t>1</w:t>
            </w:r>
          </w:p>
        </w:tc>
        <w:tc>
          <w:tcPr>
            <w:tcW w:w="7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2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Legal fees associated with the Aluminum Extruders Trade Case and other matters</w:t>
            </w:r>
            <w:r>
              <w:rPr>
                <w:rFonts w:ascii="Times New Roman" w:cs="Times New Roman" w:eastAsia="Times New Roman" w:hAnsi="Times New Roman"/>
                <w:sz w:val="23"/>
                <w:szCs w:val="23"/>
                <w:color w:val="auto"/>
                <w:vertAlign w:val="superscript"/>
              </w:rPr>
              <w:t>1</w:t>
            </w:r>
          </w:p>
        </w:tc>
        <w:tc>
          <w:tcPr>
            <w:tcW w:w="7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8520" w:type="dxa"/>
            <w:vAlign w:val="bottom"/>
            <w:tcBorders>
              <w:bottom w:val="single" w:sz="8" w:color="auto"/>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Resolution of customer quality complaint</w:t>
            </w:r>
            <w:r>
              <w:rPr>
                <w:rFonts w:ascii="Times New Roman" w:cs="Times New Roman" w:eastAsia="Times New Roman" w:hAnsi="Times New Roman"/>
                <w:sz w:val="23"/>
                <w:szCs w:val="23"/>
                <w:color w:val="auto"/>
                <w:vertAlign w:val="superscript"/>
              </w:rPr>
              <w:t>2</w:t>
            </w:r>
          </w:p>
        </w:tc>
        <w:tc>
          <w:tcPr>
            <w:tcW w:w="7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7"/>
        </w:trPr>
        <w:tc>
          <w:tcPr>
            <w:tcW w:w="8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Aluminum Extrusions</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7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52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business development activities</w:t>
            </w:r>
            <w:r>
              <w:rPr>
                <w:rFonts w:ascii="Times New Roman" w:cs="Times New Roman" w:eastAsia="Times New Roman" w:hAnsi="Times New Roman"/>
                <w:sz w:val="23"/>
                <w:szCs w:val="23"/>
                <w:color w:val="auto"/>
                <w:vertAlign w:val="superscript"/>
              </w:rPr>
              <w:t>1</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52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remediation activities related to internal control over financial reporting</w:t>
            </w:r>
            <w:r>
              <w:rPr>
                <w:rFonts w:ascii="Times New Roman" w:cs="Times New Roman" w:eastAsia="Times New Roman" w:hAnsi="Times New Roman"/>
                <w:sz w:val="23"/>
                <w:szCs w:val="23"/>
                <w:color w:val="auto"/>
                <w:vertAlign w:val="superscript"/>
              </w:rPr>
              <w:t>1</w:t>
            </w:r>
          </w:p>
        </w:tc>
        <w:tc>
          <w:tcPr>
            <w:tcW w:w="7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520" w:type="dxa"/>
            <w:vAlign w:val="bottom"/>
            <w:tcBorders>
              <w:bottom w:val="single" w:sz="8" w:color="auto"/>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the transition to the ABL Facility</w:t>
            </w:r>
            <w:r>
              <w:rPr>
                <w:rFonts w:ascii="Times New Roman" w:cs="Times New Roman" w:eastAsia="Times New Roman" w:hAnsi="Times New Roman"/>
                <w:sz w:val="23"/>
                <w:szCs w:val="23"/>
                <w:color w:val="auto"/>
                <w:vertAlign w:val="superscript"/>
              </w:rPr>
              <w:t>1</w:t>
            </w:r>
          </w:p>
        </w:tc>
        <w:tc>
          <w:tcPr>
            <w:tcW w:w="7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Corporate</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bl>
    <w:p>
      <w:pPr>
        <w:ind w:left="180" w:hanging="154"/>
        <w:spacing w:after="0" w:line="234" w:lineRule="auto"/>
        <w:tabs>
          <w:tab w:leader="none" w:pos="1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“Selling, general and administrative expenses” in the condensed consolidated statements of income.</w:t>
      </w:r>
    </w:p>
    <w:p>
      <w:pPr>
        <w:ind w:left="180" w:hanging="154"/>
        <w:spacing w:after="0"/>
        <w:tabs>
          <w:tab w:leader="none" w:pos="1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"Sales" in the condensed consolidated statements of income.</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Average total debt outstanding and interest rates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6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3320" w:type="dxa"/>
            <w:vAlign w:val="bottom"/>
            <w:tcBorders>
              <w:top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 September 30,</w:t>
            </w:r>
          </w:p>
        </w:tc>
      </w:tr>
      <w:tr>
        <w:trPr>
          <w:trHeight w:val="234"/>
        </w:trPr>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6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Floating-rate debt with interest charged on a rollover basis plus a credit spread:</w:t>
            </w:r>
          </w:p>
        </w:tc>
        <w:tc>
          <w:tcPr>
            <w:tcW w:w="1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Average total outstanding debt balance</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59.0</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125.5</w:t>
            </w:r>
          </w:p>
        </w:tc>
      </w:tr>
      <w:tr>
        <w:trPr>
          <w:trHeight w:val="229"/>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interest rate</w:t>
            </w:r>
          </w:p>
        </w:tc>
        <w:tc>
          <w:tcPr>
            <w:tcW w:w="1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851"/>
        </w:trPr>
        <w:tc>
          <w:tcPr>
            <w:tcW w:w="66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27</w:t>
            </w: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66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auto"/>
        </w:rPr>
        <w:t>First Nine Months of 2025 Compared with the First Nine Months of 2024 Results</w:t>
      </w:r>
    </w:p>
    <w:p>
      <w:pPr>
        <w:spacing w:after="0" w:line="92"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bridge of consolidated net income (loss) from continuing operations from the first nine months of 2024 to the first nine months of 2025 with management's related discussion and analysis below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 for the nine months ended September 30, 2024</w:t>
            </w:r>
          </w:p>
        </w:tc>
        <w:tc>
          <w:tcPr>
            <w:tcW w:w="13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w:t>
            </w:r>
          </w:p>
        </w:tc>
      </w:tr>
      <w:tr>
        <w:trPr>
          <w:trHeight w:val="229"/>
        </w:trPr>
        <w:tc>
          <w:tcPr>
            <w:tcW w:w="9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w:t>
            </w:r>
          </w:p>
        </w:tc>
      </w:tr>
      <w:tr>
        <w:trPr>
          <w:trHeight w:val="223"/>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for the nine months ended September 30, 2024</w:t>
            </w:r>
          </w:p>
        </w:tc>
        <w:tc>
          <w:tcPr>
            <w:tcW w:w="1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11,560</w:t>
            </w:r>
          </w:p>
        </w:tc>
      </w:tr>
      <w:tr>
        <w:trPr>
          <w:trHeight w:val="229"/>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income (loss) from increases (decreases) in the following items:</w:t>
            </w:r>
          </w:p>
        </w:tc>
        <w:tc>
          <w:tcPr>
            <w:tcW w:w="1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9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1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94,820</w:t>
            </w:r>
          </w:p>
        </w:tc>
      </w:tr>
      <w:tr>
        <w:trPr>
          <w:trHeight w:val="230"/>
        </w:trPr>
        <w:tc>
          <w:tcPr>
            <w:tcW w:w="9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r>
      <w:tr>
        <w:trPr>
          <w:trHeight w:val="223"/>
        </w:trPr>
        <w:tc>
          <w:tcPr>
            <w:tcW w:w="9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95,897</w:t>
            </w:r>
          </w:p>
        </w:tc>
      </w:tr>
      <w:tr>
        <w:trPr>
          <w:trHeight w:val="230"/>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income (loss) from (increases) decreases in the following items:</w:t>
            </w:r>
          </w:p>
        </w:tc>
        <w:tc>
          <w:tcPr>
            <w:tcW w:w="1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9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1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(84,796)</w:t>
            </w:r>
          </w:p>
        </w:tc>
      </w:tr>
      <w:tr>
        <w:trPr>
          <w:trHeight w:val="229"/>
        </w:trPr>
        <w:tc>
          <w:tcPr>
            <w:tcW w:w="9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Freight</w:t>
            </w:r>
          </w:p>
        </w:tc>
        <w:tc>
          <w:tcPr>
            <w:tcW w:w="1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r>
      <w:tr>
        <w:trPr>
          <w:trHeight w:val="230"/>
        </w:trPr>
        <w:tc>
          <w:tcPr>
            <w:tcW w:w="9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w:t>
            </w:r>
          </w:p>
        </w:tc>
      </w:tr>
      <w:tr>
        <w:trPr>
          <w:trHeight w:val="229"/>
        </w:trPr>
        <w:tc>
          <w:tcPr>
            <w:tcW w:w="9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90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3"/>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(94,273)</w:t>
            </w:r>
          </w:p>
        </w:tc>
      </w:tr>
      <w:tr>
        <w:trPr>
          <w:trHeight w:val="229"/>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for the nine months ended September 30, 2025</w:t>
            </w:r>
          </w:p>
        </w:tc>
        <w:tc>
          <w:tcPr>
            <w:tcW w:w="1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13,184</w:t>
            </w:r>
          </w:p>
        </w:tc>
      </w:tr>
      <w:tr>
        <w:trPr>
          <w:trHeight w:val="230"/>
        </w:trPr>
        <w:tc>
          <w:tcPr>
            <w:tcW w:w="9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w:t>
            </w:r>
          </w:p>
        </w:tc>
      </w:tr>
      <w:tr>
        <w:trPr>
          <w:trHeight w:val="230"/>
        </w:trPr>
        <w:tc>
          <w:tcPr>
            <w:tcW w:w="9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 for the nine months ended September 30, 2025</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9,609</w:t>
            </w:r>
          </w:p>
        </w:tc>
      </w:tr>
    </w:tbl>
    <w:p>
      <w:pPr>
        <w:spacing w:after="0" w:line="157" w:lineRule="exact"/>
        <w:rPr>
          <w:sz w:val="20"/>
          <w:szCs w:val="20"/>
          <w:color w:val="auto"/>
        </w:rPr>
      </w:pPr>
    </w:p>
    <w:p>
      <w:pPr>
        <w:ind w:right="440" w:firstLine="405"/>
        <w:spacing w:after="0" w:line="261" w:lineRule="auto"/>
        <w:rPr>
          <w:sz w:val="20"/>
          <w:szCs w:val="20"/>
          <w:color w:val="auto"/>
        </w:rPr>
      </w:pPr>
      <w:r>
        <w:rPr>
          <w:rFonts w:ascii="Times New Roman" w:cs="Times New Roman" w:eastAsia="Times New Roman" w:hAnsi="Times New Roman"/>
          <w:sz w:val="18"/>
          <w:szCs w:val="18"/>
          <w:color w:val="auto"/>
        </w:rPr>
        <w:t xml:space="preserve">Sales in the first nine months of 2025 increased by $94.8 million compared with the first nine months of 2024. Net sales (sales less freight) in Aluminum Extrusions increased $95.1 million, primarily due to higher sales volume and the pass-through of higher metal costs. Net sales in PE Films decreased $2.8 million, primarily due to a decrease in sales volume in Surface Protection and overwrap films. For more information on net sales and volume, see the </w:t>
      </w:r>
      <w:r>
        <w:rPr>
          <w:rFonts w:ascii="Times New Roman" w:cs="Times New Roman" w:eastAsia="Times New Roman" w:hAnsi="Times New Roman"/>
          <w:sz w:val="18"/>
          <w:szCs w:val="18"/>
          <w:b w:val="1"/>
          <w:bCs w:val="1"/>
          <w:i w:val="1"/>
          <w:iCs w:val="1"/>
          <w:color w:val="auto"/>
        </w:rPr>
        <w:t>Segment Operations Review</w:t>
      </w:r>
      <w:r>
        <w:rPr>
          <w:rFonts w:ascii="Times New Roman" w:cs="Times New Roman" w:eastAsia="Times New Roman" w:hAnsi="Times New Roman"/>
          <w:sz w:val="18"/>
          <w:szCs w:val="18"/>
          <w:color w:val="auto"/>
        </w:rPr>
        <w:t xml:space="preserve"> below.</w:t>
      </w:r>
    </w:p>
    <w:p>
      <w:pPr>
        <w:spacing w:after="0" w:line="5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Consolidated gross profit (sales minus cost of goods sold and freight) as a percentage of sales (gross profit margin) was 14.7% in the first nine months of 2025 compared to 16.1% in the first nine months of 2024. The gross profit margin in Aluminum Extrusions decreased compared to the prior year period primarily due to higher variable manufacturing costs associated with material yield in the first five months of 2025, higher labor rates, decreased labor productivity associated with onboarding new employees, higher maintenance expense, primarily associated with downed equipment and extreme winter weather events in the first quarter of 2025 and tariff impacts, higher die expense associated with the timing of purchases in the first quarter of 2025, higher expense for externally purchased (versus internally produced) billet related to increasing volume, higher utilities and higher fixed costs associated with wage increases and compensation-related costs, partially offset by higher volume and favorable mix. Additionally, the timing of the flow-through under the FIFO method of aluminum raw material costs, which were previously acquired at lower prices in a quickly changing commodity pricing environment and passed through to customers, resulted in a benefit of $5.4 million in the first nine months of 2025 versus a charge of $1.0 million in the first nine months of 2024. The gross profit margin in PE Films remained consistent with the prior period.</w:t>
      </w:r>
    </w:p>
    <w:p>
      <w:pPr>
        <w:spacing w:after="0" w:line="73"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As a percentage of sales, SG&amp;A and R&amp;D expenses were 11.5% in the first nine months of 2025 compared with 12.3% in the first nine months of 2024. Sales increased 21.4% while SG&amp;A increased 13.2% compared to the prior period. Higher SG&amp;A spending was primarily due to employee-related incentive compensation, stock-based compensation and business development activities.</w:t>
      </w:r>
    </w:p>
    <w:p>
      <w:pPr>
        <w:spacing w:after="0" w:line="41"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Interest expense was $3.6 million in the first nine months of 2025 in comparison to $3.5 million in the first nine months of 2024. The increase was primarily due to the write-off of deferred financing fees related to the entry into Amendment No. 5 to the Second Amended and Restated Credit Agreement of $0.8 million, partially offset by lower weighted average total debt outstanding and lower interest rates.</w:t>
      </w:r>
    </w:p>
    <w:p>
      <w:pPr>
        <w:spacing w:after="0" w:line="54" w:lineRule="exact"/>
        <w:rPr>
          <w:sz w:val="20"/>
          <w:szCs w:val="20"/>
          <w:color w:val="auto"/>
        </w:rPr>
      </w:pPr>
    </w:p>
    <w:p>
      <w:pPr>
        <w:jc w:val="both"/>
        <w:ind w:right="260" w:firstLine="405"/>
        <w:spacing w:after="0" w:line="266" w:lineRule="auto"/>
        <w:rPr>
          <w:sz w:val="20"/>
          <w:szCs w:val="20"/>
          <w:color w:val="auto"/>
        </w:rPr>
      </w:pPr>
      <w:r>
        <w:rPr>
          <w:rFonts w:ascii="Times New Roman" w:cs="Times New Roman" w:eastAsia="Times New Roman" w:hAnsi="Times New Roman"/>
          <w:sz w:val="18"/>
          <w:szCs w:val="18"/>
          <w:color w:val="auto"/>
        </w:rPr>
        <w:t>The effective tax rate used to compute income taxes (benefit) from continuing operations in the first nine months of 2025 was 27.1% compared to 27.5% in the first nine months of 2024. The effective tax rate in the first nine months of 2025 and the first nine months of 2024 was impacted by taxable discrete items, including stock-based compensation.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9" w:name="page30"/>
    <w:bookmarkEnd w:id="29"/>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 xml:space="preserve">Pre-tax gains and losses associated with plant shutdowns, asset impairments, restructurings and other items for the first nine months of 2025 and 2024 detailed below are shown in the reconciliation of net sales and EBITDA from ongoing operations by segment in the table in the </w:t>
      </w:r>
      <w:r>
        <w:rPr>
          <w:rFonts w:ascii="Times New Roman" w:cs="Times New Roman" w:eastAsia="Times New Roman" w:hAnsi="Times New Roman"/>
          <w:sz w:val="18"/>
          <w:szCs w:val="18"/>
          <w:b w:val="1"/>
          <w:bCs w:val="1"/>
          <w:i w:val="1"/>
          <w:iCs w:val="1"/>
          <w:color w:val="auto"/>
        </w:rPr>
        <w:t>Segment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section below and are included in “Asset impairments and costs associated with exit and disposal activities, net of adjustments” in the condensed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statements of income, unless otherwise noted.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300" w:type="dxa"/>
            <w:vAlign w:val="bottom"/>
            <w:tcBorders>
              <w:top w:val="single" w:sz="8" w:color="auto"/>
            </w:tcBorders>
          </w:tcPr>
          <w:p>
            <w:pPr>
              <w:spacing w:after="0"/>
              <w:rPr>
                <w:sz w:val="21"/>
                <w:szCs w:val="21"/>
                <w:color w:val="auto"/>
              </w:rPr>
            </w:pPr>
          </w:p>
        </w:tc>
        <w:tc>
          <w:tcPr>
            <w:tcW w:w="29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4"/>
        </w:trPr>
        <w:tc>
          <w:tcPr>
            <w:tcW w:w="8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Production equipment asset impairment</w:t>
            </w:r>
          </w:p>
        </w:tc>
        <w:tc>
          <w:tcPr>
            <w:tcW w:w="5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30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Consulting expenses for ERP/MES project</w:t>
            </w:r>
            <w:r>
              <w:rPr>
                <w:rFonts w:ascii="Times New Roman" w:cs="Times New Roman" w:eastAsia="Times New Roman" w:hAnsi="Times New Roman"/>
                <w:sz w:val="23"/>
                <w:szCs w:val="23"/>
                <w:color w:val="auto"/>
                <w:vertAlign w:val="superscript"/>
              </w:rPr>
              <w:t>1</w:t>
            </w: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830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Storm damage to the Newnan, Georgia plant</w:t>
            </w:r>
            <w:r>
              <w:rPr>
                <w:rFonts w:ascii="Times New Roman" w:cs="Times New Roman" w:eastAsia="Times New Roman" w:hAnsi="Times New Roman"/>
                <w:sz w:val="23"/>
                <w:szCs w:val="23"/>
                <w:color w:val="auto"/>
                <w:vertAlign w:val="superscript"/>
              </w:rPr>
              <w:t>1</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830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Aluminum extrusion press fire at the Newnan, Georgia plant</w:t>
            </w:r>
            <w:r>
              <w:rPr>
                <w:rFonts w:ascii="Times New Roman" w:cs="Times New Roman" w:eastAsia="Times New Roman" w:hAnsi="Times New Roman"/>
                <w:sz w:val="23"/>
                <w:szCs w:val="23"/>
                <w:color w:val="auto"/>
                <w:vertAlign w:val="superscript"/>
              </w:rPr>
              <w:t>1</w:t>
            </w: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30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Legal fees associated with the Aluminum Extruders Trade Case and other matters</w:t>
            </w:r>
            <w:r>
              <w:rPr>
                <w:rFonts w:ascii="Times New Roman" w:cs="Times New Roman" w:eastAsia="Times New Roman" w:hAnsi="Times New Roman"/>
                <w:sz w:val="23"/>
                <w:szCs w:val="23"/>
                <w:color w:val="auto"/>
                <w:vertAlign w:val="superscript"/>
              </w:rPr>
              <w:t>1</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830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Resolution of customer quality complaint</w:t>
            </w:r>
            <w:r>
              <w:rPr>
                <w:rFonts w:ascii="Times New Roman" w:cs="Times New Roman" w:eastAsia="Times New Roman" w:hAnsi="Times New Roman"/>
                <w:sz w:val="23"/>
                <w:szCs w:val="23"/>
                <w:color w:val="auto"/>
                <w:vertAlign w:val="superscript"/>
              </w:rPr>
              <w:t>5</w:t>
            </w: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8300" w:type="dxa"/>
            <w:vAlign w:val="bottom"/>
            <w:tcBorders>
              <w:bottom w:val="single" w:sz="8" w:color="auto"/>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Aluminum premium charge as a result of unplanned maintenance interruptions</w:t>
            </w:r>
            <w:r>
              <w:rPr>
                <w:rFonts w:ascii="Times New Roman" w:cs="Times New Roman" w:eastAsia="Times New Roman" w:hAnsi="Times New Roman"/>
                <w:sz w:val="23"/>
                <w:szCs w:val="23"/>
                <w:color w:val="auto"/>
                <w:vertAlign w:val="superscript"/>
              </w:rPr>
              <w:t>2</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 Aluminum Extrusions</w:t>
            </w:r>
          </w:p>
        </w:tc>
        <w:tc>
          <w:tcPr>
            <w:tcW w:w="5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30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Richmond, Virginia Technical Center closure expenses, including severance</w:t>
            </w:r>
            <w:r>
              <w:rPr>
                <w:rFonts w:ascii="Times New Roman" w:cs="Times New Roman" w:eastAsia="Times New Roman" w:hAnsi="Times New Roman"/>
                <w:sz w:val="23"/>
                <w:szCs w:val="23"/>
                <w:color w:val="auto"/>
                <w:vertAlign w:val="superscript"/>
              </w:rPr>
              <w:t>3</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300" w:type="dxa"/>
            <w:vAlign w:val="bottom"/>
            <w:tcBorders>
              <w:bottom w:val="single" w:sz="8" w:color="auto"/>
            </w:tcBorders>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Richmond, Virginia Technical Center lease modification</w:t>
            </w:r>
            <w:r>
              <w:rPr>
                <w:rFonts w:ascii="Times New Roman" w:cs="Times New Roman" w:eastAsia="Times New Roman" w:hAnsi="Times New Roman"/>
                <w:sz w:val="23"/>
                <w:szCs w:val="23"/>
                <w:color w:val="auto"/>
                <w:vertAlign w:val="superscript"/>
              </w:rPr>
              <w:t>3</w:t>
            </w: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PE Films</w:t>
            </w:r>
          </w:p>
        </w:tc>
        <w:tc>
          <w:tcPr>
            <w:tcW w:w="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3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business development activities</w:t>
            </w:r>
            <w:r>
              <w:rPr>
                <w:rFonts w:ascii="Times New Roman" w:cs="Times New Roman" w:eastAsia="Times New Roman" w:hAnsi="Times New Roman"/>
                <w:sz w:val="23"/>
                <w:szCs w:val="23"/>
                <w:color w:val="auto"/>
                <w:vertAlign w:val="superscript"/>
              </w:rPr>
              <w:t>1</w:t>
            </w:r>
          </w:p>
        </w:tc>
        <w:tc>
          <w:tcPr>
            <w:tcW w:w="5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830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remediation activities related to internal control over financial reporting</w:t>
            </w:r>
            <w:r>
              <w:rPr>
                <w:rFonts w:ascii="Times New Roman" w:cs="Times New Roman" w:eastAsia="Times New Roman" w:hAnsi="Times New Roman"/>
                <w:sz w:val="23"/>
                <w:szCs w:val="23"/>
                <w:color w:val="auto"/>
                <w:vertAlign w:val="superscript"/>
              </w:rPr>
              <w:t>1</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83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Group annuity contract premium adjustment</w:t>
            </w:r>
            <w:r>
              <w:rPr>
                <w:rFonts w:ascii="Times New Roman" w:cs="Times New Roman" w:eastAsia="Times New Roman" w:hAnsi="Times New Roman"/>
                <w:sz w:val="23"/>
                <w:szCs w:val="23"/>
                <w:color w:val="auto"/>
                <w:vertAlign w:val="superscript"/>
              </w:rPr>
              <w:t>4</w:t>
            </w: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30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the transition to the ABL Facility</w:t>
            </w:r>
            <w:r>
              <w:rPr>
                <w:rFonts w:ascii="Times New Roman" w:cs="Times New Roman" w:eastAsia="Times New Roman" w:hAnsi="Times New Roman"/>
                <w:sz w:val="23"/>
                <w:szCs w:val="23"/>
                <w:color w:val="auto"/>
                <w:vertAlign w:val="superscript"/>
              </w:rPr>
              <w:t>1</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300" w:type="dxa"/>
            <w:vAlign w:val="bottom"/>
            <w:tcBorders>
              <w:bottom w:val="single" w:sz="8" w:color="auto"/>
            </w:tcBorders>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Proceeds on the sale of corporate-owned land</w:t>
            </w:r>
            <w:r>
              <w:rPr>
                <w:rFonts w:ascii="Times New Roman" w:cs="Times New Roman" w:eastAsia="Times New Roman" w:hAnsi="Times New Roman"/>
                <w:sz w:val="23"/>
                <w:szCs w:val="23"/>
                <w:color w:val="auto"/>
                <w:vertAlign w:val="superscript"/>
              </w:rPr>
              <w:t>4</w:t>
            </w: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for Corporate</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80" w:hanging="154"/>
        <w:spacing w:after="0"/>
        <w:tabs>
          <w:tab w:leader="none" w:pos="1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“Selling, general and administrative expenses” in the condensed consolidated statements of income.</w:t>
      </w:r>
    </w:p>
    <w:p>
      <w:pPr>
        <w:ind w:left="180" w:hanging="154"/>
        <w:spacing w:after="0" w:line="211" w:lineRule="auto"/>
        <w:tabs>
          <w:tab w:leader="none" w:pos="1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“Cost of Goods Sold” in the condensed consolidated statements of income.</w:t>
      </w:r>
    </w:p>
    <w:p>
      <w:pPr>
        <w:ind w:left="180" w:hanging="154"/>
        <w:spacing w:after="0" w:line="211" w:lineRule="auto"/>
        <w:tabs>
          <w:tab w:leader="none" w:pos="1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Note 1 for additional information.</w:t>
      </w:r>
    </w:p>
    <w:p>
      <w:pPr>
        <w:ind w:left="180" w:hanging="154"/>
        <w:spacing w:after="0" w:line="211" w:lineRule="auto"/>
        <w:tabs>
          <w:tab w:leader="none" w:pos="1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income (expense), net” in the condensed consolidated statements of income.</w:t>
      </w:r>
    </w:p>
    <w:p>
      <w:pPr>
        <w:ind w:left="180" w:hanging="154"/>
        <w:spacing w:after="0"/>
        <w:tabs>
          <w:tab w:leader="none" w:pos="1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"Sales" in the condensed consolidated statements of income.</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Average total debt outstanding and interest rates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6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3300" w:type="dxa"/>
            <w:vAlign w:val="bottom"/>
            <w:tcBorders>
              <w:top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4"/>
        </w:trPr>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6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Floating-rate debt with interest charged on a rollover basis plus a credit spread:</w:t>
            </w:r>
          </w:p>
        </w:tc>
        <w:tc>
          <w:tcPr>
            <w:tcW w:w="1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Average total outstanding debt balance</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60.0</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128.6</w:t>
            </w:r>
          </w:p>
        </w:tc>
      </w:tr>
      <w:tr>
        <w:trPr>
          <w:trHeight w:val="230"/>
        </w:trPr>
        <w:tc>
          <w:tcPr>
            <w:tcW w:w="6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interest rate</w:t>
            </w:r>
          </w:p>
        </w:tc>
        <w:tc>
          <w:tcPr>
            <w:tcW w:w="1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850"/>
        </w:trPr>
        <w:tc>
          <w:tcPr>
            <w:tcW w:w="66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29</w:t>
            </w: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66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jc w:val="center"/>
        <w:ind w:left="400"/>
        <w:spacing w:after="0"/>
        <w:rPr>
          <w:sz w:val="20"/>
          <w:szCs w:val="20"/>
          <w:color w:val="auto"/>
        </w:rPr>
      </w:pPr>
      <w:r>
        <w:rPr>
          <w:rFonts w:ascii="Times New Roman" w:cs="Times New Roman" w:eastAsia="Times New Roman" w:hAnsi="Times New Roman"/>
          <w:sz w:val="18"/>
          <w:szCs w:val="18"/>
          <w:b w:val="1"/>
          <w:bCs w:val="1"/>
          <w:u w:val="single" w:color="auto"/>
          <w:color w:val="auto"/>
        </w:rPr>
        <w:t>Segment Operations Review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Aluminum Extrusions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results for Aluminum Extrusions is provided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6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w:t>
            </w: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Favorable/</w:t>
            </w:r>
          </w:p>
        </w:tc>
        <w:tc>
          <w:tcPr>
            <w:tcW w:w="22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Nine Months Ended</w:t>
            </w:r>
          </w:p>
        </w:tc>
        <w:tc>
          <w:tcPr>
            <w:tcW w:w="152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Favorable/</w:t>
            </w:r>
          </w:p>
        </w:tc>
      </w:tr>
      <w:tr>
        <w:trPr>
          <w:trHeight w:val="234"/>
        </w:trPr>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September 30,</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(Unfavorable)</w:t>
            </w:r>
          </w:p>
        </w:tc>
        <w:tc>
          <w:tcPr>
            <w:tcW w:w="220" w:type="dxa"/>
            <w:vAlign w:val="bottom"/>
          </w:tcPr>
          <w:p>
            <w:pPr>
              <w:spacing w:after="0"/>
              <w:rPr>
                <w:sz w:val="20"/>
                <w:szCs w:val="20"/>
                <w:color w:val="auto"/>
              </w:rPr>
            </w:pPr>
          </w:p>
        </w:tc>
        <w:tc>
          <w:tcPr>
            <w:tcW w:w="200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September 30,</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(Unfavorable)</w:t>
            </w:r>
          </w:p>
        </w:tc>
      </w:tr>
      <w:tr>
        <w:trPr>
          <w:trHeight w:val="40"/>
        </w:trPr>
        <w:tc>
          <w:tcPr>
            <w:tcW w:w="36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6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520" w:type="dxa"/>
            <w:vAlign w:val="bottom"/>
          </w:tcPr>
          <w:p>
            <w:pPr>
              <w:spacing w:after="0"/>
              <w:rPr>
                <w:sz w:val="3"/>
                <w:szCs w:val="3"/>
                <w:color w:val="auto"/>
              </w:rPr>
            </w:pPr>
          </w:p>
        </w:tc>
      </w:tr>
      <w:tr>
        <w:trPr>
          <w:trHeight w:val="250"/>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Change</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5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41,303</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34,556</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19.5%</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119,911</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103,303</w:t>
            </w:r>
          </w:p>
        </w:tc>
        <w:tc>
          <w:tcPr>
            <w:tcW w:w="1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162,470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115,717</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444,470</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349,353</w:t>
            </w:r>
          </w:p>
        </w:tc>
        <w:tc>
          <w:tcPr>
            <w:tcW w:w="1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27.2%</w:t>
            </w:r>
          </w:p>
        </w:tc>
      </w:tr>
      <w:tr>
        <w:trPr>
          <w:trHeight w:val="230"/>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Variable costs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124,462</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90,397</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(37.7)%</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344,043</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263,007</w:t>
            </w:r>
          </w:p>
        </w:tc>
        <w:tc>
          <w:tcPr>
            <w:tcW w:w="1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(30.8)%</w:t>
            </w:r>
          </w:p>
        </w:tc>
      </w:tr>
      <w:tr>
        <w:trPr>
          <w:trHeight w:val="229"/>
        </w:trPr>
        <w:tc>
          <w:tcPr>
            <w:tcW w:w="36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Manufacturing fixed costs</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11,906</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(16.5)%</w:t>
            </w: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34,879</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29,726</w:t>
            </w:r>
          </w:p>
        </w:tc>
        <w:tc>
          <w:tcPr>
            <w:tcW w:w="1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36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costs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8,948</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(4.7)%</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28,489</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24,319</w:t>
            </w:r>
          </w:p>
        </w:tc>
        <w:tc>
          <w:tcPr>
            <w:tcW w:w="15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(17.1)%</w:t>
            </w:r>
          </w:p>
        </w:tc>
      </w:tr>
      <w:tr>
        <w:trPr>
          <w:trHeight w:val="230"/>
        </w:trPr>
        <w:tc>
          <w:tcPr>
            <w:tcW w:w="36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346</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8.0%</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1,808</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5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(167.1)%</w:t>
            </w: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 from ongoing operations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16,808</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172.1%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35,251</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31,624</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11.5%</w:t>
            </w:r>
          </w:p>
        </w:tc>
      </w:tr>
      <w:tr>
        <w:trPr>
          <w:trHeight w:val="230"/>
        </w:trPr>
        <w:tc>
          <w:tcPr>
            <w:tcW w:w="3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4.9%</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(12,509)</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(13,392)</w:t>
            </w:r>
          </w:p>
        </w:tc>
        <w:tc>
          <w:tcPr>
            <w:tcW w:w="15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5"/>
              </w:rPr>
              <w:t>6.6%</w:t>
            </w:r>
          </w:p>
        </w:tc>
      </w:tr>
      <w:tr>
        <w:trPr>
          <w:trHeight w:val="230"/>
        </w:trPr>
        <w:tc>
          <w:tcPr>
            <w:tcW w:w="3680" w:type="dxa"/>
            <w:vAlign w:val="bottom"/>
            <w:tcBorders>
              <w:bottom w:val="single" w:sz="8" w:color="auto"/>
            </w:tcBorders>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EBIT from ongoing operations</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12,618</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611.7%</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22,742</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18,232</w:t>
            </w:r>
          </w:p>
        </w:tc>
        <w:tc>
          <w:tcPr>
            <w:tcW w:w="152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24.7%</w:t>
            </w:r>
          </w:p>
        </w:tc>
      </w:tr>
      <w:tr>
        <w:trPr>
          <w:trHeight w:val="23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6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7,835</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15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80" w:hanging="154"/>
        <w:spacing w:after="0"/>
        <w:tabs>
          <w:tab w:leader="none" w:pos="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related depreciation and amortization</w:t>
      </w:r>
    </w:p>
    <w:p>
      <w:pPr>
        <w:ind w:left="180" w:hanging="154"/>
        <w:spacing w:after="0" w:line="211" w:lineRule="auto"/>
        <w:tabs>
          <w:tab w:leader="none" w:pos="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segment allocated employee compensation benefit expenses</w:t>
      </w:r>
    </w:p>
    <w:p>
      <w:pPr>
        <w:ind w:left="180" w:hanging="154"/>
        <w:spacing w:after="0"/>
        <w:tabs>
          <w:tab w:leader="none" w:pos="1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reconciliation below of this non-GAAP measure to the most comparable measure calculated in accordance with GAAP.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Third Quarter 2025 Results vs. Third Quarter 2024 Results</w:t>
      </w:r>
    </w:p>
    <w:p>
      <w:pPr>
        <w:spacing w:after="0" w:line="106"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Net sales (sales less freight) in the third quarter of 2025 increased 40.4% versus the third quarter of 2024 primarily due to higher sales volume and the pass-through of higher metal costs. Sales volume in the third quarter of 2025 increased 19.5% versus the third quarter of 2024 and 1.5% versus the second quarter of 2025. The Company increased shipments for curtainwall, storefront and institutional walkway covers within the nonresidential B&amp;C market versus the third quarter of 2024. Within the specialty market, shipments for solar panel products within the electrical product group, machinery and equipment, consumer durables and distribution products increased versus the third quarter of last year. The Company attributes the increase in nonresidential B&amp;C and consumer durables to a pull-forward of demand earlier in the year as customers placed orders in anticipation of higher tariff-related pricing (</w:t>
      </w:r>
      <w:r>
        <w:rPr>
          <w:rFonts w:ascii="Times New Roman" w:cs="Times New Roman" w:eastAsia="Times New Roman" w:hAnsi="Times New Roman"/>
          <w:sz w:val="18"/>
          <w:szCs w:val="18"/>
          <w:i w:val="1"/>
          <w:iCs w:val="1"/>
          <w:color w:val="auto"/>
        </w:rPr>
        <w:t>see discussion on net new orders below)</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120" w:firstLine="405"/>
        <w:spacing w:after="0" w:line="235" w:lineRule="auto"/>
        <w:rPr>
          <w:sz w:val="20"/>
          <w:szCs w:val="20"/>
          <w:color w:val="auto"/>
        </w:rPr>
      </w:pPr>
      <w:r>
        <w:rPr>
          <w:rFonts w:ascii="Times New Roman" w:cs="Times New Roman" w:eastAsia="Times New Roman" w:hAnsi="Times New Roman"/>
          <w:sz w:val="18"/>
          <w:szCs w:val="18"/>
          <w:color w:val="auto"/>
        </w:rPr>
        <w:t>Year-over-year growth in shipments for TSLOTS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aluminum framing systems was primarily associated with increased demand for infrastructure associated with data containment and data centers. The Company believes that the growth in the solar and distribution markets was partly due to regaining market share previously lost to imported aluminum extrusions.</w:t>
      </w:r>
    </w:p>
    <w:p>
      <w:pPr>
        <w:spacing w:after="0" w:line="78"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Net new orders in the third quarter of 2025 decreased 5% versus the third quarter of 2024 and 16% versus the second quarter of 2025. The decrease in net new orders in the third quarter of 2025, which is largely attributed to the tariff increase to 50%, marked the second quarterly decline for this metric, following 10 consecutive quarterly increases.</w:t>
      </w:r>
    </w:p>
    <w:p>
      <w:pPr>
        <w:spacing w:after="0" w:line="54"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Open orders at the end of the third quarter of 2025 were 19 million pounds versus 16 million pounds at the end of the third quarter of 2024 and 25 million pounds at the end of the second quarter of 2025. This level falls below the quarterly range of 21 to 27 million pounds in 2019 before pandemic-related disruptions that resulted in long lead times.</w:t>
      </w:r>
    </w:p>
    <w:p>
      <w:pPr>
        <w:spacing w:after="0" w:line="41"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Effective June 4, 2025, the Section 232 tariffs were increased to 50%, except for the United Kingdom, after previously being increased from 10% to 25%, effective March 12, 2025. These measures are in addition to existing antidumping and countervailing duties. There are no country-specific or product-specific exclusions occurring to date, except for an alternative arrangement with the United Kingdom. Tariffs and duties are part of the mechanical pass-through to customers in the U.S. market for aluminum extrusions for changes in metal costs. In addition, the Company implemented price increases during the third quarter of 2025 to offset other tariff-related cost increases that are not part of the metal cost pass-through mechanism.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The trend of net new orders declined after the most recent tariff increase to 50% from an average of 3.4 million pounds per week for the weekly periods ending from January 5 to June 1, 2025, to an average of 2.7 million pounds per week for the weekly periods ending June 8, 2025 through November 2, 2025. The Company believes that the 20% decline in net new orders after the step-up in tariff to 50% is due to a combination of: lower demand for extrusions in the U.S.; tariffs not resulting in the expected favorable shift of market share to U.S. aluminum extrusion producers due to the apparent undervaluing of goods by importers; and customers pausing orders to evaluate the permanency of the new higher tariff. When the Section 232 program was initially strengthened, while import volume remained high, U.S. producers began to see increased market share gains against imports. However, the U.S. industry has seen these early gains reversed and imports have again begun gaining share at the expense of the domestic industry, which has impacted the Company’s business. The Company is hopeful that the Administration will address the problem.</w:t>
      </w:r>
    </w:p>
    <w:p>
      <w:pPr>
        <w:spacing w:after="0" w:line="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 the third quarter of 2025 increased $10.6 million versus the third quarter of 2024, primarily due to:</w:t>
      </w:r>
    </w:p>
    <w:p>
      <w:pPr>
        <w:spacing w:after="0" w:line="10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$12.7 million increase in contribution margin (net sales less variable costs) associated with:</w:t>
      </w:r>
    </w:p>
    <w:p>
      <w:pPr>
        <w:spacing w:after="0" w:line="103" w:lineRule="exact"/>
        <w:rPr>
          <w:rFonts w:ascii="Times New Roman" w:cs="Times New Roman" w:eastAsia="Times New Roman" w:hAnsi="Times New Roman"/>
          <w:sz w:val="18"/>
          <w:szCs w:val="18"/>
          <w:color w:val="auto"/>
        </w:rPr>
      </w:pPr>
    </w:p>
    <w:p>
      <w:pPr>
        <w:ind w:left="1300" w:hanging="320"/>
        <w:spacing w:after="0" w:line="261" w:lineRule="auto"/>
        <w:tabs>
          <w:tab w:leader="none" w:pos="12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volume ($4.9 million), favorable pricing ($4.2 million) and lower manufacturing costs associated with material yield ($0.5 million favorable in the third quarter of 2025 versus $0.8 million unfavorable in the third quarter of 2024), partially offset by higher labor rates ($0.9 million), unfavorable labor productivity associated with onboarding new employees ($0.7 million), higher maintenance and supply expense, partially due to the impact of tariffs ($0.5 million), and higher utilities ($0.3 million).</w:t>
      </w:r>
    </w:p>
    <w:p>
      <w:pPr>
        <w:spacing w:after="0" w:line="44" w:lineRule="exact"/>
        <w:rPr>
          <w:rFonts w:ascii="Times New Roman" w:cs="Times New Roman" w:eastAsia="Times New Roman" w:hAnsi="Times New Roman"/>
          <w:sz w:val="18"/>
          <w:szCs w:val="18"/>
          <w:color w:val="auto"/>
        </w:rPr>
      </w:pPr>
    </w:p>
    <w:p>
      <w:pPr>
        <w:ind w:left="1300" w:right="60" w:hanging="320"/>
        <w:spacing w:after="0" w:line="261" w:lineRule="auto"/>
        <w:tabs>
          <w:tab w:leader="none" w:pos="12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flow-through under the FIFO method of aluminum raw materials costs, which were previously acquired in a quickly changing commodity pricing environment, causing a temporary mismatch in the change in the cost of raw materials included in variable costs and the pass through to customers included in sales, resulted in a benefit of $4.3 million in the third quarter of 2025 versus a charge of $1.0 million in the third quarter of 2024.</w:t>
      </w:r>
    </w:p>
    <w:p>
      <w:pPr>
        <w:spacing w:after="0" w:line="58" w:lineRule="exact"/>
        <w:rPr>
          <w:rFonts w:ascii="Times New Roman" w:cs="Times New Roman" w:eastAsia="Times New Roman" w:hAnsi="Times New Roman"/>
          <w:sz w:val="18"/>
          <w:szCs w:val="18"/>
          <w:color w:val="auto"/>
        </w:rPr>
      </w:pPr>
    </w:p>
    <w:p>
      <w:pPr>
        <w:ind w:left="1960" w:right="120" w:hanging="332"/>
        <w:spacing w:after="0" w:line="258" w:lineRule="auto"/>
        <w:tabs>
          <w:tab w:leader="none" w:pos="1956"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average U.S. Midwest transaction prices for aluminum (which includes tariffs and duties) and the main factor causing the flow-through timing issue for the related periods compared, were $1.89 and $1.49 per pound in August and May of 2025, and $1.25 and $1.36 per pound in August and May of 2024. The average U.S. Midwest transaction prices for aluminum for the third and second quarters of 2025 and third and second quarters of 2024 were $1.90, $1.56, $1.27 and $1.34 per pound, respectively.</w:t>
      </w:r>
    </w:p>
    <w:p>
      <w:pPr>
        <w:spacing w:after="0" w:line="6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fixed costs primarily associated with wage increases and compensation-related costs ($0.6 million), higher maintenance and utilities expenses ($0.5 million) and added resources to support increasing volume ($0.3 million).</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SG&amp;A expenses primarily associated with employee-related compensation ($0.4 million).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First Nine Months of 2025 Results vs. First Nine Months of 2024 Results</w:t>
      </w:r>
    </w:p>
    <w:p>
      <w:pPr>
        <w:spacing w:after="0" w:line="106"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Net sales in the first nine months of 2025 increased 27.2% versus the first nine months of 2024 primarily due to higher sales volume and the pass-through of higher metal costs. Sales volume in the first nine months of 2025 increased 16.1% versus the first nine months of 2024.</w:t>
      </w:r>
    </w:p>
    <w:p>
      <w:pPr>
        <w:spacing w:after="0" w:line="27"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EBITDA from ongoing operations in the first nine months of 2025 increased $3.6 million in comparison to the first nine months of 2024 primarily due to:</w:t>
      </w:r>
    </w:p>
    <w:p>
      <w:pPr>
        <w:spacing w:after="0" w:line="4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$14.0 million increase in contribution margin associated with:</w:t>
      </w:r>
    </w:p>
    <w:p>
      <w:pPr>
        <w:spacing w:after="0" w:line="103" w:lineRule="exact"/>
        <w:rPr>
          <w:rFonts w:ascii="Times New Roman" w:cs="Times New Roman" w:eastAsia="Times New Roman" w:hAnsi="Times New Roman"/>
          <w:sz w:val="18"/>
          <w:szCs w:val="18"/>
          <w:color w:val="auto"/>
        </w:rPr>
      </w:pPr>
    </w:p>
    <w:p>
      <w:pPr>
        <w:ind w:left="1300" w:right="40" w:hanging="320"/>
        <w:spacing w:after="0" w:line="255" w:lineRule="auto"/>
        <w:tabs>
          <w:tab w:leader="none" w:pos="12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volume and favorable mix ($15.6 million), partially offset by higher variable manufacturing costs associated with material yield in the first five months of 2025, which was unfavorable to projected rates ($0.8 million unfavorable in the first nine months of 2025 versus $0.2 million unfavorable in the first nine months of 2024), higher labor rates ($2.3 million), decreased labor productivity associated with onboarding new employees ($1.2 million), higher maintenance expense, primarily associated with downed equipment, extreme winter weather events in the first quarter of 2025 and tariff impacts ($1.0 million), higher die expense associated with the timing of purchases in the first quarter of 2025 ($0.7 million), higher expense for externally purchased (versus internally produced) billet related to increasing volume ($1.0 million) and higher utilities ($0.7 million).</w:t>
      </w:r>
    </w:p>
    <w:p>
      <w:pPr>
        <w:spacing w:after="0" w:line="5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flow-through under the FIFO method of aluminum raw material costs, which were previously acquired at lower prices in a quickly changing commodity pricing environment and passed through to customers, resulted in a benefit of $5.4 million in the first nine months of 2025 versus a charge of $1.0 million in the first nine months of 2024.</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2" w:name="page33"/>
    <w:bookmarkEnd w:id="32"/>
    <w:p>
      <w:pPr>
        <w:ind w:left="660" w:right="20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fixed costs associated with wage increases and compensation-related costs ($2.4 million), higher maintenance and utilities ($1.2 million) and added resources to support increasing volume ($0.9 million).</w:t>
      </w:r>
    </w:p>
    <w:p>
      <w:pPr>
        <w:spacing w:after="0" w:line="2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SG&amp;A expenses primarily associated with employee-related compensation ($3.3 million), increased training and onboarding expense ($0.5 million) and routine environmental compliance costs ($0.3 million).</w:t>
      </w:r>
    </w:p>
    <w:p>
      <w:pPr>
        <w:spacing w:after="0" w:line="40" w:lineRule="exact"/>
        <w:rPr>
          <w:rFonts w:ascii="Times New Roman" w:cs="Times New Roman" w:eastAsia="Times New Roman" w:hAnsi="Times New Roman"/>
          <w:sz w:val="18"/>
          <w:szCs w:val="18"/>
          <w:color w:val="auto"/>
        </w:rPr>
      </w:pPr>
    </w:p>
    <w:p>
      <w:pPr>
        <w:ind w:left="660" w:right="80" w:hanging="328"/>
        <w:spacing w:after="0" w:line="312" w:lineRule="auto"/>
        <w:tabs>
          <w:tab w:leader="none" w:pos="65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other expense for employee-related medical costs caused by an increase in the number of high-cost medical claims versus favorable experience in recent years ($1.1 million). The Company is self-insured for medical claims with stop loss coverage for claims of over $0.3 million.</w:t>
      </w:r>
    </w:p>
    <w:p>
      <w:pPr>
        <w:spacing w:after="0" w:line="1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Manufacturing costs versus expectations during the second quarter of 2025 were unfavorable by approximately $3 million, which occurred in April and May due to inefficiencies from the ramp-up of production and hiring to fulfill the higher order rate. These issues were resolved and did not recur in the third quarter of 2025.</w:t>
      </w:r>
    </w:p>
    <w:p>
      <w:pPr>
        <w:spacing w:after="0" w:line="39" w:lineRule="exact"/>
        <w:rPr>
          <w:sz w:val="20"/>
          <w:szCs w:val="20"/>
          <w:color w:val="auto"/>
        </w:rPr>
      </w:pPr>
    </w:p>
    <w:p>
      <w:pPr>
        <w:ind w:right="520" w:firstLine="405"/>
        <w:spacing w:after="0" w:line="361" w:lineRule="auto"/>
        <w:rPr>
          <w:sz w:val="20"/>
          <w:szCs w:val="20"/>
          <w:color w:val="auto"/>
        </w:rPr>
      </w:pPr>
      <w:r>
        <w:rPr>
          <w:rFonts w:ascii="Times New Roman" w:cs="Times New Roman" w:eastAsia="Times New Roman" w:hAnsi="Times New Roman"/>
          <w:sz w:val="18"/>
          <w:szCs w:val="18"/>
          <w:color w:val="auto"/>
        </w:rPr>
        <w:t xml:space="preserve">Refer to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Form 10-Q for additional information on aluminum prices. </w:t>
      </w: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ind w:firstLine="405"/>
        <w:spacing w:after="0" w:line="266" w:lineRule="auto"/>
        <w:rPr>
          <w:sz w:val="20"/>
          <w:szCs w:val="20"/>
          <w:color w:val="auto"/>
        </w:rPr>
      </w:pPr>
      <w:r>
        <w:rPr>
          <w:rFonts w:ascii="Times New Roman" w:cs="Times New Roman" w:eastAsia="Times New Roman" w:hAnsi="Times New Roman"/>
          <w:sz w:val="18"/>
          <w:szCs w:val="18"/>
          <w:color w:val="auto"/>
        </w:rPr>
        <w:t>Capital expenditures for Bonnell Aluminum are projected to be $17 million in 2025, including $5 million for productivity projects and $12 million for capital expenditures required to support continuity of operations. Depreciation expense is projected to be $15 million in 2025. Amortization expense is projected to be $2 million in 2025.</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 Films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results for PE Films is provided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6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w:t>
            </w: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Favorable/</w:t>
            </w:r>
          </w:p>
        </w:tc>
        <w:tc>
          <w:tcPr>
            <w:tcW w:w="22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Nine Months Ended</w:t>
            </w:r>
          </w:p>
        </w:tc>
        <w:tc>
          <w:tcPr>
            <w:tcW w:w="156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Favorable/</w:t>
            </w:r>
          </w:p>
        </w:tc>
      </w:tr>
      <w:tr>
        <w:trPr>
          <w:trHeight w:val="234"/>
        </w:trPr>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September 30,</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(Unfavorable)</w:t>
            </w:r>
          </w:p>
        </w:tc>
        <w:tc>
          <w:tcPr>
            <w:tcW w:w="220" w:type="dxa"/>
            <w:vAlign w:val="bottom"/>
          </w:tcPr>
          <w:p>
            <w:pPr>
              <w:spacing w:after="0"/>
              <w:rPr>
                <w:sz w:val="20"/>
                <w:szCs w:val="20"/>
                <w:color w:val="auto"/>
              </w:rPr>
            </w:pPr>
          </w:p>
        </w:tc>
        <w:tc>
          <w:tcPr>
            <w:tcW w:w="198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September 30,</w:t>
            </w:r>
          </w:p>
        </w:tc>
        <w:tc>
          <w:tcPr>
            <w:tcW w:w="15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(Unfavorable)</w:t>
            </w:r>
          </w:p>
        </w:tc>
      </w:tr>
      <w:tr>
        <w:trPr>
          <w:trHeight w:val="41"/>
        </w:trPr>
        <w:tc>
          <w:tcPr>
            <w:tcW w:w="36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5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560" w:type="dxa"/>
            <w:vAlign w:val="bottom"/>
          </w:tcPr>
          <w:p>
            <w:pPr>
              <w:spacing w:after="0"/>
              <w:rPr>
                <w:sz w:val="3"/>
                <w:szCs w:val="3"/>
                <w:color w:val="auto"/>
              </w:rPr>
            </w:pPr>
          </w:p>
        </w:tc>
      </w:tr>
      <w:tr>
        <w:trPr>
          <w:trHeight w:val="250"/>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Change</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5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9,656</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29,093</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30,223</w:t>
            </w:r>
          </w:p>
        </w:tc>
        <w:tc>
          <w:tcPr>
            <w:tcW w:w="1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25,883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24,879</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76,017</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78,811</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Variable costs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11,922</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35,586</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37,522</w:t>
            </w:r>
          </w:p>
        </w:tc>
        <w:tc>
          <w:tcPr>
            <w:tcW w:w="15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36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Manufacturing fixed costs</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3,785</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10,487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36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costs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2,961</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8,420</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15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36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5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(9.4)%</w:t>
            </w: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 from ongoing operations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7,221</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21,454</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22,913</w:t>
            </w:r>
          </w:p>
        </w:tc>
        <w:tc>
          <w:tcPr>
            <w:tcW w:w="15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3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15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3680" w:type="dxa"/>
            <w:vAlign w:val="bottom"/>
            <w:tcBorders>
              <w:bottom w:val="single" w:sz="8" w:color="auto"/>
            </w:tcBorders>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EBIT from ongoing operations</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5,997</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17,749</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18,969</w:t>
            </w:r>
          </w:p>
        </w:tc>
        <w:tc>
          <w:tcPr>
            <w:tcW w:w="156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5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80" w:hanging="154"/>
        <w:spacing w:after="0"/>
        <w:tabs>
          <w:tab w:leader="none" w:pos="1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related depreciation and amortization</w:t>
      </w:r>
    </w:p>
    <w:p>
      <w:pPr>
        <w:ind w:left="180" w:hanging="154"/>
        <w:spacing w:after="0" w:line="211" w:lineRule="auto"/>
        <w:tabs>
          <w:tab w:leader="none" w:pos="1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segment allocated employee compensation benefit expenses</w:t>
      </w:r>
    </w:p>
    <w:p>
      <w:pPr>
        <w:ind w:left="180" w:hanging="154"/>
        <w:spacing w:after="0"/>
        <w:tabs>
          <w:tab w:leader="none" w:pos="1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reconciliation below of this non-GAAP measure to the most comparable measure calculated in accordance with GAAP.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Third Quarter 2025 Results vs. Third Quarter 2024 Results</w:t>
      </w:r>
    </w:p>
    <w:p>
      <w:pPr>
        <w:spacing w:after="0" w:line="106"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Net sales in the third quarter of 2025 increased 4.0% versus the third quarter of 2024 due to an increase in sales volume in surface protection films. Sales volume increased 10.9% in surface protection films versus the third quarter of 2024 and 16.1% versus the second quarter of 2025. Recent volume performance for Surface Protection is expected to moderate for the remainder of the year. Volume for overwrap films, which are predominantly manufactured and sold in the U.S. and used in consumer staple items, decreased 11.0% in the third quarter of 2025 versus the third quarter of 2024.</w:t>
      </w:r>
    </w:p>
    <w:p>
      <w:pPr>
        <w:spacing w:after="0" w:line="45"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To date, Surface Protection has not experienced an adverse impact on customer demand related to tariff actions; however, the situation remains fluid and the impact on consumer electronics is uncertain.</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 the third quarter of 2025 increased $1.4 million versus the third quarter of 2024, primarily due to:</w:t>
      </w:r>
    </w:p>
    <w:p>
      <w:pPr>
        <w:spacing w:after="0" w:line="104"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contribution margin of $1.4 million resulting from:</w:t>
      </w:r>
    </w:p>
    <w:p>
      <w:pPr>
        <w:spacing w:after="0" w:line="90" w:lineRule="exact"/>
        <w:rPr>
          <w:rFonts w:ascii="Times New Roman" w:cs="Times New Roman" w:eastAsia="Times New Roman" w:hAnsi="Times New Roman"/>
          <w:sz w:val="18"/>
          <w:szCs w:val="18"/>
          <w:color w:val="auto"/>
        </w:rPr>
      </w:pPr>
    </w:p>
    <w:p>
      <w:pPr>
        <w:ind w:left="1300" w:right="720" w:hanging="320"/>
        <w:spacing w:after="0" w:line="282" w:lineRule="auto"/>
        <w:tabs>
          <w:tab w:leader="none" w:pos="129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$1.8 million increase from Surface Protection associated with higher volume ($0.7 million), cost improvements and favorable productivity ($1.0 million) and the pass-through lag associated with resin costs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ind w:left="1300"/>
        <w:spacing w:after="0"/>
        <w:rPr>
          <w:sz w:val="20"/>
          <w:szCs w:val="20"/>
          <w:color w:val="auto"/>
        </w:rPr>
      </w:pPr>
      <w:r>
        <w:rPr>
          <w:rFonts w:ascii="Times New Roman" w:cs="Times New Roman" w:eastAsia="Times New Roman" w:hAnsi="Times New Roman"/>
          <w:sz w:val="18"/>
          <w:szCs w:val="18"/>
          <w:color w:val="auto"/>
        </w:rPr>
        <w:t>(a charge of $0.1 million in the third quarter of 2025 versus a charge of $0.2 million in the third quarter of 2024).</w:t>
      </w:r>
    </w:p>
    <w:p>
      <w:pPr>
        <w:spacing w:after="0" w:line="90" w:lineRule="exact"/>
        <w:rPr>
          <w:sz w:val="20"/>
          <w:szCs w:val="20"/>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$0.4 million decrease from overwrap films primarily due to lower volume ($0.1 million) and unfavorable productivity ($0.3 million)</w:t>
      </w:r>
    </w:p>
    <w:p>
      <w:pPr>
        <w:spacing w:after="0" w:line="104" w:lineRule="exact"/>
        <w:rPr>
          <w:sz w:val="20"/>
          <w:szCs w:val="20"/>
          <w:color w:val="auto"/>
        </w:rPr>
      </w:pPr>
    </w:p>
    <w:p>
      <w:pPr>
        <w:ind w:firstLine="389"/>
        <w:spacing w:after="0" w:line="261" w:lineRule="auto"/>
        <w:rPr>
          <w:sz w:val="20"/>
          <w:szCs w:val="20"/>
          <w:color w:val="auto"/>
        </w:rPr>
      </w:pPr>
      <w:r>
        <w:rPr>
          <w:rFonts w:ascii="Times New Roman" w:cs="Times New Roman" w:eastAsia="Times New Roman" w:hAnsi="Times New Roman"/>
          <w:sz w:val="18"/>
          <w:szCs w:val="18"/>
          <w:color w:val="auto"/>
        </w:rPr>
        <w:t>There have been significant cyclical swings in the sales volume and EBITDA from ongoing operations for PE Films since the beginning of 2022, largely due to the unprecedented downturn in the display industry during the second half of 2022 and first half of 2023. EBITDA from ongoing operations for the past 3.75 years (first nine months of 2025, full year 2024, 2023 and 2022) has averaged approximately $5.0 million per quarter. The top four customers comprised 88% of the net sales for PE Films for the first nine months of 2025 and all of 2024.</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First Nine Months of 2025 Results vs. First Nine Months of 2024 Results</w:t>
      </w:r>
    </w:p>
    <w:p>
      <w:pPr>
        <w:spacing w:after="0" w:line="79" w:lineRule="exact"/>
        <w:rPr>
          <w:sz w:val="20"/>
          <w:szCs w:val="20"/>
          <w:color w:val="auto"/>
        </w:rPr>
      </w:pPr>
    </w:p>
    <w:p>
      <w:pPr>
        <w:ind w:right="140" w:firstLine="405"/>
        <w:spacing w:after="0" w:line="250" w:lineRule="auto"/>
        <w:rPr>
          <w:sz w:val="20"/>
          <w:szCs w:val="20"/>
          <w:color w:val="auto"/>
        </w:rPr>
      </w:pPr>
      <w:r>
        <w:rPr>
          <w:rFonts w:ascii="Times New Roman" w:cs="Times New Roman" w:eastAsia="Times New Roman" w:hAnsi="Times New Roman"/>
          <w:sz w:val="18"/>
          <w:szCs w:val="18"/>
          <w:color w:val="auto"/>
        </w:rPr>
        <w:t>Net sales in the first nine months of 2025 decreased 3.5% compared to the first nine months of 2024 due to a decrease in sales volume in Surface Protection and overwrap films. Sales volume decreased 1.9% in Surface Protection in the first nine months of 2025 versus the first nine months of 2024. Sales volume for overwrap films decreased 5.7% in the first nine months of 2025 versus the first nine months of 2024.</w:t>
      </w:r>
    </w:p>
    <w:p>
      <w:pPr>
        <w:spacing w:after="0" w:line="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 the first nine months of 2025 decreased $1.5 million versus the first nine months of 2024, primarily due to:</w:t>
      </w:r>
    </w:p>
    <w:p>
      <w:pPr>
        <w:spacing w:after="0" w:line="77" w:lineRule="exact"/>
        <w:rPr>
          <w:sz w:val="20"/>
          <w:szCs w:val="20"/>
          <w:color w:val="auto"/>
        </w:rPr>
      </w:pPr>
    </w:p>
    <w:p>
      <w:pPr>
        <w:ind w:left="660" w:hanging="24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contribution margin of $0.8 million resulting from:</w:t>
      </w:r>
    </w:p>
    <w:p>
      <w:pPr>
        <w:spacing w:after="0" w:line="90" w:lineRule="exact"/>
        <w:rPr>
          <w:rFonts w:ascii="Times New Roman" w:cs="Times New Roman" w:eastAsia="Times New Roman" w:hAnsi="Times New Roman"/>
          <w:sz w:val="18"/>
          <w:szCs w:val="18"/>
          <w:color w:val="auto"/>
        </w:rPr>
      </w:pPr>
    </w:p>
    <w:p>
      <w:pPr>
        <w:ind w:left="1300" w:right="160" w:hanging="239"/>
        <w:spacing w:after="0" w:line="250" w:lineRule="auto"/>
        <w:tabs>
          <w:tab w:leader="none" w:pos="129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Flat contribution margin in Surface Protection associated with lower volume ($3.2 million) offset by cost improvements and favorable pricing ($2.7 million) and the pass-through lag associated with resin costs (a charge of $0.2 million in the first nine months of 2025 versus a charge of $0.7 million in the first nine months of 2024).</w:t>
      </w:r>
    </w:p>
    <w:p>
      <w:pPr>
        <w:spacing w:after="0" w:line="41" w:lineRule="exact"/>
        <w:rPr>
          <w:rFonts w:ascii="Times New Roman" w:cs="Times New Roman" w:eastAsia="Times New Roman" w:hAnsi="Times New Roman"/>
          <w:sz w:val="18"/>
          <w:szCs w:val="18"/>
          <w:color w:val="auto"/>
        </w:rPr>
      </w:pPr>
    </w:p>
    <w:p>
      <w:pPr>
        <w:jc w:val="both"/>
        <w:ind w:left="1300" w:right="120" w:hanging="239"/>
        <w:spacing w:after="0" w:line="250" w:lineRule="auto"/>
        <w:tabs>
          <w:tab w:leader="none" w:pos="129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$0.8 million decrease in overwrap films primarily due to lower volume, unfavorable mix and pricing ($0.9 million) and unfavorable productivity ($0.3 million), partially offset by cost improvements ($0.2 million) and the pass-through lag associated with resin costs (a charge of $0.1 million in the first nine months of 2025 versus a charge of $0.3 million in the first nine months of 2024).</w:t>
      </w:r>
    </w:p>
    <w:p>
      <w:pPr>
        <w:spacing w:after="0" w:line="5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fixed costs primarily associated with wage increases and compensation-related costs ($0.4 million).</w:t>
      </w:r>
    </w:p>
    <w:p>
      <w:pPr>
        <w:spacing w:after="0" w:line="75" w:lineRule="exact"/>
        <w:rPr>
          <w:sz w:val="20"/>
          <w:szCs w:val="20"/>
          <w:color w:val="auto"/>
        </w:rPr>
      </w:pPr>
    </w:p>
    <w:p>
      <w:pPr>
        <w:ind w:right="780" w:firstLine="405"/>
        <w:spacing w:after="0" w:line="353" w:lineRule="auto"/>
        <w:rPr>
          <w:sz w:val="20"/>
          <w:szCs w:val="20"/>
          <w:color w:val="auto"/>
        </w:rPr>
      </w:pPr>
      <w:r>
        <w:rPr>
          <w:rFonts w:ascii="Times New Roman" w:cs="Times New Roman" w:eastAsia="Times New Roman" w:hAnsi="Times New Roman"/>
          <w:sz w:val="18"/>
          <w:szCs w:val="18"/>
          <w:color w:val="auto"/>
        </w:rPr>
        <w:t xml:space="preserve">Refer to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in this Form 10-Q for additional information on resin prices. </w:t>
      </w: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1" w:lineRule="exact"/>
        <w:rPr>
          <w:sz w:val="20"/>
          <w:szCs w:val="20"/>
          <w:color w:val="auto"/>
        </w:rPr>
      </w:pPr>
    </w:p>
    <w:p>
      <w:pPr>
        <w:jc w:val="both"/>
        <w:ind w:right="280" w:firstLine="405"/>
        <w:spacing w:after="0" w:line="266" w:lineRule="auto"/>
        <w:rPr>
          <w:sz w:val="20"/>
          <w:szCs w:val="20"/>
          <w:color w:val="auto"/>
        </w:rPr>
      </w:pPr>
      <w:r>
        <w:rPr>
          <w:rFonts w:ascii="Times New Roman" w:cs="Times New Roman" w:eastAsia="Times New Roman" w:hAnsi="Times New Roman"/>
          <w:sz w:val="18"/>
          <w:szCs w:val="18"/>
          <w:color w:val="auto"/>
        </w:rPr>
        <w:t>Capital expenditures for PE Films are projected to be $2 million in 2025, including $1 million for productivity projects and $1 million for capital expenditures required to support continuity of current operations. Depreciation expense is projected to be $5 million in 2025. There is no amortization expense for PE Films.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Corporate Expenses</w:t>
      </w:r>
    </w:p>
    <w:p>
      <w:pPr>
        <w:spacing w:after="0" w:line="20" w:lineRule="exact"/>
        <w:rPr>
          <w:sz w:val="20"/>
          <w:szCs w:val="20"/>
          <w:color w:val="auto"/>
        </w:rPr>
      </w:pPr>
    </w:p>
    <w:p>
      <w:pPr>
        <w:ind w:right="120" w:firstLine="405"/>
        <w:spacing w:after="0" w:line="238" w:lineRule="auto"/>
        <w:rPr>
          <w:sz w:val="20"/>
          <w:szCs w:val="20"/>
          <w:color w:val="auto"/>
        </w:rPr>
      </w:pPr>
      <w:r>
        <w:rPr>
          <w:rFonts w:ascii="Times New Roman" w:cs="Times New Roman" w:eastAsia="Times New Roman" w:hAnsi="Times New Roman"/>
          <w:sz w:val="18"/>
          <w:szCs w:val="18"/>
          <w:color w:val="auto"/>
        </w:rPr>
        <w:t>Corporate expenses, net in the first nine months of 2025 increased $4.9 million compared to the first nine months of 2024 primarily due to higher professional fees associated with business development activities ($5.3 million) and higher employee-related incentive compensation ($2.0 million), partially offset by a gain on the sale of corporate-owned land ($1.5 million) and lower external and internal audit fees ($0.7 million). The Company does not expect significant expenses from business development activities in the fourth quarter of 2025.</w:t>
      </w:r>
    </w:p>
    <w:p>
      <w:pPr>
        <w:spacing w:after="0" w:line="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Net capitalization and other credit measures are provided in </w:t>
      </w: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 xml:space="preserve"> below.</w:t>
      </w:r>
    </w:p>
    <w:p>
      <w:pPr>
        <w:spacing w:after="0" w:line="200" w:lineRule="exact"/>
        <w:rPr>
          <w:sz w:val="20"/>
          <w:szCs w:val="20"/>
          <w:color w:val="auto"/>
        </w:rPr>
      </w:pPr>
    </w:p>
    <w:p>
      <w:pPr>
        <w:spacing w:after="0" w:line="3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Reconciliation of Net Sales and EBITDA from Ongoing Operations by Segment</w:t>
      </w:r>
    </w:p>
    <w:p>
      <w:pPr>
        <w:spacing w:after="0" w:line="94"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A reconciliation of segment financial information to consolidated results for the Company for the three and nine months ended September 30, 2025 and 2024.</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1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2340" w:type="dxa"/>
            <w:vAlign w:val="bottom"/>
            <w:tcBorders>
              <w:top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60" w:type="dxa"/>
            <w:vAlign w:val="bottom"/>
            <w:tcBorders>
              <w:top w:val="single" w:sz="8" w:color="auto"/>
            </w:tcBorders>
          </w:tcPr>
          <w:p>
            <w:pPr>
              <w:spacing w:after="0"/>
              <w:rPr>
                <w:sz w:val="21"/>
                <w:szCs w:val="21"/>
                <w:color w:val="auto"/>
              </w:rPr>
            </w:pPr>
          </w:p>
        </w:tc>
        <w:tc>
          <w:tcPr>
            <w:tcW w:w="2220" w:type="dxa"/>
            <w:vAlign w:val="bottom"/>
            <w:tcBorders>
              <w:top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6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September 30,</w:t>
            </w:r>
          </w:p>
        </w:tc>
        <w:tc>
          <w:tcPr>
            <w:tcW w:w="260" w:type="dxa"/>
            <w:vAlign w:val="bottom"/>
          </w:tcPr>
          <w:p>
            <w:pPr>
              <w:spacing w:after="0"/>
              <w:rPr>
                <w:sz w:val="20"/>
                <w:szCs w:val="20"/>
                <w:color w:val="auto"/>
              </w:rPr>
            </w:pPr>
          </w:p>
        </w:tc>
        <w:tc>
          <w:tcPr>
            <w:tcW w:w="222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616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162,470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115,717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444,470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349,353</w:t>
            </w:r>
          </w:p>
        </w:tc>
      </w:tr>
      <w:tr>
        <w:trPr>
          <w:trHeight w:val="229"/>
        </w:trPr>
        <w:tc>
          <w:tcPr>
            <w:tcW w:w="6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25,883</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24,879</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76,017</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78,811</w:t>
            </w:r>
          </w:p>
        </w:tc>
      </w:tr>
      <w:tr>
        <w:trPr>
          <w:trHeight w:val="223"/>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188,353</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520,487</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428,164</w:t>
            </w:r>
          </w:p>
        </w:tc>
      </w:tr>
      <w:tr>
        <w:trPr>
          <w:trHeight w:val="229"/>
        </w:trPr>
        <w:tc>
          <w:tcPr>
            <w:tcW w:w="6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back freight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6,589</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18,309</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15,812</w:t>
            </w:r>
          </w:p>
        </w:tc>
      </w:tr>
      <w:tr>
        <w:trPr>
          <w:trHeight w:val="230"/>
        </w:trPr>
        <w:tc>
          <w:tcPr>
            <w:tcW w:w="6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Sales as shown in the condensed consolidated statements of income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194,942</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146,064</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538,796</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443,976</w:t>
            </w:r>
          </w:p>
        </w:tc>
      </w:tr>
      <w:tr>
        <w:trPr>
          <w:trHeight w:val="257"/>
        </w:trPr>
        <w:tc>
          <w:tcPr>
            <w:tcW w:w="6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 from Ongoing Operations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16,808</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35,251</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31,624</w:t>
            </w:r>
          </w:p>
        </w:tc>
      </w:tr>
      <w:tr>
        <w:trPr>
          <w:trHeight w:val="229"/>
        </w:trPr>
        <w:tc>
          <w:tcPr>
            <w:tcW w:w="616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(12,509)</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(13,392)</w:t>
            </w:r>
          </w:p>
        </w:tc>
      </w:tr>
      <w:tr>
        <w:trPr>
          <w:trHeight w:val="223"/>
        </w:trPr>
        <w:tc>
          <w:tcPr>
            <w:tcW w:w="6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EBIT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12,618</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22,742</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18,232</w:t>
            </w:r>
          </w:p>
        </w:tc>
      </w:tr>
      <w:tr>
        <w:trPr>
          <w:trHeight w:val="229"/>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w:t>
            </w: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 Films: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6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7,221</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21,454</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22,913</w:t>
            </w:r>
          </w:p>
        </w:tc>
      </w:tr>
      <w:tr>
        <w:trPr>
          <w:trHeight w:val="230"/>
        </w:trPr>
        <w:tc>
          <w:tcPr>
            <w:tcW w:w="616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w:t>
            </w:r>
          </w:p>
        </w:tc>
      </w:tr>
      <w:tr>
        <w:trPr>
          <w:trHeight w:val="223"/>
        </w:trPr>
        <w:tc>
          <w:tcPr>
            <w:tcW w:w="6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EBIT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5,997</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17,749</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18,969</w:t>
            </w:r>
          </w:p>
        </w:tc>
      </w:tr>
      <w:tr>
        <w:trPr>
          <w:trHeight w:val="230"/>
        </w:trPr>
        <w:tc>
          <w:tcPr>
            <w:tcW w:w="6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23"/>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17,700</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38,353</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31,631</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768</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3,566</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investment in kaleo, Inc.</w:t>
            </w: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6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 net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7,815</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21,619</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16,730</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9,123</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13,184</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11,560</w:t>
            </w:r>
          </w:p>
        </w:tc>
      </w:tr>
      <w:tr>
        <w:trPr>
          <w:trHeight w:val="230"/>
        </w:trPr>
        <w:tc>
          <w:tcPr>
            <w:tcW w:w="6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2,014</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3,575</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7,109</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9,609</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8,385</w:t>
            </w:r>
          </w:p>
        </w:tc>
      </w:tr>
      <w:tr>
        <w:trPr>
          <w:trHeight w:val="230"/>
        </w:trPr>
        <w:tc>
          <w:tcPr>
            <w:tcW w:w="6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9,297</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30"/>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7,074</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18,906</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8,134</w:t>
            </w:r>
          </w:p>
        </w:tc>
      </w:tr>
    </w:tbl>
    <w:p>
      <w:pPr>
        <w:spacing w:after="0" w:line="15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08"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The Company continues to focus on improving working capital management. Measures such as days sales outstanding (“DSO”), days inventory outstanding (“DIO”) and days payables outstanding (“DPO”) are used to evaluate changes in working capital. Changes in operating assets and liabilities from December 31, 2024 to September 30, 2025 are summarized below.</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ind w:left="400" w:hanging="392"/>
        <w:spacing w:after="0"/>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increased $23.1 million (35.7%).</w:t>
      </w:r>
    </w:p>
    <w:p>
      <w:pPr>
        <w:spacing w:after="0" w:line="90" w:lineRule="exact"/>
        <w:rPr>
          <w:rFonts w:ascii="Times New Roman" w:cs="Times New Roman" w:eastAsia="Times New Roman" w:hAnsi="Times New Roman"/>
          <w:sz w:val="18"/>
          <w:szCs w:val="18"/>
          <w:color w:val="auto"/>
        </w:rPr>
      </w:pPr>
    </w:p>
    <w:p>
      <w:pPr>
        <w:ind w:left="820" w:right="180" w:hanging="407"/>
        <w:spacing w:after="0" w:line="261" w:lineRule="auto"/>
        <w:tabs>
          <w:tab w:leader="none" w:pos="81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 Aluminum Extrusions increased $23.0 million primarily due to higher sales volume and the pass-through of higher metal costs. DSO (represents trailing 12 months net sales divided by a rolling 12-month average of accounts and other receivables balances) was approximately 44.2 days for the 12 months ended September 30, 2025 and 44.7 days for the 12 months ended December 31, 2024.</w:t>
      </w:r>
    </w:p>
    <w:p>
      <w:pPr>
        <w:spacing w:after="0" w:line="58" w:lineRule="exact"/>
        <w:rPr>
          <w:rFonts w:ascii="Times New Roman" w:cs="Times New Roman" w:eastAsia="Times New Roman" w:hAnsi="Times New Roman"/>
          <w:sz w:val="18"/>
          <w:szCs w:val="18"/>
          <w:color w:val="auto"/>
        </w:rPr>
      </w:pPr>
    </w:p>
    <w:p>
      <w:pPr>
        <w:ind w:left="820" w:right="320" w:hanging="407"/>
        <w:spacing w:after="0" w:line="282" w:lineRule="auto"/>
        <w:tabs>
          <w:tab w:leader="none" w:pos="81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 PE Films remain consistent with prior period. DSO was approximately 25.5 days for the 12 months ended September 30, 2025 and 24.9 days for the 12 months ended December 31, 2024.</w:t>
      </w:r>
    </w:p>
    <w:p>
      <w:pPr>
        <w:spacing w:after="0" w:line="4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increased $10.6 million (20.7%).</w:t>
      </w:r>
    </w:p>
    <w:p>
      <w:pPr>
        <w:spacing w:after="0" w:line="90" w:lineRule="exact"/>
        <w:rPr>
          <w:rFonts w:ascii="Times New Roman" w:cs="Times New Roman" w:eastAsia="Times New Roman" w:hAnsi="Times New Roman"/>
          <w:sz w:val="18"/>
          <w:szCs w:val="18"/>
          <w:color w:val="auto"/>
        </w:rPr>
      </w:pPr>
    </w:p>
    <w:p>
      <w:pPr>
        <w:ind w:left="820" w:right="120" w:hanging="407"/>
        <w:spacing w:after="0" w:line="261" w:lineRule="auto"/>
        <w:tabs>
          <w:tab w:leader="none" w:pos="81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Aluminum Extrusions increased $9.1 million primarily due to higher average aluminum prices and increased raw material levels from seasonally low levels at the end of last year. DIO (represents trailing 12 months costs of goods sold calculated on a FIFO basis divided by a rolling 12-month average of inventory balances calculated on the FIFO basis) was approximately 48.7 days for the 12 months ended September 30, 2025 and 47.4 days for the 12 months ended December 31, 2024.</w:t>
      </w:r>
    </w:p>
    <w:p>
      <w:pPr>
        <w:spacing w:after="0" w:line="58" w:lineRule="exact"/>
        <w:rPr>
          <w:rFonts w:ascii="Times New Roman" w:cs="Times New Roman" w:eastAsia="Times New Roman" w:hAnsi="Times New Roman"/>
          <w:sz w:val="18"/>
          <w:szCs w:val="18"/>
          <w:color w:val="auto"/>
        </w:rPr>
      </w:pPr>
    </w:p>
    <w:p>
      <w:pPr>
        <w:ind w:left="820" w:right="80" w:hanging="407"/>
        <w:spacing w:after="0" w:line="282" w:lineRule="auto"/>
        <w:tabs>
          <w:tab w:leader="none" w:pos="81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PE Films increased $1.5 million primarily due to higher raw material levels. DIO was approximately 52.3 days for the 12 months ended September 30, 2025 and 50.3 days for the 12 months ended December 31, 2024.</w:t>
      </w:r>
    </w:p>
    <w:p>
      <w:pPr>
        <w:spacing w:after="0" w:line="40" w:lineRule="exact"/>
        <w:rPr>
          <w:rFonts w:ascii="Times New Roman" w:cs="Times New Roman" w:eastAsia="Times New Roman" w:hAnsi="Times New Roman"/>
          <w:sz w:val="18"/>
          <w:szCs w:val="18"/>
          <w:color w:val="auto"/>
        </w:rPr>
      </w:pPr>
    </w:p>
    <w:p>
      <w:pPr>
        <w:ind w:left="420" w:right="820" w:hanging="412"/>
        <w:spacing w:after="0" w:line="282" w:lineRule="auto"/>
        <w:tabs>
          <w:tab w:leader="none" w:pos="4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property, plant and equipment decreased $6.6 million primarily due to depreciation expense of $15.0 million, partially offset by capital expenditures of $9.0 million.</w:t>
      </w:r>
    </w:p>
    <w:p>
      <w:pPr>
        <w:spacing w:after="0" w:line="26"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Identifiable intangible assets, net decreased $1.3 million (18.0%) due to amortization expense.</w:t>
      </w:r>
    </w:p>
    <w:p>
      <w:pPr>
        <w:spacing w:after="0" w:line="10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increased $14.5 million (22.5%).</w:t>
      </w:r>
    </w:p>
    <w:p>
      <w:pPr>
        <w:spacing w:after="0" w:line="103" w:lineRule="exact"/>
        <w:rPr>
          <w:rFonts w:ascii="Times New Roman" w:cs="Times New Roman" w:eastAsia="Times New Roman" w:hAnsi="Times New Roman"/>
          <w:sz w:val="18"/>
          <w:szCs w:val="18"/>
          <w:color w:val="auto"/>
        </w:rPr>
      </w:pPr>
    </w:p>
    <w:p>
      <w:pPr>
        <w:ind w:left="820" w:right="40" w:hanging="407"/>
        <w:spacing w:after="0" w:line="261" w:lineRule="auto"/>
        <w:tabs>
          <w:tab w:leader="none" w:pos="81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Aluminum Extrusions increased $13.9 million primarily due to higher average aluminum prices and increased raw material purchases to support higher sales volume. DPO (represents trailing 12 months costs of goods sold calculated on a FIFO basis divided by a rolling 12-month average of accounts payable balances) was approximately 45.8 days for the 12 months ended September 30, 2025 and 44.5 days for the 12 months ended December 31, 2024.</w:t>
      </w:r>
    </w:p>
    <w:p>
      <w:pPr>
        <w:spacing w:after="0" w:line="44" w:lineRule="exact"/>
        <w:rPr>
          <w:rFonts w:ascii="Times New Roman" w:cs="Times New Roman" w:eastAsia="Times New Roman" w:hAnsi="Times New Roman"/>
          <w:sz w:val="18"/>
          <w:szCs w:val="18"/>
          <w:color w:val="auto"/>
        </w:rPr>
      </w:pPr>
    </w:p>
    <w:p>
      <w:pPr>
        <w:ind w:left="820" w:right="80" w:hanging="407"/>
        <w:spacing w:after="0" w:line="282" w:lineRule="auto"/>
        <w:tabs>
          <w:tab w:leader="none" w:pos="81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PE Films increased $0.8 million primarily due to higher raw material purchases. DPO was approximately 39.5 days for the 12 months ended September 30, 2025 and 41.3 days for the 12 months ended December 31, 2024.</w:t>
      </w:r>
    </w:p>
    <w:p>
      <w:pPr>
        <w:spacing w:after="0" w:line="40"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$17.3 million in the first nine months of 2025 compared to net cash provided by operating activities of $6.1 million in the first nine months of 2024. The change in operating activities from the Company's continuing business segments is primarily due to higher segment EBITDA from ongoing operations, partially offset by higher working capital.</w:t>
      </w:r>
    </w:p>
    <w:p>
      <w:pPr>
        <w:spacing w:after="0" w:line="54" w:lineRule="exact"/>
        <w:rPr>
          <w:sz w:val="20"/>
          <w:szCs w:val="20"/>
          <w:color w:val="auto"/>
        </w:rPr>
      </w:pPr>
    </w:p>
    <w:p>
      <w:pPr>
        <w:jc w:val="both"/>
        <w:ind w:right="240" w:firstLine="405"/>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$2.5 million in the first nine months of 2025 compared to net cash used in investing activities of $7.5 million the first nine months of 2024. The change is primarily due to $9.8 million post-closing settlement proceeds associated with the sale of Terphane received in the first three months of 2025 and proceeds on the sale of corporate-owned land ($1.9 million), partially offset by higher capital expenditures ($1.6 million).</w:t>
      </w:r>
    </w:p>
    <w:p>
      <w:pPr>
        <w:spacing w:after="0" w:line="4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of $13.7 million in the first nine months of 2025 compared to net cash used in financing activities of $3.6 million in the first nine months of 2024. The change is primarily due to lower debt borrowings, net of principal payments ($9.5 million) under the ABL Facility (as defined below) in the first nine months of 2025, partially offset by higher deferred financing fees paid associated with Amendment No. 5 (defined below) to the ABL Facility in the first nine months of 2025.</w:t>
      </w:r>
    </w:p>
    <w:p>
      <w:pPr>
        <w:spacing w:after="0" w:line="58"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At September 30, 2025, the Company had cash and cash equivalents of $13.3 million, including cash and cash equivalents held in locations outside the U.S. of $2.0 million.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Agreements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ABL Facility</w:t>
      </w:r>
    </w:p>
    <w:p>
      <w:pPr>
        <w:spacing w:after="0" w:line="106"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May 2025, the Company entered into Amendment No. 5 (“Amendment No. 5”) to the Second Amended and Restated Credit Agreement (the "ABL Facility"), which provides the Company with a $125 million senior secured asset-based revolving credit facility. The ABL Facility is secured by substantially all assets of the Company and its domestic subsidiaries, including equity in certain material first-tier foreign subsidiaries. Availability for borrowings under the ABL Facility is governed by a borrowing base, determined by the application of specified advance rates against eligible assets, including a portion of trade accounts receivable, inventory, cash and cash equivalents, and owned machinery and equipment. Amendment No. 5 extended the maturity date of the ABL Facility to May 6, 2030. As of September 30, 2025, funds available to borrow under the ABL Facility was $72.5 million, or 58.0% of the aggregate commitment of $125 million. During the third quarter of 2025, the Company's letters of credit have been reduced from approximately $12 million to $3 million, which directly increases the Company's borrowing availability.</w:t>
      </w:r>
    </w:p>
    <w:p>
      <w:pPr>
        <w:spacing w:after="0" w:line="70"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financial covenant is a minimum fixed charge coverage ratio (as defined in the ABL Facility) of 1.00:1.00 that will be triggered in the event that availability is less than the greater of (x) 10% of the Line Cap (as defined in the ABL Facility) and (y) $10 million and will continue until availability is equal to or greater than the greater of (x) 10% of the Line Cap and (y) $10 million for 30 consecutive days, as long as no events of default are continuing.</w:t>
      </w:r>
    </w:p>
    <w:p>
      <w:pPr>
        <w:spacing w:after="0" w:line="41"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In accordance with the ABL Facility, the lenders have been provided with the Company’s financial statements, covenant compliance certificates and projections to facilitate their ongoing assessment of the Company. Accordingly, the Company believes the likelihood that lenders would exercise the subjective acceleration clause whereby prohibiting future borrowings is remote. As of September 30, 2025, the Company was in compliance with all debt covenants.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7" w:name="page38"/>
    <w:bookmarkEnd w:id="37"/>
    <w:p>
      <w:pPr>
        <w:ind w:left="420"/>
        <w:spacing w:after="0"/>
        <w:rPr>
          <w:sz w:val="20"/>
          <w:szCs w:val="20"/>
          <w:color w:val="auto"/>
        </w:rPr>
      </w:pPr>
      <w:r>
        <w:rPr>
          <w:rFonts w:ascii="Times New Roman" w:cs="Times New Roman" w:eastAsia="Times New Roman" w:hAnsi="Times New Roman"/>
          <w:sz w:val="18"/>
          <w:szCs w:val="18"/>
          <w:color w:val="auto"/>
        </w:rPr>
        <w:t>The computation of Credit EBITDA, as defined in the ABL Facility, and fixed charge coverage ratio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Computations of Credit EBITDA (as defined in the ABL Facility) as of and for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Twelve Months Ended September 30, 2025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Computations of Credit EBITDA for the twelve months ended September 30, 2025 (in thousands):</w:t>
            </w:r>
          </w:p>
        </w:tc>
        <w:tc>
          <w:tcPr>
            <w:tcW w:w="5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9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(53,793)</w:t>
            </w:r>
          </w:p>
        </w:tc>
        <w:tc>
          <w:tcPr>
            <w:tcW w:w="0" w:type="dxa"/>
            <w:vAlign w:val="bottom"/>
          </w:tcPr>
          <w:p>
            <w:pPr>
              <w:spacing w:after="0"/>
              <w:rPr>
                <w:sz w:val="1"/>
                <w:szCs w:val="1"/>
                <w:color w:val="auto"/>
              </w:rPr>
            </w:pPr>
          </w:p>
        </w:tc>
      </w:tr>
      <w:tr>
        <w:trPr>
          <w:trHeight w:val="230"/>
        </w:trPr>
        <w:tc>
          <w:tcPr>
            <w:tcW w:w="9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w:t>
            </w: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After-tax losses related to discontinued operations</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56,062</w:t>
            </w:r>
          </w:p>
        </w:tc>
        <w:tc>
          <w:tcPr>
            <w:tcW w:w="0" w:type="dxa"/>
            <w:vAlign w:val="bottom"/>
          </w:tcPr>
          <w:p>
            <w:pPr>
              <w:spacing w:after="0"/>
              <w:rPr>
                <w:sz w:val="1"/>
                <w:szCs w:val="1"/>
                <w:color w:val="auto"/>
              </w:rPr>
            </w:pPr>
          </w:p>
        </w:tc>
      </w:tr>
      <w:tr>
        <w:trPr>
          <w:trHeight w:val="229"/>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income tax expense for continuing operations</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0" w:type="dxa"/>
            <w:vAlign w:val="bottom"/>
          </w:tcPr>
          <w:p>
            <w:pPr>
              <w:spacing w:after="0"/>
              <w:rPr>
                <w:sz w:val="1"/>
                <w:szCs w:val="1"/>
                <w:color w:val="auto"/>
              </w:rPr>
            </w:pPr>
          </w:p>
        </w:tc>
      </w:tr>
      <w:tr>
        <w:trPr>
          <w:trHeight w:val="229"/>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 expense for continuing operations</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21,996</w:t>
            </w:r>
          </w:p>
        </w:tc>
        <w:tc>
          <w:tcPr>
            <w:tcW w:w="0" w:type="dxa"/>
            <w:vAlign w:val="bottom"/>
          </w:tcPr>
          <w:p>
            <w:pPr>
              <w:spacing w:after="0"/>
              <w:rPr>
                <w:sz w:val="1"/>
                <w:szCs w:val="1"/>
                <w:color w:val="auto"/>
              </w:rPr>
            </w:pPr>
          </w:p>
        </w:tc>
      </w:tr>
      <w:tr>
        <w:trPr>
          <w:trHeight w:val="184"/>
        </w:trPr>
        <w:tc>
          <w:tcPr>
            <w:tcW w:w="9580" w:type="dxa"/>
            <w:vAlign w:val="bottom"/>
            <w:shd w:val="clear" w:color="auto" w:fill="CCEEFF"/>
          </w:tcPr>
          <w:p>
            <w:pPr>
              <w:ind w:left="680"/>
              <w:spacing w:after="0" w:line="184" w:lineRule="exact"/>
              <w:rPr>
                <w:sz w:val="20"/>
                <w:szCs w:val="20"/>
                <w:color w:val="auto"/>
              </w:rPr>
            </w:pPr>
            <w:r>
              <w:rPr>
                <w:rFonts w:ascii="Times New Roman" w:cs="Times New Roman" w:eastAsia="Times New Roman" w:hAnsi="Times New Roman"/>
                <w:sz w:val="18"/>
                <w:szCs w:val="18"/>
                <w:color w:val="auto"/>
              </w:rPr>
              <w:t>All non-cash losses and expenses, plus cash losses and expenses not to exceed $10,000, for continuing operations that are</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580" w:type="dxa"/>
            <w:vAlign w:val="bottom"/>
            <w:shd w:val="clear" w:color="auto" w:fill="CCEEFF"/>
          </w:tcPr>
          <w:p>
            <w:pPr>
              <w:ind w:left="680"/>
              <w:spacing w:after="0" w:line="181" w:lineRule="exact"/>
              <w:rPr>
                <w:sz w:val="20"/>
                <w:szCs w:val="20"/>
                <w:color w:val="auto"/>
              </w:rPr>
            </w:pPr>
            <w:r>
              <w:rPr>
                <w:rFonts w:ascii="Times New Roman" w:cs="Times New Roman" w:eastAsia="Times New Roman" w:hAnsi="Times New Roman"/>
                <w:sz w:val="18"/>
                <w:szCs w:val="18"/>
                <w:color w:val="auto"/>
              </w:rPr>
              <w:t>classified as unusual, extraordinary or which are related to plant shutdowns, asset impairments and/or restructurings (cash-</w:t>
            </w:r>
          </w:p>
        </w:tc>
        <w:tc>
          <w:tcPr>
            <w:tcW w:w="5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w:t>
            </w:r>
          </w:p>
        </w:tc>
        <w:tc>
          <w:tcPr>
            <w:tcW w:w="0" w:type="dxa"/>
            <w:vAlign w:val="bottom"/>
          </w:tcPr>
          <w:p>
            <w:pPr>
              <w:spacing w:after="0"/>
              <w:rPr>
                <w:sz w:val="1"/>
                <w:szCs w:val="1"/>
                <w:color w:val="auto"/>
              </w:rPr>
            </w:pPr>
          </w:p>
        </w:tc>
      </w:tr>
      <w:tr>
        <w:trPr>
          <w:trHeight w:val="229"/>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related of $9,926)</w:t>
            </w:r>
          </w:p>
        </w:tc>
        <w:tc>
          <w:tcPr>
            <w:tcW w:w="5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Charges related to stock option grants and awards accounted for under the fair value-based method</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Losses related to the application of the equity method of accounting</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Losses related to adjustments in the estimated fair value of assets accounted for under the fair value method of accounting</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Fees, costs and expenses incurred in connection with the amendment process (Amendment No. 3 “ABL Transition”)</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30"/>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Fees, costs and expenses incurred in connection with the amendment process (Amendment No. 5)</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Minus:</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After-tax income related to discontinued operations</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income tax benefits for continuing operations</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income</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84"/>
        </w:trPr>
        <w:tc>
          <w:tcPr>
            <w:tcW w:w="9580" w:type="dxa"/>
            <w:vAlign w:val="bottom"/>
            <w:shd w:val="clear" w:color="auto" w:fill="CCEEFF"/>
          </w:tcPr>
          <w:p>
            <w:pPr>
              <w:ind w:left="680"/>
              <w:spacing w:after="0" w:line="184" w:lineRule="exact"/>
              <w:rPr>
                <w:sz w:val="20"/>
                <w:szCs w:val="20"/>
                <w:color w:val="auto"/>
              </w:rPr>
            </w:pPr>
            <w:r>
              <w:rPr>
                <w:rFonts w:ascii="Times New Roman" w:cs="Times New Roman" w:eastAsia="Times New Roman" w:hAnsi="Times New Roman"/>
                <w:sz w:val="18"/>
                <w:szCs w:val="18"/>
                <w:color w:val="auto"/>
              </w:rPr>
              <w:t>All non-cash gains and income, plus cash gains and income in excess of $10,000, for continuing operations that are</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classified as unusual, extraordinary or which are related to plant shutdowns, asset impairments and/or restructurings</w:t>
            </w:r>
          </w:p>
        </w:tc>
        <w:tc>
          <w:tcPr>
            <w:tcW w:w="5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related to changes in estimates for stock option grants and awards accounted for under the fair value-based method</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related to the application of the equity method of accounting</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related to adjustments in the estimated fair value of assets accounted for under the fair value method of accounting</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5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or minus, as applicable, pro forma EBITDA adjustments associated with acquisitions and asset dispositions</w:t>
            </w: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5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Credit EBITDA</w:t>
            </w:r>
          </w:p>
        </w:tc>
        <w:tc>
          <w:tcPr>
            <w:tcW w:w="5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53,217</w:t>
            </w: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charge coverage ratio**:</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EBITDA</w:t>
            </w:r>
          </w:p>
        </w:tc>
        <w:tc>
          <w:tcPr>
            <w:tcW w:w="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53,217</w:t>
            </w: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Unfinanced capital expenditures</w:t>
            </w:r>
          </w:p>
        </w:tc>
        <w:tc>
          <w:tcPr>
            <w:tcW w:w="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15,516</w:t>
            </w:r>
          </w:p>
        </w:tc>
        <w:tc>
          <w:tcPr>
            <w:tcW w:w="0" w:type="dxa"/>
            <w:vAlign w:val="bottom"/>
          </w:tcPr>
          <w:p>
            <w:pPr>
              <w:spacing w:after="0"/>
              <w:rPr>
                <w:sz w:val="1"/>
                <w:szCs w:val="1"/>
                <w:color w:val="auto"/>
              </w:rPr>
            </w:pPr>
          </w:p>
        </w:tc>
      </w:tr>
      <w:tr>
        <w:trPr>
          <w:trHeight w:val="230"/>
        </w:trPr>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charges</w:t>
            </w:r>
          </w:p>
        </w:tc>
        <w:tc>
          <w:tcPr>
            <w:tcW w:w="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0" w:type="dxa"/>
            <w:vAlign w:val="bottom"/>
          </w:tcPr>
          <w:p>
            <w:pPr>
              <w:spacing w:after="0"/>
              <w:rPr>
                <w:sz w:val="1"/>
                <w:szCs w:val="1"/>
                <w:color w:val="auto"/>
              </w:rPr>
            </w:pP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charge coverage ratio</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bl>
    <w:p>
      <w:pPr>
        <w:ind w:left="260" w:right="80" w:hanging="234"/>
        <w:spacing w:after="0" w:line="222" w:lineRule="auto"/>
        <w:tabs>
          <w:tab w:leader="none" w:pos="2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EBITDA is not intended to represent net income (loss) or cash flow from operations as defined by GAAP and should not be considered as an alternative to either net income (loss) or to cash flow.</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Fixed Charge Coverage Ratio is computed as the ratio of (a) Credit EBITDA minus Unfinanced Capital Expenditures to (b) Fixed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 Films Guangzhou Loan</w:t>
      </w:r>
    </w:p>
    <w:p>
      <w:pPr>
        <w:spacing w:after="0" w:line="92"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June 2024, PE Films' business location in Guangzhou, China, Guangzhou Tredegar Film Products Co., Ltd. (“Guangzhou Tredegar”), entered into a 9.5 million Chinese Yuan revolving loan with the Industrial and Commercial Bank of China. This loan matured on July 3, 2025. The interest rate was the one year loan prime rate published by the National Interbank Funding Center for the working day immediately preceding the drawdown date, minus 0.45%. As of September 30, 2025, there was no outstanding loan balance. The revolving loan was secured by a mortgage contract listing the Guangzhou Tredegar factory building as collateral. The mortgage contract has a maximum value of 30 million Chinese Yuan and is effective from June 25, 2024 through May 31, 2027. Guangzhou Tredegar has the option to enter into additional loan contracts with the Industrial and Commercial Bank of China for the duration of the mortgage contract. As of December 31, 2024, this loan was presented as current debt on the consolidated balance sheets.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ind w:left="420"/>
        <w:spacing w:after="0"/>
        <w:rPr>
          <w:sz w:val="20"/>
          <w:szCs w:val="20"/>
          <w:color w:val="auto"/>
        </w:rPr>
      </w:pPr>
      <w:r>
        <w:rPr>
          <w:rFonts w:ascii="Times New Roman" w:cs="Times New Roman" w:eastAsia="Times New Roman" w:hAnsi="Times New Roman"/>
          <w:sz w:val="18"/>
          <w:szCs w:val="18"/>
          <w:color w:val="auto"/>
        </w:rPr>
        <w:t>For more information on the ABL Facility and the PE Films Guangzhou Loan, see Note 10.</w:t>
      </w:r>
    </w:p>
    <w:p>
      <w:pPr>
        <w:spacing w:after="0" w:line="90"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Company believes that existing borrowing availability, current cash balances and cash flow from operations will be sufficient to satisfy short term material cash requirements related to working capital, capital expenditures, and debt repayments for at least the next 12 months. In the longer term, liquidity will depend on many factors, including the results of operations, the timing and extent of capital expenditures, changes in operating plans, or other events that would cause the Company to seek additional financing in future periods.</w:t>
      </w:r>
    </w:p>
    <w:p>
      <w:pPr>
        <w:spacing w:after="0" w:line="5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08"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 xml:space="preserve">Tredegar has exposure to the volatility of interest rates, polyethylene and polypropylene resin prices, aluminum ingot and scrap prices, energy prices, foreign currencies and emerging markets. See </w:t>
      </w: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 xml:space="preserve"> above regarding interest rate exposures related to borrowings under the ABL Facility.</w:t>
      </w:r>
    </w:p>
    <w:p>
      <w:pPr>
        <w:spacing w:after="0" w:line="4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Profit margins in Aluminum Extrusions are sensitive to fluctuations in aluminum ingot and scrap prices as well as natural gas prices (natural gas is the principal energy source used to operate its casting furnaces). Changes in polyethylene resin prices and the timing of those changes could have a significant impact on profit margins in PE Films. There is no assurance of the Company’s ability to pass through higher raw material and energy costs to its customers.</w:t>
      </w:r>
    </w:p>
    <w:p>
      <w:pPr>
        <w:spacing w:after="0" w:line="5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purchase price of raw materials fluctuates on a monthly basis; therefore, Aluminum Extrusions pricing policies generally allow the Company to pass the underlying index cost of aluminum and certain alloys through to the vast majority of our customers so that we remain substantially neutral to metal pricing. In the normal course of business, Aluminum Extrusions enters into fixed-price forward sales contracts with certain customers for the sale of fixed quantities of aluminum extrusions at scheduled intervals. In order to hedge its exposure to aluminum price volatility (see the chart below) under these fixed-price arrangements, which generally have a duration of not more than 12 months, the Company enters into a combination of forward purchase commitments and futures contracts to acquire or hedge aluminum, based on the scheduled deliveries. See Note 7 for additional information.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p>
      <w:pPr>
        <w:ind w:left="200"/>
        <w:spacing w:after="0"/>
        <w:rPr>
          <w:sz w:val="20"/>
          <w:szCs w:val="20"/>
          <w:color w:val="auto"/>
        </w:rPr>
      </w:pPr>
      <w:r>
        <w:rPr>
          <w:rFonts w:ascii="Times New Roman" w:cs="Times New Roman" w:eastAsia="Times New Roman" w:hAnsi="Times New Roman"/>
          <w:sz w:val="18"/>
          <w:szCs w:val="18"/>
          <w:color w:val="auto"/>
        </w:rPr>
        <w:t>The volatility of quarterly average aluminum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68580</wp:posOffset>
            </wp:positionV>
            <wp:extent cx="5768975" cy="254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Source: Quarterly averages computed by the Company using London Metal Exchange daily aluminum cash prices plus the Midwest premium.</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volatility of quarterly average natural gas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77470</wp:posOffset>
            </wp:positionV>
            <wp:extent cx="5768975" cy="254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Source: Quarterly averages computed by Tredegar using monthly NYMEX settlement prices.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19"/>
          </w:cols>
          <w:pgMar w:left="540" w:top="985" w:right="1440" w:bottom="1440" w:gutter="0" w:footer="0" w:header="0"/>
        </w:sectPr>
      </w:pPr>
    </w:p>
    <w:bookmarkStart w:id="40" w:name="page41"/>
    <w:bookmarkEnd w:id="40"/>
    <w:p>
      <w:pPr>
        <w:ind w:left="420"/>
        <w:spacing w:after="0"/>
        <w:rPr>
          <w:sz w:val="20"/>
          <w:szCs w:val="20"/>
          <w:color w:val="auto"/>
        </w:rPr>
      </w:pPr>
      <w:r>
        <w:rPr>
          <w:rFonts w:ascii="Times New Roman" w:cs="Times New Roman" w:eastAsia="Times New Roman" w:hAnsi="Times New Roman"/>
          <w:sz w:val="18"/>
          <w:szCs w:val="18"/>
          <w:color w:val="auto"/>
        </w:rPr>
        <w:t>The volatility of average quarterly prices of polyethylene resin in the U.S. (a primary raw material for PE Films)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68580</wp:posOffset>
            </wp:positionV>
            <wp:extent cx="5768975" cy="254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00" w:right="380"/>
        <w:spacing w:after="0" w:line="235" w:lineRule="auto"/>
        <w:rPr>
          <w:sz w:val="20"/>
          <w:szCs w:val="20"/>
          <w:color w:val="auto"/>
        </w:rPr>
      </w:pPr>
      <w:r>
        <w:rPr>
          <w:rFonts w:ascii="Times New Roman" w:cs="Times New Roman" w:eastAsia="Times New Roman" w:hAnsi="Times New Roman"/>
          <w:sz w:val="12"/>
          <w:szCs w:val="12"/>
          <w:color w:val="auto"/>
        </w:rPr>
        <w:t>Source: Quarterly averages computed by Tredegar using monthly data provided by Oil Price Information Service (OPIS). In January 2023, OPIS reflected a 41 cents per pound non-market adjustment based on their estimate of the growth of discounts in the prior periods. The fourth quarter 2022 average rate of $0.60 per pound is shown on a pro forma basis as if the non-market adjustment was made in the fourth</w:t>
      </w:r>
    </w:p>
    <w:p>
      <w:pPr>
        <w:ind w:left="300"/>
        <w:spacing w:after="0"/>
        <w:rPr>
          <w:sz w:val="20"/>
          <w:szCs w:val="20"/>
          <w:color w:val="auto"/>
        </w:rPr>
      </w:pPr>
      <w:r>
        <w:rPr>
          <w:rFonts w:ascii="Times New Roman" w:cs="Times New Roman" w:eastAsia="Times New Roman" w:hAnsi="Times New Roman"/>
          <w:sz w:val="13"/>
          <w:szCs w:val="13"/>
          <w:color w:val="auto"/>
        </w:rPr>
        <w:t>quarter of 2022.</w:t>
      </w:r>
    </w:p>
    <w:p>
      <w:pPr>
        <w:spacing w:after="0" w:line="174"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The price of resin is driven by several factors, including supply and demand and the price of oil, ethylene and natural gas. Selling prices to customers are set considering numerous factors, including the expected volatility of resin prices. PE Films has index-based pass-through raw material cost arrangements with customers. However, under certain agreements, changes in resin prices are not passed through for a period of 90 days. In response to unprecedented cost increases and supply issues for polyethylene and polypropylene resin, Tredegar Surface Protection implemented a quarterly resin cost pass-through mechanism, effective July 1, 2021, for all products and customers not previously covered by such arrangements. Pricing on the remainder of the business is based upon raw material costs and supply/demand dynamics within the markets that the Company competes.</w:t>
      </w:r>
    </w:p>
    <w:p>
      <w:pPr>
        <w:spacing w:after="0" w:line="66" w:lineRule="exact"/>
        <w:rPr>
          <w:sz w:val="20"/>
          <w:szCs w:val="20"/>
          <w:color w:val="auto"/>
        </w:rPr>
      </w:pPr>
    </w:p>
    <w:p>
      <w:pPr>
        <w:jc w:val="both"/>
        <w:ind w:right="120" w:firstLine="405"/>
        <w:spacing w:after="0" w:line="261" w:lineRule="auto"/>
        <w:rPr>
          <w:sz w:val="20"/>
          <w:szCs w:val="20"/>
          <w:color w:val="auto"/>
        </w:rPr>
      </w:pPr>
      <w:r>
        <w:rPr>
          <w:rFonts w:ascii="Times New Roman" w:cs="Times New Roman" w:eastAsia="Times New Roman" w:hAnsi="Times New Roman"/>
          <w:sz w:val="18"/>
          <w:szCs w:val="18"/>
          <w:color w:val="auto"/>
        </w:rPr>
        <w:t>Tredegar attempts to match the pricing and cost of its products in the same currency and generally views the volatility of foreign currencies and the corresponding impact on earnings and cash flow as part of the overall risk of operating in a global environment (for additional information, see trends for the Chinese Yuan in the chart on the below). Exports from the U.S. are generally denominated in U.S. Dollars. The Company’s foreign currency exposure on income from foreign operations relates to the Chinese Yuan.</w:t>
      </w:r>
    </w:p>
    <w:p>
      <w:pPr>
        <w:spacing w:after="0" w:line="5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PE Films is generally able to match the currency of its sales and costs for its product lines. Tredegar estimates that the change in the value of foreign currencies relative to the U.S. Dollar for PE Films had a favorable impact to EBITDA from ongoing operations of $0.1 million for the third quarter of 2025 and no impact in the first nine months of 2025 compared to the same periods of 2024.</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1" w:name="page42"/>
    <w:bookmarkEnd w:id="41"/>
    <w:p>
      <w:pPr>
        <w:ind w:left="420"/>
        <w:spacing w:after="0"/>
        <w:rPr>
          <w:sz w:val="20"/>
          <w:szCs w:val="20"/>
          <w:color w:val="auto"/>
        </w:rPr>
      </w:pPr>
      <w:r>
        <w:rPr>
          <w:rFonts w:ascii="Times New Roman" w:cs="Times New Roman" w:eastAsia="Times New Roman" w:hAnsi="Times New Roman"/>
          <w:sz w:val="18"/>
          <w:szCs w:val="18"/>
          <w:color w:val="auto"/>
        </w:rPr>
        <w:t>Trends for the Chinese Yuan exchange rates relative to the U.S. Dollar are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68580</wp:posOffset>
            </wp:positionV>
            <wp:extent cx="5768975" cy="254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color w:val="auto"/>
        </w:rPr>
        <w:t>Source: Quarterly averages computed by Tredegar using daily closing data provided by Bloomberg.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Evaluation of Disclosure Controls and Procedures</w:t>
      </w:r>
    </w:p>
    <w:p>
      <w:pPr>
        <w:spacing w:after="0" w:line="108" w:lineRule="exact"/>
        <w:rPr>
          <w:sz w:val="20"/>
          <w:szCs w:val="20"/>
          <w:color w:val="auto"/>
        </w:rPr>
      </w:pPr>
    </w:p>
    <w:p>
      <w:pPr>
        <w:ind w:right="320"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Form 10-Q, pursuant to Rule 13a-15(b) under the Securities Exchange Act of 1934, as amended (the “Exchange Act”), the Company carried out an evaluation with the participation of its management, including its Chief Executive Officer (principal executive officer) and Chief Financial Officer (principal financial officer), of the effectiveness of the design and operation of the Company’s disclosure controls and procedures (as defined under Rule 13a-15(e) and 15d-15(e) under the Exchange Act) as of September 30, 2025.</w:t>
      </w:r>
    </w:p>
    <w:p>
      <w:pPr>
        <w:spacing w:after="0" w:line="45"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Based on this evaluation of our disclosure controls and procedures as of September 30, 2025, the Company's Chief Executive Officer and Chief Financial Officer concluded that, as of such date, our disclosure controls and procedures were effective.</w:t>
      </w:r>
    </w:p>
    <w:p>
      <w:pPr>
        <w:spacing w:after="0" w:line="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Changes in Internal Control Over Financial Reporting</w:t>
      </w:r>
    </w:p>
    <w:p>
      <w:pPr>
        <w:spacing w:after="0" w:line="108"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during the quarter ended September 30, 2025, that has materially affected, or is reasonably likely to materially affect, its internal control over financial reporting (as defined in Rules 13a-15(f) and 15d-15(f) under the Exchange Act).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As disclosed in “Item 1A. Risk Factors” in the 2024 Form 10-K, there are a number of risks and uncertainties that can have a material effect on the operating results of our businesses and our financial condition. There are no material updates or changes to our risk factors previously disclosed in the 2024 Form 10-K.</w:t>
      </w:r>
    </w:p>
    <w:p>
      <w:pPr>
        <w:spacing w:after="0" w:line="3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Director and Officer Trading Arrangements</w:t>
      </w:r>
    </w:p>
    <w:p>
      <w:pPr>
        <w:spacing w:after="0" w:line="106" w:lineRule="exact"/>
        <w:rPr>
          <w:sz w:val="20"/>
          <w:szCs w:val="20"/>
          <w:color w:val="auto"/>
        </w:rPr>
      </w:pPr>
    </w:p>
    <w:p>
      <w:pPr>
        <w:ind w:right="980"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60" w:type="dxa"/>
            <w:vAlign w:val="bottom"/>
            <w:gridSpan w:val="10"/>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7"/>
        </w:trPr>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6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560" w:type="dxa"/>
            <w:vAlign w:val="bottom"/>
            <w:shd w:val="clear" w:color="auto" w:fill="CCEEFF"/>
          </w:tcPr>
          <w:p>
            <w:pPr>
              <w:spacing w:after="0"/>
              <w:rPr>
                <w:sz w:val="16"/>
                <w:szCs w:val="16"/>
                <w:color w:val="auto"/>
              </w:rPr>
            </w:pPr>
          </w:p>
        </w:tc>
        <w:tc>
          <w:tcPr>
            <w:tcW w:w="100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President and Chief Executive Officer of Tredegar Corporation, pursuant to Rules 13a-14(a) and 15d-14(a) promulgated</w:t>
            </w:r>
          </w:p>
        </w:tc>
      </w:tr>
      <w:tr>
        <w:trPr>
          <w:trHeight w:val="189"/>
        </w:trPr>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8300" w:type="dxa"/>
            <w:vAlign w:val="bottom"/>
            <w:tcBorders>
              <w:top w:val="single" w:sz="8" w:color="0000FF"/>
              <w:bottom w:val="single" w:sz="8" w:color="0000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under the Securities Exchange Act of 1934, as adopted pursuant to Section 302 of the Sarbanes-Oxley Act of 2002.</w:t>
            </w:r>
          </w:p>
        </w:tc>
        <w:tc>
          <w:tcPr>
            <w:tcW w:w="150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560" w:type="dxa"/>
            <w:vAlign w:val="bottom"/>
          </w:tcPr>
          <w:p>
            <w:pPr>
              <w:spacing w:after="0"/>
              <w:rPr>
                <w:sz w:val="16"/>
                <w:szCs w:val="16"/>
                <w:color w:val="auto"/>
              </w:rPr>
            </w:pPr>
          </w:p>
        </w:tc>
        <w:tc>
          <w:tcPr>
            <w:tcW w:w="1000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Executive Vice President and Chief Financial Officer of Tredegar Corporation, pursuant to Rules 13a-14(a) and 15d-14(a)</w:t>
            </w:r>
          </w:p>
        </w:tc>
      </w:tr>
      <w:tr>
        <w:trPr>
          <w:trHeight w:val="156"/>
        </w:trPr>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94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promulgated under the Securities Exchange Act of 1934, as adopted pursuant to Section 302 of the Sarbanes-Oxley Act of 2002.</w:t>
            </w:r>
          </w:p>
        </w:tc>
        <w:tc>
          <w:tcPr>
            <w:tcW w:w="60" w:type="dxa"/>
            <w:vAlign w:val="bottom"/>
          </w:tcPr>
          <w:p>
            <w:pPr>
              <w:spacing w:after="0"/>
              <w:rPr>
                <w:sz w:val="13"/>
                <w:szCs w:val="13"/>
                <w:color w:val="auto"/>
              </w:rPr>
            </w:pPr>
          </w:p>
        </w:tc>
      </w:tr>
      <w:tr>
        <w:trPr>
          <w:trHeight w:val="34"/>
        </w:trPr>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4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338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6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560" w:type="dxa"/>
            <w:vAlign w:val="bottom"/>
            <w:shd w:val="clear" w:color="auto" w:fill="CCEEFF"/>
          </w:tcPr>
          <w:p>
            <w:pPr>
              <w:spacing w:after="0"/>
              <w:rPr>
                <w:sz w:val="16"/>
                <w:szCs w:val="16"/>
                <w:color w:val="auto"/>
              </w:rPr>
            </w:pPr>
          </w:p>
        </w:tc>
        <w:tc>
          <w:tcPr>
            <w:tcW w:w="1000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President and Chief Executive Officer of Tredegar Corporation, pursuant to 18 U.S.C. Section 1350, as adopted pursuant</w:t>
            </w:r>
          </w:p>
        </w:tc>
      </w:tr>
      <w:tr>
        <w:trPr>
          <w:trHeight w:val="155"/>
        </w:trPr>
        <w:tc>
          <w:tcPr>
            <w:tcW w:w="64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9840" w:type="dxa"/>
            <w:vAlign w:val="bottom"/>
            <w:tcBorders>
              <w:top w:val="single" w:sz="8" w:color="0000FF"/>
            </w:tcBorders>
            <w:gridSpan w:val="7"/>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c>
          <w:tcPr>
            <w:tcW w:w="160" w:type="dxa"/>
            <w:vAlign w:val="bottom"/>
            <w:tcBorders>
              <w:top w:val="single" w:sz="8" w:color="CCEEFF"/>
            </w:tcBorders>
            <w:gridSpan w:val="2"/>
            <w:shd w:val="clear" w:color="auto" w:fill="CCEEFF"/>
          </w:tcPr>
          <w:p>
            <w:pPr>
              <w:spacing w:after="0"/>
              <w:rPr>
                <w:sz w:val="13"/>
                <w:szCs w:val="13"/>
                <w:color w:val="auto"/>
              </w:rPr>
            </w:pPr>
          </w:p>
        </w:tc>
      </w:tr>
      <w:tr>
        <w:trPr>
          <w:trHeight w:val="34"/>
        </w:trPr>
        <w:tc>
          <w:tcPr>
            <w:tcW w:w="6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640" w:type="dxa"/>
            <w:vAlign w:val="bottom"/>
            <w:tcBorders>
              <w:top w:val="single" w:sz="8" w:color="0000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33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560" w:type="dxa"/>
            <w:vAlign w:val="bottom"/>
          </w:tcPr>
          <w:p>
            <w:pPr>
              <w:spacing w:after="0"/>
              <w:rPr>
                <w:sz w:val="16"/>
                <w:szCs w:val="16"/>
                <w:color w:val="auto"/>
              </w:rPr>
            </w:pPr>
          </w:p>
        </w:tc>
        <w:tc>
          <w:tcPr>
            <w:tcW w:w="1000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Executive Vice President and Chief Financial Officer of Tredegar Corporation, pursuant to 18 U.S.C. Section 1350, as</w:t>
            </w:r>
          </w:p>
        </w:tc>
      </w:tr>
      <w:tr>
        <w:trPr>
          <w:trHeight w:val="156"/>
        </w:trPr>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6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c>
          <w:tcPr>
            <w:tcW w:w="340" w:type="dxa"/>
            <w:vAlign w:val="bottom"/>
            <w:gridSpan w:val="4"/>
          </w:tcPr>
          <w:p>
            <w:pPr>
              <w:spacing w:after="0"/>
              <w:rPr>
                <w:sz w:val="13"/>
                <w:szCs w:val="13"/>
                <w:color w:val="auto"/>
              </w:rPr>
            </w:pPr>
          </w:p>
        </w:tc>
      </w:tr>
      <w:tr>
        <w:trPr>
          <w:trHeight w:val="34"/>
        </w:trPr>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4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3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560" w:type="dxa"/>
            <w:vAlign w:val="bottom"/>
            <w:shd w:val="clear" w:color="auto" w:fill="CCEEFF"/>
          </w:tcPr>
          <w:p>
            <w:pPr>
              <w:spacing w:after="0"/>
              <w:rPr>
                <w:sz w:val="19"/>
                <w:szCs w:val="19"/>
                <w:color w:val="auto"/>
              </w:rPr>
            </w:pPr>
          </w:p>
        </w:tc>
        <w:tc>
          <w:tcPr>
            <w:tcW w:w="100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 and Related Items.</w:t>
            </w:r>
          </w:p>
        </w:tc>
      </w:tr>
      <w:tr>
        <w:trPr>
          <w:trHeight w:val="234"/>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06285"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ind w:left="1200" w:hanging="1174"/>
        <w:spacing w:after="0"/>
        <w:tabs>
          <w:tab w:leader="none" w:pos="12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compensatory plans or arrangements or management contracts.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ind w:right="46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Tredegar Corporation</w:t>
            </w:r>
          </w:p>
        </w:tc>
      </w:tr>
      <w:tr>
        <w:trPr>
          <w:trHeight w:val="234"/>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9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7, 2025</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John M. Steitz</w:t>
            </w:r>
          </w:p>
        </w:tc>
      </w:tr>
      <w:tr>
        <w:trPr>
          <w:trHeight w:val="218"/>
        </w:trPr>
        <w:tc>
          <w:tcPr>
            <w:tcW w:w="800" w:type="dxa"/>
            <w:vAlign w:val="bottom"/>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M. Steitz</w:t>
            </w:r>
          </w:p>
        </w:tc>
      </w:tr>
      <w:tr>
        <w:trPr>
          <w:trHeight w:val="230"/>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7, 2025</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D. Andrew Edwards</w:t>
            </w:r>
          </w:p>
        </w:tc>
      </w:tr>
      <w:tr>
        <w:trPr>
          <w:trHeight w:val="218"/>
        </w:trPr>
        <w:tc>
          <w:tcPr>
            <w:tcW w:w="800" w:type="dxa"/>
            <w:vAlign w:val="bottom"/>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 Andrew Edwards</w:t>
            </w:r>
          </w:p>
        </w:tc>
      </w:tr>
      <w:tr>
        <w:trPr>
          <w:trHeight w:val="229"/>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7, 2025</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 Frasier W. Brickhouse, II</w:t>
            </w:r>
          </w:p>
        </w:tc>
      </w:tr>
      <w:tr>
        <w:trPr>
          <w:trHeight w:val="218"/>
        </w:trPr>
        <w:tc>
          <w:tcPr>
            <w:tcW w:w="800" w:type="dxa"/>
            <w:vAlign w:val="bottom"/>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Frasier W. Brickhouse, II</w:t>
            </w:r>
          </w:p>
        </w:tc>
      </w:tr>
      <w:tr>
        <w:trPr>
          <w:trHeight w:val="229"/>
        </w:trPr>
        <w:tc>
          <w:tcPr>
            <w:tcW w:w="8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Corporate Treasurer and Controller</w:t>
            </w:r>
          </w:p>
        </w:tc>
      </w:tr>
      <w:tr>
        <w:trPr>
          <w:trHeight w:val="234"/>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98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M. Steitz, certify that:</w:t>
      </w:r>
    </w:p>
    <w:p>
      <w:pPr>
        <w:spacing w:after="0" w:line="117" w:lineRule="exact"/>
        <w:rPr>
          <w:sz w:val="20"/>
          <w:szCs w:val="20"/>
          <w:color w:val="auto"/>
        </w:rPr>
      </w:pPr>
    </w:p>
    <w:p>
      <w:pPr>
        <w:ind w:left="640" w:hanging="632"/>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2025, of Tredegar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40" w:hanging="644"/>
        <w:spacing w:after="0" w:line="312" w:lineRule="auto"/>
        <w:tabs>
          <w:tab w:leader="none" w:pos="1297"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2025</w:t>
      </w:r>
    </w:p>
    <w:p>
      <w:pPr>
        <w:spacing w:after="0" w:line="5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John M. Steitz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17145</wp:posOffset>
            </wp:positionV>
            <wp:extent cx="25546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John M. Steitz</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 Andrew Edwards, certify that:</w:t>
      </w:r>
    </w:p>
    <w:p>
      <w:pPr>
        <w:spacing w:after="0" w:line="117" w:lineRule="exact"/>
        <w:rPr>
          <w:sz w:val="20"/>
          <w:szCs w:val="20"/>
          <w:color w:val="auto"/>
        </w:rPr>
      </w:pPr>
    </w:p>
    <w:p>
      <w:pPr>
        <w:ind w:left="640" w:hanging="632"/>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2025, of Tredegar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40" w:hanging="644"/>
        <w:spacing w:after="0" w:line="312" w:lineRule="auto"/>
        <w:tabs>
          <w:tab w:leader="none" w:pos="1297"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7, 2025</w:t>
      </w:r>
    </w:p>
    <w:p>
      <w:pPr>
        <w:spacing w:after="0" w:line="5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17145</wp:posOffset>
            </wp:positionV>
            <wp:extent cx="25546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D. Andrew Edwards</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Tredegar Corporation (the “Company”) for the quarter ended September 30, 2025 as filed with the Securities and Exchange Commission on the date hereof (the “Report”), I, John M. Steitz, President and Chief Executive Officer of the Company, certify, pursuant to 18 U.S.C. § 1350, as adopted pursuant to § 906 of the Sarbanes-Oxley Act of 2002, that:</w:t>
      </w:r>
    </w:p>
    <w:p>
      <w:pPr>
        <w:spacing w:after="0" w:line="54" w:lineRule="exact"/>
        <w:rPr>
          <w:sz w:val="20"/>
          <w:szCs w:val="20"/>
          <w:color w:val="auto"/>
        </w:rPr>
      </w:pPr>
    </w:p>
    <w:p>
      <w:pPr>
        <w:ind w:left="920" w:hanging="264"/>
        <w:spacing w:after="0"/>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1" w:lineRule="exact"/>
        <w:rPr>
          <w:rFonts w:ascii="Times New Roman" w:cs="Times New Roman" w:eastAsia="Times New Roman" w:hAnsi="Times New Roman"/>
          <w:sz w:val="18"/>
          <w:szCs w:val="18"/>
          <w:color w:val="auto"/>
        </w:rPr>
      </w:pPr>
    </w:p>
    <w:p>
      <w:pPr>
        <w:ind w:left="20" w:right="9960"/>
        <w:spacing w:after="0" w:line="29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 John M. Steitz John M. Steitz</w:t>
      </w:r>
    </w:p>
    <w:p>
      <w:pPr>
        <w:ind w:left="20" w:right="8460"/>
        <w:spacing w:after="0" w:line="27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and Chief Executive Officer (Principal Executive Officer) November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-612140</wp:posOffset>
            </wp:positionV>
            <wp:extent cx="27514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Tredegar Corporation (the “Company”) for the quarter ended September 30, 2025 as filed with the Securities and Exchange Commission on the date hereof (the “Report”), I, D. Andrew Edwards, Executive Vice President and Chief Financial Officer of the Company, certify, pursuant to 18 U.S.C. § 1350, as adopted pursuant to § 906 of the Sarbanes-Oxley Act of 2002, that:</w:t>
      </w:r>
    </w:p>
    <w:p>
      <w:pPr>
        <w:spacing w:after="0" w:line="54" w:lineRule="exact"/>
        <w:rPr>
          <w:sz w:val="20"/>
          <w:szCs w:val="20"/>
          <w:color w:val="auto"/>
        </w:rPr>
      </w:pPr>
    </w:p>
    <w:p>
      <w:pPr>
        <w:ind w:left="920" w:hanging="264"/>
        <w:spacing w:after="0"/>
        <w:tabs>
          <w:tab w:leader="none" w:pos="9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1" w:lineRule="exact"/>
        <w:rPr>
          <w:rFonts w:ascii="Times New Roman" w:cs="Times New Roman" w:eastAsia="Times New Roman" w:hAnsi="Times New Roman"/>
          <w:sz w:val="18"/>
          <w:szCs w:val="18"/>
          <w:color w:val="auto"/>
        </w:rPr>
      </w:pPr>
    </w:p>
    <w:p>
      <w:pPr>
        <w:ind w:left="20" w:right="952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D. Andrew Edwards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27514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7, 2025</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0"/>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1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lvl w:ilvl="1">
      <w:lvlJc w:val="left"/>
      <w:lvlText w:val="◦"/>
      <w:numFmt w:val="bullet"/>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7">
    <w:nsid w:val="75A2A8D4"/>
    <w:multiLevelType w:val="hybridMultilevel"/>
    <w:lvl w:ilvl="0">
      <w:lvlJc w:val="left"/>
      <w:lvlText w:val="•"/>
      <w:numFmt w:val="bullet"/>
      <w:start w:val="1"/>
    </w:lvl>
    <w:lvl w:ilvl="1">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
      <w:numFmt w:val="bullet"/>
      <w:start w:val="1"/>
    </w:lvl>
    <w:lvl w:ilvl="1">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lvl w:ilvl="1">
      <w:lvlJc w:val="left"/>
      <w:lvlText w:val="◦"/>
      <w:numFmt w:val="bullet"/>
      <w:start w:val="1"/>
    </w:lvl>
  </w:abstractNum>
  <w:abstractNum w:abstractNumId="23">
    <w:nsid w:val="54E49EB4"/>
    <w:multiLevelType w:val="hybridMultilevel"/>
    <w:lvl w:ilvl="0">
      <w:lvlJc w:val="left"/>
      <w:lvlText w:val="•"/>
      <w:numFmt w:val="bullet"/>
      <w:start w:val="1"/>
    </w:lvl>
    <w:lvl w:ilvl="1">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upp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2025-11-07T07:16:50Z</dcterms:created>
  <dcterms:modified xsi:type="dcterms:W3CDTF">2025-11-07T07:16:50Z</dcterms:modified>
</cp:coreProperties>
</file>