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20"/>
          <w:u w:val="single"/>
        </w:rPr>
        <w:t>1-10258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4240" w:type="dxa"/>
        <w:jc w:val="center"/>
        <w:tblInd w:w="0" w:type="dxa"/>
        <w:tblLayout w:type="fixed"/>
        <w:tblCellMar>
          <w:top w:w="28" w:type="dxa"/>
          <w:left w:w="28" w:type="dxa"/>
          <w:bottom w:w="28" w:type="dxa"/>
          <w:right w:w="28" w:type="dxa"/>
        </w:tblCellMar>
      </w:tblPr>
      <w:tblGrid>
        <w:gridCol w:w="877"/>
        <w:gridCol w:w="773"/>
        <w:gridCol w:w="779"/>
        <w:gridCol w:w="109"/>
        <w:gridCol w:w="109"/>
        <w:gridCol w:w="109"/>
        <w:gridCol w:w="433"/>
        <w:gridCol w:w="433"/>
        <w:gridCol w:w="618"/>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54-1497771</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tbl>
      <w:tblPr>
        <w:tblW w:w="4271" w:type="dxa"/>
        <w:jc w:val="left"/>
        <w:tblInd w:w="0" w:type="dxa"/>
        <w:tblLayout w:type="fixed"/>
        <w:tblCellMar>
          <w:top w:w="28" w:type="dxa"/>
          <w:left w:w="28" w:type="dxa"/>
          <w:bottom w:w="28" w:type="dxa"/>
          <w:right w:w="28" w:type="dxa"/>
        </w:tblCellMar>
      </w:tblPr>
      <w:tblGrid>
        <w:gridCol w:w="558"/>
        <w:gridCol w:w="490"/>
        <w:gridCol w:w="490"/>
        <w:gridCol w:w="490"/>
        <w:gridCol w:w="490"/>
        <w:gridCol w:w="497"/>
        <w:gridCol w:w="109"/>
        <w:gridCol w:w="109"/>
        <w:gridCol w:w="109"/>
        <w:gridCol w:w="272"/>
        <w:gridCol w:w="272"/>
        <w:gridCol w:w="385"/>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1100 Boulders Parkway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Richmond,</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23225</w:t>
            </w:r>
          </w:p>
        </w:tc>
      </w:tr>
      <w:tr>
        <w:trPr/>
        <w:tc>
          <w:tcPr>
            <w:tcW w:w="30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20" w:after="283"/>
        <w:jc w:val="center"/>
        <w:rPr/>
      </w:pPr>
      <w:r>
        <w:rPr>
          <w:rFonts w:ascii="Times New Roman;sans-serif" w:hAnsi="Times New Roman;sans-serif"/>
          <w:b/>
          <w:color w:val="000000"/>
          <w:sz w:val="20"/>
        </w:rPr>
        <w:t xml:space="preserve">Registrant’s Telephone Number, Including Area Code: </w:t>
      </w:r>
      <w:r>
        <w:rPr>
          <w:rFonts w:ascii="Times New Roman;sans-serif" w:hAnsi="Times New Roman;sans-serif"/>
          <w:b/>
          <w:color w:val="000000"/>
          <w:sz w:val="20"/>
          <w:u w:val="single"/>
        </w:rPr>
        <w:t>(804) 330-1000</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TG</w:t>
            </w:r>
          </w:p>
        </w:tc>
        <w:tc>
          <w:tcPr>
            <w:tcW w:w="37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0"/>
        <w:ind w:left="0" w:right="0" w:firstLine="45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44"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419"/>
        <w:gridCol w:w="419"/>
        <w:gridCol w:w="421"/>
        <w:gridCol w:w="109"/>
        <w:gridCol w:w="109"/>
        <w:gridCol w:w="109"/>
        <w:gridCol w:w="679"/>
        <w:gridCol w:w="679"/>
        <w:gridCol w:w="681"/>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45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bidi w:val="0"/>
        <w:spacing w:lineRule="auto" w:line="288" w:before="180" w:after="12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no par value, outstanding as of November 1, 2024: 34,360,952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4"/>
        </w:rPr>
      </w:pPr>
      <w:r>
        <w:rPr>
          <w:rFonts w:ascii="Times New Roman;sans-serif" w:hAnsi="Times New Roman;sans-serif"/>
          <w:b/>
          <w:color w:val="000000"/>
          <w:sz w:val="24"/>
        </w:rPr>
        <w:t>Tredegar Corporation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0"/>
        <w:jc w:val="left"/>
        <w:rPr>
          <w:color w:val="000000"/>
        </w:rPr>
      </w:pPr>
      <w:r>
        <w:rPr>
          <w:color w:val="000000"/>
        </w:rPr>
        <w:t> </w:t>
      </w:r>
    </w:p>
    <w:tbl>
      <w:tblPr>
        <w:tblW w:w="8844" w:type="dxa"/>
        <w:jc w:val="left"/>
        <w:tblInd w:w="0" w:type="dxa"/>
        <w:tblLayout w:type="fixed"/>
        <w:tblCellMar>
          <w:top w:w="28" w:type="dxa"/>
          <w:left w:w="28" w:type="dxa"/>
          <w:bottom w:w="28" w:type="dxa"/>
          <w:right w:w="28" w:type="dxa"/>
        </w:tblCellMar>
      </w:tblPr>
      <w:tblGrid>
        <w:gridCol w:w="291"/>
        <w:gridCol w:w="258"/>
        <w:gridCol w:w="261"/>
        <w:gridCol w:w="2442"/>
        <w:gridCol w:w="2442"/>
        <w:gridCol w:w="2451"/>
        <w:gridCol w:w="109"/>
        <w:gridCol w:w="109"/>
        <w:gridCol w:w="109"/>
        <w:gridCol w:w="109"/>
        <w:gridCol w:w="109"/>
        <w:gridCol w:w="154"/>
      </w:tblGrid>
      <w:tr>
        <w:trPr/>
        <w:tc>
          <w:tcPr>
            <w:tcW w:w="2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3">
              <w:r>
                <w:rPr>
                  <w:rStyle w:val="InternetLink"/>
                  <w:rFonts w:ascii="Times New Roman;sans-serif" w:hAnsi="Times New Roman;sans-serif"/>
                  <w:b/>
                  <w:color w:val="0000FF"/>
                  <w:sz w:val="20"/>
                  <w:u w:val="single"/>
                </w:rPr>
                <w:t>Part 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
              <w:r>
                <w:rPr>
                  <w:rStyle w:val="InternetLink"/>
                  <w:rFonts w:ascii="Times New Roman;sans-serif" w:hAnsi="Times New Roman;sans-serif"/>
                  <w:b/>
                  <w:color w:val="0000FF"/>
                  <w:sz w:val="20"/>
                  <w:u w:val="single"/>
                </w:rPr>
                <w:t>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3">
              <w:r>
                <w:rPr>
                  <w:rStyle w:val="InternetLink"/>
                  <w:rFonts w:ascii="Times New Roman;sans-serif" w:hAnsi="Times New Roman;sans-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3">
              <w:r>
                <w:rPr>
                  <w:rStyle w:val="InternetLink"/>
                  <w:rFonts w:ascii="Times New Roman;sans-serif" w:hAnsi="Times New Roman;sans-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6">
              <w:r>
                <w:rPr>
                  <w:rStyle w:val="InternetLink"/>
                  <w:rFonts w:ascii="Times New Roman;sans-serif" w:hAnsi="Times New Roman;sans-serif"/>
                  <w:b w:val="false"/>
                  <w:color w:val="0000FF"/>
                  <w:sz w:val="20"/>
                  <w:u w:val="single"/>
                </w:rPr>
                <w:t>Condensed Consolidated Balance Sheets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16">
              <w:r>
                <w:rPr>
                  <w:rStyle w:val="InternetLink"/>
                  <w:rFonts w:ascii="Times New Roman;sans-serif" w:hAnsi="Times New Roman;sans-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9">
              <w:r>
                <w:rPr>
                  <w:rStyle w:val="InternetLink"/>
                  <w:rFonts w:ascii="Times New Roman;sans-serif" w:hAnsi="Times New Roman;sans-serif"/>
                  <w:b w:val="false"/>
                  <w:color w:val="0000FF"/>
                  <w:sz w:val="20"/>
                  <w:u w:val="single"/>
                </w:rPr>
                <w:t>Condensed Consolidated Statements of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19">
              <w:r>
                <w:rPr>
                  <w:rStyle w:val="InternetLink"/>
                  <w:rFonts w:ascii="Times New Roman;sans-serif" w:hAnsi="Times New Roman;sans-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22">
              <w:r>
                <w:rPr>
                  <w:rStyle w:val="InternetLink"/>
                  <w:rFonts w:ascii="Times New Roman;sans-serif" w:hAnsi="Times New Roman;sans-serif"/>
                  <w:b w:val="false"/>
                  <w:color w:val="0000FF"/>
                  <w:sz w:val="20"/>
                  <w:u w:val="single"/>
                </w:rPr>
                <w:t>Condensed Consolidated Statements of Comprehensive Income (Loss)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22">
              <w:r>
                <w:rPr>
                  <w:rStyle w:val="InternetLink"/>
                  <w:rFonts w:ascii="Times New Roman;sans-serif" w:hAnsi="Times New Roman;sans-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25">
              <w:r>
                <w:rPr>
                  <w:rStyle w:val="InternetLink"/>
                  <w:rFonts w:ascii="Times New Roman;sans-serif" w:hAnsi="Times New Roman;sans-serif"/>
                  <w:b w:val="false"/>
                  <w:color w:val="0000FF"/>
                  <w:sz w:val="20"/>
                  <w:u w:val="single"/>
                </w:rPr>
                <w:t>Condensed Consolidated Statements of Cash Flows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25">
              <w:r>
                <w:rPr>
                  <w:rStyle w:val="InternetLink"/>
                  <w:rFonts w:ascii="Times New Roman;sans-serif" w:hAnsi="Times New Roman;sans-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28">
              <w:r>
                <w:rPr>
                  <w:rStyle w:val="InternetLink"/>
                  <w:rFonts w:ascii="Times New Roman;sans-serif" w:hAnsi="Times New Roman;sans-serif"/>
                  <w:b w:val="false"/>
                  <w:color w:val="0000FF"/>
                  <w:sz w:val="20"/>
                  <w:u w:val="single"/>
                </w:rPr>
                <w:t>Condensed Consolidated Statements of Shareholders' Equity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28">
              <w:r>
                <w:rPr>
                  <w:rStyle w:val="InternetLink"/>
                  <w:rFonts w:ascii="Times New Roman;sans-serif" w:hAnsi="Times New Roman;sans-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31">
              <w:r>
                <w:rPr>
                  <w:rStyle w:val="InternetLink"/>
                  <w:rFonts w:ascii="Times New Roman;sans-serif" w:hAnsi="Times New Roman;sans-serif"/>
                  <w:b w:val="false"/>
                  <w:color w:val="0000FF"/>
                  <w:sz w:val="20"/>
                  <w:u w:val="single"/>
                </w:rPr>
                <w:t>Notes to the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31">
              <w:r>
                <w:rPr>
                  <w:rStyle w:val="InternetLink"/>
                  <w:rFonts w:ascii="Times New Roman;sans-serif" w:hAnsi="Times New Roman;sans-serif"/>
                  <w:b w:val="false"/>
                  <w:color w:val="0000FF"/>
                  <w:sz w:val="20"/>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67">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67">
              <w:r>
                <w:rPr>
                  <w:rStyle w:val="InternetLink"/>
                  <w:rFonts w:ascii="Times New Roman;sans-serif" w:hAnsi="Times New Roman;sans-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88">
              <w:r>
                <w:rPr>
                  <w:rStyle w:val="InternetLink"/>
                  <w:rFonts w:ascii="Times New Roman;sans-serif" w:hAnsi="Times New Roman;sans-serif"/>
                  <w:b w:val="false"/>
                  <w:color w:val="0000FF"/>
                  <w:sz w:val="20"/>
                  <w:u w:val="single"/>
                </w:rPr>
                <w:t>Item 3</w:t>
              </w:r>
            </w:hyperlink>
            <w:r>
              <w:rPr>
                <w:rFonts w:ascii="Times New Roman;sans-serif" w:hAnsi="Times New Roman;sans-serif"/>
                <w:b w:val="false"/>
                <w:color w:val="000000"/>
                <w:sz w:val="20"/>
              </w:rPr>
              <w:t>.</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88">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88">
              <w:r>
                <w:rPr>
                  <w:rStyle w:val="InternetLink"/>
                  <w:rFonts w:ascii="Times New Roman;sans-serif" w:hAnsi="Times New Roman;sans-serif"/>
                  <w:b w:val="false"/>
                  <w:color w:val="0000FF"/>
                  <w:sz w:val="20"/>
                  <w:u w:val="single"/>
                </w:rPr>
                <w:t>38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1">
              <w:r>
                <w:rPr>
                  <w:rStyle w:val="InternetLink"/>
                  <w:rFonts w:ascii="Times New Roman;sans-serif" w:hAnsi="Times New Roman;sans-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1">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91">
              <w:r>
                <w:rPr>
                  <w:rStyle w:val="InternetLink"/>
                  <w:rFonts w:ascii="Times New Roman;sans-serif" w:hAnsi="Times New Roman;sans-serif"/>
                  <w:b w:val="false"/>
                  <w:color w:val="0000FF"/>
                  <w:sz w:val="20"/>
                  <w:u w:val="single"/>
                </w:rPr>
                <w:t>42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4">
              <w:r>
                <w:rPr>
                  <w:rStyle w:val="InternetLink"/>
                  <w:rFonts w:ascii="Times New Roman;sans-serif" w:hAnsi="Times New Roman;sans-serif"/>
                  <w:b/>
                  <w:color w:val="0000FF"/>
                  <w:sz w:val="20"/>
                  <w:u w:val="single"/>
                </w:rPr>
                <w:t>Part II</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4">
              <w:r>
                <w:rPr>
                  <w:rStyle w:val="InternetLink"/>
                  <w:rFonts w:ascii="Times New Roman;sans-serif" w:hAnsi="Times New Roman;sans-serif"/>
                  <w:b/>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7">
              <w:r>
                <w:rPr>
                  <w:rStyle w:val="InternetLink"/>
                  <w:rFonts w:ascii="Times New Roman;sans-serif" w:hAnsi="Times New Roman;sans-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97">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97">
              <w:r>
                <w:rPr>
                  <w:rStyle w:val="InternetLink"/>
                  <w:rFonts w:ascii="Times New Roman;sans-serif" w:hAnsi="Times New Roman;sans-serif"/>
                  <w:b w:val="false"/>
                  <w:color w:val="0000FF"/>
                  <w:sz w:val="20"/>
                  <w:u w:val="single"/>
                </w:rPr>
                <w:t>42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0">
              <w:r>
                <w:rPr>
                  <w:rStyle w:val="InternetLink"/>
                  <w:rFonts w:ascii="Times New Roman;sans-serif" w:hAnsi="Times New Roman;sans-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0">
              <w:r>
                <w:rPr>
                  <w:rStyle w:val="InternetLink"/>
                  <w:rFonts w:ascii="Times New Roman;sans-serif" w:hAnsi="Times New Roman;sans-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100">
              <w:r>
                <w:rPr>
                  <w:rStyle w:val="InternetLink"/>
                  <w:rFonts w:ascii="Times New Roman;sans-serif" w:hAnsi="Times New Roman;sans-serif"/>
                  <w:b w:val="false"/>
                  <w:color w:val="0000FF"/>
                  <w:sz w:val="20"/>
                  <w:u w:val="single"/>
                </w:rPr>
                <w:t>43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3">
              <w:r>
                <w:rPr>
                  <w:rStyle w:val="InternetLink"/>
                  <w:rFonts w:ascii="Times New Roman;sans-serif" w:hAnsi="Times New Roman;sans-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3">
              <w:r>
                <w:rPr>
                  <w:rStyle w:val="InternetLink"/>
                  <w:rFonts w:ascii="Times New Roman;sans-serif" w:hAnsi="Times New Roman;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103">
              <w:r>
                <w:rPr>
                  <w:rStyle w:val="InternetLink"/>
                  <w:rFonts w:ascii="Times New Roman;sans-serif" w:hAnsi="Times New Roman;sans-serif"/>
                  <w:b w:val="false"/>
                  <w:color w:val="0000FF"/>
                  <w:sz w:val="20"/>
                  <w:u w:val="single"/>
                </w:rPr>
                <w:t>43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6">
              <w:r>
                <w:rPr>
                  <w:rStyle w:val="InternetLink"/>
                  <w:rFonts w:ascii="Times New Roman;sans-serif" w:hAnsi="Times New Roman;sans-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b2d4e17fe94df688c6f5ec7935cdbd_106">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b2d4e17fe94df688c6f5ec7935cdbd_106">
              <w:r>
                <w:rPr>
                  <w:rStyle w:val="InternetLink"/>
                  <w:rFonts w:ascii="Times New Roman;sans-serif" w:hAnsi="Times New Roman;sans-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PART I - FINANCIAL INFORMATION</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7"/>
        <w:gridCol w:w="2331"/>
        <w:gridCol w:w="2294"/>
        <w:gridCol w:w="221"/>
        <w:gridCol w:w="865"/>
        <w:gridCol w:w="113"/>
        <w:gridCol w:w="109"/>
        <w:gridCol w:w="109"/>
        <w:gridCol w:w="109"/>
        <w:gridCol w:w="216"/>
        <w:gridCol w:w="848"/>
        <w:gridCol w:w="163"/>
      </w:tblGrid>
      <w:tr>
        <w:trPr/>
        <w:tc>
          <w:tcPr>
            <w:tcW w:w="2827"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r>
      <w:tr>
        <w:trPr/>
        <w:tc>
          <w:tcPr>
            <w:tcW w:w="7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other receivables, net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recoverable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leased assets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446,461 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short-term</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revolving facility (matures June 30, 2026)</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long-term</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obligations, net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(authorized shares 150,000,000, issued and outstanding 34,510,556 shares at September 30, 2024 and 34,408,638 shares at December 31, 2023)</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held in trust for savings restoration plan (118,543 shares at September 30, 2024 and December 31, 2023)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financial instruments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 adjustments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442,541 </w:t>
            </w:r>
          </w:p>
        </w:tc>
        <w:tc>
          <w:tcPr>
            <w:tcW w:w="1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446,461 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68"/>
        <w:gridCol w:w="1288"/>
        <w:gridCol w:w="1298"/>
        <w:gridCol w:w="225"/>
        <w:gridCol w:w="885"/>
        <w:gridCol w:w="116"/>
        <w:gridCol w:w="116"/>
        <w:gridCol w:w="116"/>
        <w:gridCol w:w="116"/>
        <w:gridCol w:w="225"/>
        <w:gridCol w:w="885"/>
        <w:gridCol w:w="116"/>
        <w:gridCol w:w="109"/>
        <w:gridCol w:w="109"/>
        <w:gridCol w:w="109"/>
        <w:gridCol w:w="222"/>
        <w:gridCol w:w="873"/>
        <w:gridCol w:w="115"/>
        <w:gridCol w:w="115"/>
        <w:gridCol w:w="115"/>
        <w:gridCol w:w="115"/>
        <w:gridCol w:w="222"/>
        <w:gridCol w:w="873"/>
        <w:gridCol w:w="174"/>
      </w:tblGrid>
      <w:tr>
        <w:trPr/>
        <w:tc>
          <w:tcPr>
            <w:tcW w:w="16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and other items:</w:t>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548,332 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535,691 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457,332 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identifiable intangibles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 and costs associated with exit and disposal activities, net of adjustments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loss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622,312 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(86,621)</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used to compute earnings (loss) per share:</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99"/>
        <w:gridCol w:w="2361"/>
        <w:gridCol w:w="2327"/>
        <w:gridCol w:w="241"/>
        <w:gridCol w:w="769"/>
        <w:gridCol w:w="124"/>
        <w:gridCol w:w="124"/>
        <w:gridCol w:w="124"/>
        <w:gridCol w:w="124"/>
        <w:gridCol w:w="241"/>
        <w:gridCol w:w="890"/>
        <w:gridCol w:w="181"/>
      </w:tblGrid>
      <w:tr>
        <w:trPr/>
        <w:tc>
          <w:tcPr>
            <w:tcW w:w="2699"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7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adjustment (net of tax expense of $4 in 2024 and net of tax expense of $25 in 2023)</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adjustment (net of tax expense of $120 in 2024 and net of tax benefit of $538 in 2023)</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adjustment:</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and prior service costs</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in earnings of net actuarial loss for pension settlement and related tax of $5,581</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and net gains or losses (net of tax benefit of $7 in 2024 and net of tax expense of $637 in 2023)</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(29,707)</w:t>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22"/>
        <w:gridCol w:w="2380"/>
        <w:gridCol w:w="2346"/>
        <w:gridCol w:w="241"/>
        <w:gridCol w:w="706"/>
        <w:gridCol w:w="124"/>
        <w:gridCol w:w="124"/>
        <w:gridCol w:w="124"/>
        <w:gridCol w:w="124"/>
        <w:gridCol w:w="241"/>
        <w:gridCol w:w="890"/>
        <w:gridCol w:w="183"/>
      </w:tblGrid>
      <w:tr>
        <w:trPr/>
        <w:tc>
          <w:tcPr>
            <w:tcW w:w="272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4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7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adjustment (net of tax benefit of $466 in 2024 and net of tax expense of $640 in 2023)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adjustment (net of tax benefit of $273 in 2024 and net of tax expense of $798 in 2023)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adjustment:</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and prior service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in earnings of net actuarial loss for pension settlement and related tax of $5,581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and net gains or losses (net of tax benefit of $23 in 2024 and net of tax expense of $1,911 in 2023)</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(40,690)</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30" w:type="dxa"/>
        <w:jc w:val="center"/>
        <w:tblInd w:w="0" w:type="dxa"/>
        <w:tblLayout w:type="fixed"/>
        <w:tblCellMar>
          <w:top w:w="28" w:type="dxa"/>
          <w:left w:w="28" w:type="dxa"/>
          <w:bottom w:w="28" w:type="dxa"/>
          <w:right w:w="28" w:type="dxa"/>
        </w:tblCellMar>
      </w:tblPr>
      <w:tblGrid>
        <w:gridCol w:w="2007"/>
        <w:gridCol w:w="1765"/>
        <w:gridCol w:w="1777"/>
        <w:gridCol w:w="259"/>
        <w:gridCol w:w="758"/>
        <w:gridCol w:w="134"/>
        <w:gridCol w:w="134"/>
        <w:gridCol w:w="134"/>
        <w:gridCol w:w="134"/>
        <w:gridCol w:w="259"/>
        <w:gridCol w:w="980"/>
        <w:gridCol w:w="189"/>
      </w:tblGrid>
      <w:tr>
        <w:trPr/>
        <w:tc>
          <w:tcPr>
            <w:tcW w:w="200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noncash items: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identifiable intangibles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right-of-use lease asset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and post-retirement benefits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loss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kaléo</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Write-down of Richmond, Virginia Technical Center assets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other receivables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recoverable/payable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plan contributions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kaléo</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principal payments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(522,240)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(decrease) in cash, cash equivalents and restricted cash</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6,588 </w:t>
            </w:r>
          </w:p>
        </w:tc>
        <w:tc>
          <w:tcPr>
            <w:tcW w:w="1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48,604 </w:t>
            </w:r>
          </w:p>
        </w:tc>
        <w:tc>
          <w:tcPr>
            <w:tcW w:w="1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changes in shareholders’ equity for the three month period ended September 30, 2024:</w:t>
      </w:r>
    </w:p>
    <w:tbl>
      <w:tblPr>
        <w:tblW w:w="10205" w:type="dxa"/>
        <w:jc w:val="left"/>
        <w:tblInd w:w="0" w:type="dxa"/>
        <w:tblLayout w:type="fixed"/>
        <w:tblCellMar>
          <w:top w:w="28" w:type="dxa"/>
          <w:left w:w="28" w:type="dxa"/>
          <w:bottom w:w="28" w:type="dxa"/>
          <w:right w:w="28" w:type="dxa"/>
        </w:tblCellMar>
      </w:tblPr>
      <w:tblGrid>
        <w:gridCol w:w="932"/>
        <w:gridCol w:w="470"/>
        <w:gridCol w:w="474"/>
        <w:gridCol w:w="222"/>
        <w:gridCol w:w="760"/>
        <w:gridCol w:w="114"/>
        <w:gridCol w:w="109"/>
        <w:gridCol w:w="109"/>
        <w:gridCol w:w="109"/>
        <w:gridCol w:w="225"/>
        <w:gridCol w:w="884"/>
        <w:gridCol w:w="116"/>
        <w:gridCol w:w="109"/>
        <w:gridCol w:w="109"/>
        <w:gridCol w:w="109"/>
        <w:gridCol w:w="304"/>
        <w:gridCol w:w="910"/>
        <w:gridCol w:w="157"/>
        <w:gridCol w:w="109"/>
        <w:gridCol w:w="109"/>
        <w:gridCol w:w="109"/>
        <w:gridCol w:w="372"/>
        <w:gridCol w:w="1304"/>
        <w:gridCol w:w="195"/>
        <w:gridCol w:w="109"/>
        <w:gridCol w:w="109"/>
        <w:gridCol w:w="109"/>
        <w:gridCol w:w="256"/>
        <w:gridCol w:w="1005"/>
        <w:gridCol w:w="197"/>
      </w:tblGrid>
      <w:tr>
        <w:trPr/>
        <w:tc>
          <w:tcPr>
            <w:tcW w:w="9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Trust for Savings Restoration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r>
      <w:tr>
        <w:trPr/>
        <w:tc>
          <w:tcPr>
            <w:tcW w:w="1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July 1, 2024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190,057 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adjustment </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and net gains or losses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63,031 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186,111 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(88,461)</w:t>
            </w:r>
          </w:p>
        </w:tc>
        <w:tc>
          <w:tcPr>
            <w:tcW w:w="1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158,448 </w:t>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changes in shareholders’ equity for the nine month period ended September 30, 2024: </w:t>
      </w:r>
    </w:p>
    <w:tbl>
      <w:tblPr>
        <w:tblW w:w="10205" w:type="dxa"/>
        <w:jc w:val="left"/>
        <w:tblInd w:w="0" w:type="dxa"/>
        <w:tblLayout w:type="fixed"/>
        <w:tblCellMar>
          <w:top w:w="28" w:type="dxa"/>
          <w:left w:w="28" w:type="dxa"/>
          <w:bottom w:w="28" w:type="dxa"/>
          <w:right w:w="28" w:type="dxa"/>
        </w:tblCellMar>
      </w:tblPr>
      <w:tblGrid>
        <w:gridCol w:w="1147"/>
        <w:gridCol w:w="723"/>
        <w:gridCol w:w="729"/>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357"/>
        <w:gridCol w:w="1252"/>
        <w:gridCol w:w="187"/>
        <w:gridCol w:w="109"/>
        <w:gridCol w:w="109"/>
        <w:gridCol w:w="109"/>
        <w:gridCol w:w="223"/>
        <w:gridCol w:w="874"/>
        <w:gridCol w:w="167"/>
      </w:tblGrid>
      <w:tr>
        <w:trPr/>
        <w:tc>
          <w:tcPr>
            <w:tcW w:w="11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Shareholders’</w:t>
              <w:br/>
              <w:t>Equity</w:t>
            </w:r>
          </w:p>
        </w:tc>
      </w:tr>
      <w:tr>
        <w:trPr/>
        <w:tc>
          <w:tcPr>
            <w:tcW w:w="2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(81,697)</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employee common stock for tax withholdings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2024</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186,111 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(88,461)</w:t>
            </w:r>
          </w:p>
        </w:tc>
        <w:tc>
          <w:tcPr>
            <w:tcW w:w="1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158,448 </w:t>
            </w:r>
          </w:p>
        </w:tc>
        <w:tc>
          <w:tcPr>
            <w:tcW w:w="1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changes in shareholders’ equity for the three month period ended September 30, 2023: </w:t>
      </w:r>
    </w:p>
    <w:tbl>
      <w:tblPr>
        <w:tblW w:w="10205" w:type="dxa"/>
        <w:jc w:val="left"/>
        <w:tblInd w:w="0" w:type="dxa"/>
        <w:tblLayout w:type="fixed"/>
        <w:tblCellMar>
          <w:top w:w="28" w:type="dxa"/>
          <w:left w:w="28" w:type="dxa"/>
          <w:bottom w:w="28" w:type="dxa"/>
          <w:right w:w="28" w:type="dxa"/>
        </w:tblCellMar>
      </w:tblPr>
      <w:tblGrid>
        <w:gridCol w:w="1175"/>
        <w:gridCol w:w="737"/>
        <w:gridCol w:w="743"/>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315"/>
        <w:gridCol w:w="1261"/>
        <w:gridCol w:w="165"/>
        <w:gridCol w:w="109"/>
        <w:gridCol w:w="109"/>
        <w:gridCol w:w="109"/>
        <w:gridCol w:w="223"/>
        <w:gridCol w:w="874"/>
        <w:gridCol w:w="166"/>
      </w:tblGrid>
      <w:tr>
        <w:trPr/>
        <w:tc>
          <w:tcPr>
            <w:tcW w:w="117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Shareholders’</w:t>
              <w:br/>
              <w:t>Equity</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or (losses) and prior service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in earnings of net actuarial loss for pension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Tredegar common stock purchased by trust for savings restoration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154,191 </w:t>
            </w:r>
          </w:p>
        </w:tc>
        <w:tc>
          <w:tcPr>
            <w:tcW w:w="1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changes in shareholders’ equity for the nine month period ended September 30, 2023: </w:t>
      </w:r>
    </w:p>
    <w:tbl>
      <w:tblPr>
        <w:tblW w:w="10205" w:type="dxa"/>
        <w:jc w:val="left"/>
        <w:tblInd w:w="0" w:type="dxa"/>
        <w:tblLayout w:type="fixed"/>
        <w:tblCellMar>
          <w:top w:w="28" w:type="dxa"/>
          <w:left w:w="28" w:type="dxa"/>
          <w:bottom w:w="28" w:type="dxa"/>
          <w:right w:w="28" w:type="dxa"/>
        </w:tblCellMar>
      </w:tblPr>
      <w:tblGrid>
        <w:gridCol w:w="1176"/>
        <w:gridCol w:w="737"/>
        <w:gridCol w:w="743"/>
        <w:gridCol w:w="211"/>
        <w:gridCol w:w="721"/>
        <w:gridCol w:w="109"/>
        <w:gridCol w:w="109"/>
        <w:gridCol w:w="109"/>
        <w:gridCol w:w="109"/>
        <w:gridCol w:w="211"/>
        <w:gridCol w:w="826"/>
        <w:gridCol w:w="109"/>
        <w:gridCol w:w="109"/>
        <w:gridCol w:w="109"/>
        <w:gridCol w:w="109"/>
        <w:gridCol w:w="233"/>
        <w:gridCol w:w="697"/>
        <w:gridCol w:w="121"/>
        <w:gridCol w:w="109"/>
        <w:gridCol w:w="109"/>
        <w:gridCol w:w="109"/>
        <w:gridCol w:w="315"/>
        <w:gridCol w:w="1261"/>
        <w:gridCol w:w="165"/>
        <w:gridCol w:w="109"/>
        <w:gridCol w:w="109"/>
        <w:gridCol w:w="109"/>
        <w:gridCol w:w="223"/>
        <w:gridCol w:w="874"/>
        <w:gridCol w:w="165"/>
      </w:tblGrid>
      <w:tr>
        <w:trPr/>
        <w:tc>
          <w:tcPr>
            <w:tcW w:w="117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w:t>
              <w:br/>
              <w:t>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Retained</w:t>
              <w:br/>
              <w:t>Earnings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Trust for</w:t>
              <w:br/>
              <w:t>Savings</w:t>
              <w:br/>
              <w:t>Restoration</w:t>
              <w:br/>
              <w:t>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Other</w:t>
              <w:br/>
              <w:t>Comprehensive Income (Loss)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br/>
              <w:t>Shareholders’</w:t>
              <w:br/>
              <w:t>Equity</w:t>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adjustment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costs and net gains or losses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or (losses) and prior service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in earnings of net actuarial loss for pension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($0.26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employee common stock for tax withholdings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Tredegar common stock purchased by trust for savings restoration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60,827 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213,568 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154,191 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TREDEGAR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1. BASIS OF PRESENTATION AND SUMMARY OF SIGNIFICANT ACCOUNTING POLICIES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September 30, 2024, the condensed consolidated results of operations for the three and nine months ended September 30, 2024 and 2023, the condensed consolidated cash flows for the nine months ended September 30, 2024 and 2023, and the condensed consolidated changes in shareholders’ equity for the three and nine months ended September 30, 2024 and 2023, in accordance with U.S. generally accepted accounting principles (“GAAP”). All such adjustments, unless otherwise detailed in the notes to the condensed consolidated financial statements, are deemed to be of a normal, recurring nature.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on a calendar fiscal year except for the Aluminum Extrusions segment, which operates on a 52/53-week fiscal year basis.  As such, the fiscal third quarter for 2024 and 2023 for this segment references 13-week periods ended September 29, 2024 and September 24, 2023,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as of December 31, 2023 that is included herein was derived from the audited consolidated financial statements provided in the Company’s Annual Report on Form 10-K for the year ended December 31, 2023 (“2023 Form 10-K”) but does not include all disclosures required by GAAP. These financial statements should be read in conjunction with the audited consolidated financial statements and related notes included in the 2023 Form 10-K.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and nine months ended September 30, 2024, are not necessarily indicative of the results to be expected for the full year.</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Sale of Flexible Packaging Films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the Company announced that it had entered into a definitive agreement to sell its Flexible Packaging Films business (also referred to as "Terphane") to Oben Group (the "Terphane Sale"). Completion of the sale is contingent upon the satisfaction of customary closing conditions, including the receipt of certain competition filing approvals by authorities in Brazil and Colombia.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Colombian authority cleared the merger review regarding the transaction in early February 2024. On October 27, 2023, the Company filed the requisite competition forms with the Administrative Council for Economic Defense (“CADE”) in Brazil. As part of the Brazilian merger review process regarding the sale of Terphane to Oben Group ("Oben"), on May 13, 2024, the General Superintendence of the Administrative Council for Economic Defense ("SG-CADE") issued a non-binding opinion ("SG Opinion") recommending the rejection of the transaction. Following this first stage of the two-stage Brazilian merger review process for complex transactions, the case was submitted to the CADE Tribunal, in accordance with the customary Brazilian merger review process.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reported results for Terphane as a continuing operation, due to the uncertainty related to the Brazilian merger review process. On October 16, 2024, CADE approved a merger control agreement allowing Tredegar to proceed with the sale of Terphane to Oben. This approval was the indication that the sale of Terphane was probable. Refer to Note 11 for additional information.</w:t>
      </w:r>
    </w:p>
    <w:p>
      <w:pPr>
        <w:pStyle w:val="TextBody"/>
        <w:bidi w:val="0"/>
        <w:spacing w:lineRule="auto" w:line="288" w:before="100" w:after="283"/>
        <w:jc w:val="left"/>
        <w:rPr/>
      </w:pPr>
      <w:r>
        <w:rPr>
          <w:rFonts w:ascii="Times New Roman;sans-serif" w:hAnsi="Times New Roman;sans-serif"/>
          <w:b/>
          <w:i/>
          <w:color w:val="000000"/>
          <w:sz w:val="20"/>
        </w:rPr>
        <w:t>Closure of PE Films Technical Center</w:t>
      </w:r>
      <w:r>
        <w:rPr>
          <w:color w:val="EE2724"/>
        </w:rPr>
        <w:t xml:space="preserv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 adopted a plan to close the PE Films technical center in Richmond, VA and reduce its efforts to develop and sell films supporting the semiconductor market. Research &amp; development activities for PE Films are now being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 The Company recognized expense incurred through September 30, 2024 associated with the exit activities of $0.2 million for building closure costs. In addition, the Company recognized a non-cash loss on the lease abandonment ($0.3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Supply Chain Financing</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$11.8 million and $15.8 million, respectively, of the Company’s accounts payable were financed by participating suppliers through third-party financial institutions.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assesses goodwill for impairment when events or circumstances indicate that the carrying value may not be recoverable, or, at a minimum, on an annual basis (December 1st of each year). As of September 30, 2024, the Company’s reporting units with goodwill were Surface Protection in PE Films ("Surface Protection") and Futura in Aluminum Extrusions (“Futura”). No events or circumstances were identified during the third quarter of 2024 that indicate that Surface Protection's fair value is more likely than not less than its carrying amount. No events or circumstances were identified during the third quarter of 2023 that indicated that Futura’s fair value was more likely than not less than its carrying amount.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about the timing of a recovery in the consumer electronics market persists, and manufacturers in the supply chain for consumer electronics continue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of the Surface Protection component of PE Films, as of September 30, 2023. This analysis utilized projections that contemplate the expected market recovery and business conditions, including for its three significant customers, as these events indicated Surface Protection’s fair value is more likely than not less than its carrying amount.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Surface Protection at September 30, 2023 by: (i) computing an estimated enterprise value (“EV”) utilizing the discounted cash flow method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 launching new product applications, competitive pricing and cash flows associated with production efficiencies, as well as consideration of cost savings and inventory corrections.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concluded that the fair value of Surface Protection was less than its carrying value, thus a non-cash partial goodwill impairment of $19.5 million ($15.1 million after deferred income tax benefits) was recognized during the third quarter of 2023 and $34.9 million ($27.0 million after deferred income tax benefits) during the first nine months of 2023.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 not yet adopted</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to improve reportable segment disclosure and requirements, primarily through the enhanced disclosures about significant segment expenses. ASU 2023-07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ASU is effective for fiscal years beginning after December 15, 2023 and interim periods beginning after December 15, 2024, with early adoption permitted. The amendments in this ASU are to be applied retrospectively to all prior periods presented in the financial statements. The Company has three reportable segments and continues to evaluate additional disclosures that may be required in its Form 10-K for the year ended December 31, 2024.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This ASU is effective for annual periods beginning after December 15, 2024; early adoption is permitted.</w:t>
      </w:r>
      <w:r>
        <w:rPr>
          <w:color w:val="000000"/>
        </w:rPr>
        <w:t xml:space="preserve"> </w:t>
      </w:r>
      <w:r>
        <w:rPr>
          <w:rFonts w:ascii="Times New Roman;sans-serif" w:hAnsi="Times New Roman;sans-serif"/>
          <w:b w:val="false"/>
          <w:color w:val="000000"/>
          <w:sz w:val="20"/>
        </w:rPr>
        <w:t>The Company is currently evaluating the impact of this standard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2. ACCOUNTS AND OTHER RECEIVABLES</w:t>
      </w:r>
    </w:p>
    <w:p>
      <w:pPr>
        <w:pStyle w:val="TextBody"/>
        <w:bidi w:val="0"/>
        <w:spacing w:lineRule="auto" w:line="288" w:before="10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accounts and other receivables, net include the following:</w:t>
      </w:r>
    </w:p>
    <w:tbl>
      <w:tblPr>
        <w:tblW w:w="7224" w:type="dxa"/>
        <w:jc w:val="left"/>
        <w:tblInd w:w="0" w:type="dxa"/>
        <w:tblLayout w:type="fixed"/>
        <w:tblCellMar>
          <w:top w:w="28" w:type="dxa"/>
          <w:left w:w="28" w:type="dxa"/>
          <w:bottom w:w="28" w:type="dxa"/>
          <w:right w:w="28" w:type="dxa"/>
        </w:tblCellMar>
      </w:tblPr>
      <w:tblGrid>
        <w:gridCol w:w="1247"/>
        <w:gridCol w:w="1098"/>
        <w:gridCol w:w="1104"/>
        <w:gridCol w:w="349"/>
        <w:gridCol w:w="1195"/>
        <w:gridCol w:w="180"/>
        <w:gridCol w:w="109"/>
        <w:gridCol w:w="109"/>
        <w:gridCol w:w="109"/>
        <w:gridCol w:w="335"/>
        <w:gridCol w:w="1145"/>
        <w:gridCol w:w="24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receivables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accounts and other receivables</w:t>
            </w:r>
          </w:p>
        </w:tc>
        <w:tc>
          <w:tcPr>
            <w:tcW w:w="1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bad debts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and other receivables, net</w:t>
            </w:r>
          </w:p>
        </w:tc>
        <w:tc>
          <w:tcPr>
            <w:tcW w:w="3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81,636 </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67,938 </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bidi w:val="0"/>
        <w:spacing w:lineRule="auto" w:line="288" w:before="100" w:after="1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inventories are as follows:</w:t>
      </w:r>
    </w:p>
    <w:tbl>
      <w:tblPr>
        <w:tblW w:w="5964" w:type="dxa"/>
        <w:jc w:val="left"/>
        <w:tblInd w:w="0" w:type="dxa"/>
        <w:tblLayout w:type="fixed"/>
        <w:tblCellMar>
          <w:top w:w="28" w:type="dxa"/>
          <w:left w:w="28" w:type="dxa"/>
          <w:bottom w:w="28" w:type="dxa"/>
          <w:right w:w="28" w:type="dxa"/>
        </w:tblCellMar>
      </w:tblPr>
      <w:tblGrid>
        <w:gridCol w:w="791"/>
        <w:gridCol w:w="696"/>
        <w:gridCol w:w="702"/>
        <w:gridCol w:w="349"/>
        <w:gridCol w:w="1195"/>
        <w:gridCol w:w="180"/>
        <w:gridCol w:w="109"/>
        <w:gridCol w:w="109"/>
        <w:gridCol w:w="109"/>
        <w:gridCol w:w="335"/>
        <w:gridCol w:w="1145"/>
        <w:gridCol w:w="244"/>
      </w:tblGrid>
      <w:tr>
        <w:trPr/>
        <w:tc>
          <w:tcPr>
            <w:tcW w:w="7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Stores, supplies and other</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88,058 </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82,037 </w:t>
            </w:r>
          </w:p>
        </w:tc>
        <w:tc>
          <w:tcPr>
            <w:tcW w:w="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4. PENSION AND OTHER POSTRETIREMENT BENEFITS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nine months ended September 30, 2024 and 2023. This information has been included in the pension benefit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net periodic benefit cost for the pension and other postretirement benefit programs reflected in the condensed consolidated statements of income for the three and nine months ended September 30, 2024 and 2023, are shown below: </w:t>
      </w:r>
    </w:p>
    <w:tbl>
      <w:tblPr>
        <w:tblW w:w="10205" w:type="dxa"/>
        <w:jc w:val="left"/>
        <w:tblInd w:w="0" w:type="dxa"/>
        <w:tblLayout w:type="fixed"/>
        <w:tblCellMar>
          <w:top w:w="28" w:type="dxa"/>
          <w:left w:w="28" w:type="dxa"/>
          <w:bottom w:w="28" w:type="dxa"/>
          <w:right w:w="28" w:type="dxa"/>
        </w:tblCellMar>
      </w:tblPr>
      <w:tblGrid>
        <w:gridCol w:w="1634"/>
        <w:gridCol w:w="1348"/>
        <w:gridCol w:w="1355"/>
        <w:gridCol w:w="279"/>
        <w:gridCol w:w="538"/>
        <w:gridCol w:w="143"/>
        <w:gridCol w:w="143"/>
        <w:gridCol w:w="143"/>
        <w:gridCol w:w="143"/>
        <w:gridCol w:w="279"/>
        <w:gridCol w:w="958"/>
        <w:gridCol w:w="143"/>
        <w:gridCol w:w="113"/>
        <w:gridCol w:w="113"/>
        <w:gridCol w:w="113"/>
        <w:gridCol w:w="334"/>
        <w:gridCol w:w="572"/>
        <w:gridCol w:w="171"/>
        <w:gridCol w:w="171"/>
        <w:gridCol w:w="171"/>
        <w:gridCol w:w="171"/>
        <w:gridCol w:w="334"/>
        <w:gridCol w:w="572"/>
        <w:gridCol w:w="264"/>
      </w:tblGrid>
      <w:tr>
        <w:trPr/>
        <w:tc>
          <w:tcPr>
            <w:tcW w:w="163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Benefits</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Benefits</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loss</w:t>
            </w:r>
            <w:r>
              <w:rPr>
                <w:rFonts w:ascii="Times New Roman;sans-serif" w:hAnsi="Times New Roman;sans-serif"/>
                <w:b w:val="false"/>
                <w:color w:val="000000"/>
                <w:sz w:val="13"/>
              </w:rPr>
              <w:t>(a)</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(gains) losses and net transition asset</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28,714 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Benefits</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Benefits</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3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loss</w:t>
            </w:r>
            <w:r>
              <w:rPr>
                <w:rFonts w:ascii="Times New Roman;sans-serif" w:hAnsi="Times New Roman;sans-serif"/>
                <w:b w:val="false"/>
                <w:color w:val="000000"/>
                <w:sz w:val="13"/>
              </w:rPr>
              <w:t>(a)</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 (gains) losses and net transition asset</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35,521 </w:t>
            </w:r>
          </w:p>
        </w:tc>
        <w:tc>
          <w:tcPr>
            <w:tcW w:w="1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Pension settlement loss, included in the consolidated statements of operation, represents pension settlement charges due to lump sum payments to participants. </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Pension and other postretirement liabilities were $7.1 million and $7.3 million at September 30, 2024 and December 31, 2023, respectively ($0.7 million included in “Accrued expenses” at September 30, 2024 and December 31, 2023 with the remainder included in “Pension and other postretirement benefit obligations, net” in the condensed consolidated balance sheets).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funds its other postretirement benefits on a claims-made basis; for 2024, the Company anticipates the amount will be consistent with amounts paid for the year ended December 31, 2023, or approximately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 </w:t>
      </w:r>
    </w:p>
    <w:tbl>
      <w:tblPr>
        <w:tblW w:w="10205" w:type="dxa"/>
        <w:jc w:val="left"/>
        <w:tblInd w:w="0" w:type="dxa"/>
        <w:tblLayout w:type="fixed"/>
        <w:tblCellMar>
          <w:top w:w="28" w:type="dxa"/>
          <w:left w:w="28" w:type="dxa"/>
          <w:bottom w:w="28" w:type="dxa"/>
          <w:right w:w="28" w:type="dxa"/>
        </w:tblCellMar>
      </w:tblPr>
      <w:tblGrid>
        <w:gridCol w:w="1556"/>
        <w:gridCol w:w="1340"/>
        <w:gridCol w:w="1333"/>
        <w:gridCol w:w="532"/>
        <w:gridCol w:w="273"/>
        <w:gridCol w:w="240"/>
        <w:gridCol w:w="240"/>
        <w:gridCol w:w="240"/>
        <w:gridCol w:w="240"/>
        <w:gridCol w:w="532"/>
        <w:gridCol w:w="273"/>
        <w:gridCol w:w="240"/>
        <w:gridCol w:w="109"/>
        <w:gridCol w:w="109"/>
        <w:gridCol w:w="109"/>
        <w:gridCol w:w="532"/>
        <w:gridCol w:w="263"/>
        <w:gridCol w:w="229"/>
        <w:gridCol w:w="229"/>
        <w:gridCol w:w="229"/>
        <w:gridCol w:w="229"/>
        <w:gridCol w:w="532"/>
        <w:gridCol w:w="263"/>
        <w:gridCol w:w="333"/>
      </w:tblGrid>
      <w:tr>
        <w:trPr/>
        <w:tc>
          <w:tcPr>
            <w:tcW w:w="155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used to compute basic earnings per share</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34,391 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dilutive shares attributable to stock options and restricted stock</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diluted earnings per share</w:t>
            </w:r>
          </w:p>
        </w:tc>
        <w:tc>
          <w:tcPr>
            <w:tcW w:w="805"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34,391 </w:t>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34,264 </w:t>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34,364 </w:t>
            </w:r>
          </w:p>
        </w:tc>
        <w:tc>
          <w:tcPr>
            <w:tcW w:w="22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34,081 </w:t>
            </w:r>
          </w:p>
        </w:tc>
        <w:tc>
          <w:tcPr>
            <w:tcW w:w="33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Incremental shares attributable to stock options and restricted stock are computed under the treasury stock method using the average market price during the related period. If the Company had reported net income for the three months ended September 30, 2024, average out-of-the-money options to purchase shares that were excluded from the calculation of incremental shares attributable to stock options and restricted stock would have been 2,353,905. Average out-of-the-money options to purchase shares that were excluded from the calculation of incremental shares attributable to stock options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were 2,550,542 for the nine months ended September 30, 2024. If the Company had reported net income for the three and nine months ended September 30, 2023, the average out-of-the-money options to purchase shares that would be excluded from the calculation of incremental shares attributable to stock options and restricted stock would have been 3,019,333 and 2,893,677,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6. ACCUMULATED OTHER COMPREHENSIVE INCOME (LOSS)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for the three months ended September 30, 2024.</w:t>
      </w:r>
    </w:p>
    <w:tbl>
      <w:tblPr>
        <w:tblW w:w="10205" w:type="dxa"/>
        <w:jc w:val="left"/>
        <w:tblInd w:w="0" w:type="dxa"/>
        <w:tblLayout w:type="fixed"/>
        <w:tblCellMar>
          <w:top w:w="28" w:type="dxa"/>
          <w:left w:w="28" w:type="dxa"/>
          <w:bottom w:w="28" w:type="dxa"/>
          <w:right w:w="28" w:type="dxa"/>
        </w:tblCellMar>
      </w:tblPr>
      <w:tblGrid>
        <w:gridCol w:w="917"/>
        <w:gridCol w:w="583"/>
        <w:gridCol w:w="586"/>
        <w:gridCol w:w="270"/>
        <w:gridCol w:w="973"/>
        <w:gridCol w:w="139"/>
        <w:gridCol w:w="109"/>
        <w:gridCol w:w="109"/>
        <w:gridCol w:w="109"/>
        <w:gridCol w:w="450"/>
        <w:gridCol w:w="1030"/>
        <w:gridCol w:w="235"/>
        <w:gridCol w:w="109"/>
        <w:gridCol w:w="109"/>
        <w:gridCol w:w="109"/>
        <w:gridCol w:w="500"/>
        <w:gridCol w:w="1106"/>
        <w:gridCol w:w="260"/>
        <w:gridCol w:w="109"/>
        <w:gridCol w:w="109"/>
        <w:gridCol w:w="109"/>
        <w:gridCol w:w="415"/>
        <w:gridCol w:w="1450"/>
        <w:gridCol w:w="310"/>
      </w:tblGrid>
      <w:tr>
        <w:trPr/>
        <w:tc>
          <w:tcPr>
            <w:tcW w:w="91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2024</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(90,273)</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 net of tax</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(88,777)</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(88,461)</w:t>
            </w:r>
          </w:p>
        </w:tc>
        <w:tc>
          <w:tcPr>
            <w:tcW w:w="3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for the nine months ended September 30, 2024.</w:t>
      </w:r>
    </w:p>
    <w:tbl>
      <w:tblPr>
        <w:tblW w:w="10205" w:type="dxa"/>
        <w:jc w:val="left"/>
        <w:tblInd w:w="0" w:type="dxa"/>
        <w:tblLayout w:type="fixed"/>
        <w:tblCellMar>
          <w:top w:w="28" w:type="dxa"/>
          <w:left w:w="28" w:type="dxa"/>
          <w:bottom w:w="28" w:type="dxa"/>
          <w:right w:w="28" w:type="dxa"/>
        </w:tblCellMar>
      </w:tblPr>
      <w:tblGrid>
        <w:gridCol w:w="918"/>
        <w:gridCol w:w="582"/>
        <w:gridCol w:w="586"/>
        <w:gridCol w:w="270"/>
        <w:gridCol w:w="973"/>
        <w:gridCol w:w="139"/>
        <w:gridCol w:w="109"/>
        <w:gridCol w:w="109"/>
        <w:gridCol w:w="109"/>
        <w:gridCol w:w="450"/>
        <w:gridCol w:w="1030"/>
        <w:gridCol w:w="235"/>
        <w:gridCol w:w="109"/>
        <w:gridCol w:w="109"/>
        <w:gridCol w:w="109"/>
        <w:gridCol w:w="500"/>
        <w:gridCol w:w="1106"/>
        <w:gridCol w:w="260"/>
        <w:gridCol w:w="109"/>
        <w:gridCol w:w="109"/>
        <w:gridCol w:w="109"/>
        <w:gridCol w:w="415"/>
        <w:gridCol w:w="1450"/>
        <w:gridCol w:w="310"/>
      </w:tblGrid>
      <w:tr>
        <w:trPr/>
        <w:tc>
          <w:tcPr>
            <w:tcW w:w="91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2024</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(81,697)</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 net of tax</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(6,764)</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(88,777)</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6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(88,461)</w:t>
            </w:r>
          </w:p>
        </w:tc>
        <w:tc>
          <w:tcPr>
            <w:tcW w:w="31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for the three months ended September 30, 2023.</w:t>
      </w:r>
    </w:p>
    <w:tbl>
      <w:tblPr>
        <w:tblW w:w="10205" w:type="dxa"/>
        <w:jc w:val="left"/>
        <w:tblInd w:w="0" w:type="dxa"/>
        <w:tblLayout w:type="fixed"/>
        <w:tblCellMar>
          <w:top w:w="28" w:type="dxa"/>
          <w:left w:w="28" w:type="dxa"/>
          <w:bottom w:w="28" w:type="dxa"/>
          <w:right w:w="28" w:type="dxa"/>
        </w:tblCellMar>
      </w:tblPr>
      <w:tblGrid>
        <w:gridCol w:w="917"/>
        <w:gridCol w:w="583"/>
        <w:gridCol w:w="586"/>
        <w:gridCol w:w="270"/>
        <w:gridCol w:w="973"/>
        <w:gridCol w:w="139"/>
        <w:gridCol w:w="109"/>
        <w:gridCol w:w="109"/>
        <w:gridCol w:w="109"/>
        <w:gridCol w:w="450"/>
        <w:gridCol w:w="1030"/>
        <w:gridCol w:w="235"/>
        <w:gridCol w:w="109"/>
        <w:gridCol w:w="109"/>
        <w:gridCol w:w="109"/>
        <w:gridCol w:w="371"/>
        <w:gridCol w:w="1300"/>
        <w:gridCol w:w="194"/>
        <w:gridCol w:w="109"/>
        <w:gridCol w:w="109"/>
        <w:gridCol w:w="109"/>
        <w:gridCol w:w="378"/>
        <w:gridCol w:w="1512"/>
        <w:gridCol w:w="286"/>
      </w:tblGrid>
      <w:tr>
        <w:trPr/>
        <w:tc>
          <w:tcPr>
            <w:tcW w:w="91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July 1, 2023</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(54,463)</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 net of tax</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(85,156)</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2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(32,041)</w:t>
            </w:r>
          </w:p>
        </w:tc>
        <w:tc>
          <w:tcPr>
            <w:tcW w:w="1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w:t>
            </w:r>
          </w:p>
        </w:tc>
        <w:tc>
          <w:tcPr>
            <w:tcW w:w="2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accumulated other comprehensive income (loss) by component for the nine months ended September 30, 2023.</w:t>
      </w:r>
    </w:p>
    <w:tbl>
      <w:tblPr>
        <w:tblW w:w="10205" w:type="dxa"/>
        <w:jc w:val="left"/>
        <w:tblInd w:w="0" w:type="dxa"/>
        <w:tblLayout w:type="fixed"/>
        <w:tblCellMar>
          <w:top w:w="28" w:type="dxa"/>
          <w:left w:w="28" w:type="dxa"/>
          <w:bottom w:w="28" w:type="dxa"/>
          <w:right w:w="28" w:type="dxa"/>
        </w:tblCellMar>
      </w:tblPr>
      <w:tblGrid>
        <w:gridCol w:w="918"/>
        <w:gridCol w:w="582"/>
        <w:gridCol w:w="586"/>
        <w:gridCol w:w="270"/>
        <w:gridCol w:w="973"/>
        <w:gridCol w:w="139"/>
        <w:gridCol w:w="109"/>
        <w:gridCol w:w="109"/>
        <w:gridCol w:w="109"/>
        <w:gridCol w:w="380"/>
        <w:gridCol w:w="1138"/>
        <w:gridCol w:w="197"/>
        <w:gridCol w:w="109"/>
        <w:gridCol w:w="109"/>
        <w:gridCol w:w="109"/>
        <w:gridCol w:w="371"/>
        <w:gridCol w:w="1300"/>
        <w:gridCol w:w="194"/>
        <w:gridCol w:w="109"/>
        <w:gridCol w:w="109"/>
        <w:gridCol w:w="109"/>
        <w:gridCol w:w="378"/>
        <w:gridCol w:w="1512"/>
        <w:gridCol w:w="286"/>
      </w:tblGrid>
      <w:tr>
        <w:trPr/>
        <w:tc>
          <w:tcPr>
            <w:tcW w:w="91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Gain (Loss) on Derivative Financial Instruments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&amp; Other Postretirement Benefit Adjust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Accumulated Other Comprehensive Income (Loss)</w:t>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(59,036)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to net income (loss), net of tax</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1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(85,156)</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(32,041)</w:t>
            </w:r>
          </w:p>
        </w:tc>
        <w:tc>
          <w:tcPr>
            <w:tcW w:w="19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(117,971)</w:t>
            </w:r>
          </w:p>
        </w:tc>
        <w:tc>
          <w:tcPr>
            <w:tcW w:w="28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reclassified out of accumulated other comprehensive income (loss) related to pension and other postretirement benefits is included in the computation of net periodic pension costs. See Note 4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7. DERIVATIVES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$6.0 million (4.3 million pounds of aluminum) at September 30, 2024 and $7.7 million (5.6 million pounds of aluminum) at December 31, 2023.</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location and gross amounts of aluminum futures contract fair values (Level 2) in the condensed consolidated balance sheets as of September 30, 2024 and December 31, 2023: </w:t>
      </w:r>
    </w:p>
    <w:tbl>
      <w:tblPr>
        <w:tblW w:w="10205" w:type="dxa"/>
        <w:jc w:val="left"/>
        <w:tblInd w:w="0" w:type="dxa"/>
        <w:tblLayout w:type="fixed"/>
        <w:tblCellMar>
          <w:top w:w="28" w:type="dxa"/>
          <w:left w:w="28" w:type="dxa"/>
          <w:bottom w:w="28" w:type="dxa"/>
          <w:right w:w="28" w:type="dxa"/>
        </w:tblCellMar>
      </w:tblPr>
      <w:tblGrid>
        <w:gridCol w:w="1165"/>
        <w:gridCol w:w="998"/>
        <w:gridCol w:w="1002"/>
        <w:gridCol w:w="687"/>
        <w:gridCol w:w="687"/>
        <w:gridCol w:w="689"/>
        <w:gridCol w:w="124"/>
        <w:gridCol w:w="124"/>
        <w:gridCol w:w="124"/>
        <w:gridCol w:w="240"/>
        <w:gridCol w:w="532"/>
        <w:gridCol w:w="124"/>
        <w:gridCol w:w="109"/>
        <w:gridCol w:w="109"/>
        <w:gridCol w:w="109"/>
        <w:gridCol w:w="687"/>
        <w:gridCol w:w="687"/>
        <w:gridCol w:w="689"/>
        <w:gridCol w:w="116"/>
        <w:gridCol w:w="116"/>
        <w:gridCol w:w="116"/>
        <w:gridCol w:w="226"/>
        <w:gridCol w:w="565"/>
        <w:gridCol w:w="180"/>
      </w:tblGrid>
      <w:tr>
        <w:trPr/>
        <w:tc>
          <w:tcPr>
            <w:tcW w:w="116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Sheet</w:t>
              <w:br/>
              <w:t>Account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Sheet</w:t>
              <w:br/>
              <w:t>Account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Asset derivatives: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Aluminum futures contracts</w:t>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Liability derivatives: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Aluminum futures contracts</w:t>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futures contracts</w:t>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16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206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result in an annual net cost of R$139 million for the full year of 2024.</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Terphane Ltda. had the following outstanding foreign exchange average forward rate contracts to purchase Brazilian Real and sell U.S. Dollars as of September 30, 2024: </w:t>
      </w:r>
    </w:p>
    <w:tbl>
      <w:tblPr>
        <w:tblW w:w="10205" w:type="dxa"/>
        <w:jc w:val="left"/>
        <w:tblInd w:w="0" w:type="dxa"/>
        <w:tblLayout w:type="fixed"/>
        <w:tblCellMar>
          <w:top w:w="28" w:type="dxa"/>
          <w:left w:w="28" w:type="dxa"/>
          <w:bottom w:w="28" w:type="dxa"/>
          <w:right w:w="28" w:type="dxa"/>
        </w:tblCellMar>
      </w:tblPr>
      <w:tblGrid>
        <w:gridCol w:w="594"/>
        <w:gridCol w:w="523"/>
        <w:gridCol w:w="525"/>
        <w:gridCol w:w="807"/>
        <w:gridCol w:w="807"/>
        <w:gridCol w:w="809"/>
        <w:gridCol w:w="538"/>
        <w:gridCol w:w="538"/>
        <w:gridCol w:w="540"/>
        <w:gridCol w:w="430"/>
        <w:gridCol w:w="430"/>
        <w:gridCol w:w="431"/>
        <w:gridCol w:w="943"/>
        <w:gridCol w:w="943"/>
        <w:gridCol w:w="1347"/>
      </w:tblGrid>
      <w:tr>
        <w:trPr/>
        <w:tc>
          <w:tcPr>
            <w:tcW w:w="59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Notional Amount (000s)</w:t>
            </w:r>
          </w:p>
        </w:tc>
        <w:tc>
          <w:tcPr>
            <w:tcW w:w="24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Forward Rate Contracted on USD/BRL</w:t>
            </w:r>
          </w:p>
        </w:tc>
        <w:tc>
          <w:tcPr>
            <w:tcW w:w="16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 Equivalent Amount (000s)</w:t>
            </w:r>
          </w:p>
        </w:tc>
        <w:tc>
          <w:tcPr>
            <w:tcW w:w="12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Month</w:t>
            </w:r>
          </w:p>
        </w:tc>
        <w:tc>
          <w:tcPr>
            <w:tcW w:w="32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 of Terphane Ltda. R$ Operating Cost Exposure Hedged</w:t>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33"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5.4225</w:t>
            </w:r>
          </w:p>
        </w:tc>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R$10,037</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Oct-24</w:t>
            </w:r>
          </w:p>
        </w:tc>
        <w:tc>
          <w:tcPr>
            <w:tcW w:w="32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$1,837</w:t>
            </w:r>
          </w:p>
        </w:tc>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5.4403</w:t>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R$9,994</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Nov-24</w:t>
            </w:r>
          </w:p>
        </w:tc>
        <w:tc>
          <w:tcPr>
            <w:tcW w:w="3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5.4580</w:t>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R$9,830</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Dec-24</w:t>
            </w:r>
          </w:p>
        </w:tc>
        <w:tc>
          <w:tcPr>
            <w:tcW w:w="3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64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$5,489</w:t>
            </w:r>
          </w:p>
        </w:tc>
        <w:tc>
          <w:tcPr>
            <w:tcW w:w="242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5.4402</w:t>
            </w:r>
          </w:p>
        </w:tc>
        <w:tc>
          <w:tcPr>
            <w:tcW w:w="1616"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R$29,861</w:t>
            </w:r>
          </w:p>
        </w:tc>
        <w:tc>
          <w:tcPr>
            <w:tcW w:w="129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location and gross amounts of foreign currency forward contract fair values (Level 2) in the condensed consolidated balance sheets as of September 30, 2024 and December 31, 2023:</w:t>
      </w:r>
    </w:p>
    <w:tbl>
      <w:tblPr>
        <w:tblW w:w="10205" w:type="dxa"/>
        <w:jc w:val="left"/>
        <w:tblInd w:w="0" w:type="dxa"/>
        <w:tblLayout w:type="fixed"/>
        <w:tblCellMar>
          <w:top w:w="28" w:type="dxa"/>
          <w:left w:w="28" w:type="dxa"/>
          <w:bottom w:w="28" w:type="dxa"/>
          <w:right w:w="28" w:type="dxa"/>
        </w:tblCellMar>
      </w:tblPr>
      <w:tblGrid>
        <w:gridCol w:w="1085"/>
        <w:gridCol w:w="919"/>
        <w:gridCol w:w="923"/>
        <w:gridCol w:w="644"/>
        <w:gridCol w:w="644"/>
        <w:gridCol w:w="646"/>
        <w:gridCol w:w="122"/>
        <w:gridCol w:w="122"/>
        <w:gridCol w:w="122"/>
        <w:gridCol w:w="237"/>
        <w:gridCol w:w="525"/>
        <w:gridCol w:w="122"/>
        <w:gridCol w:w="109"/>
        <w:gridCol w:w="109"/>
        <w:gridCol w:w="109"/>
        <w:gridCol w:w="657"/>
        <w:gridCol w:w="657"/>
        <w:gridCol w:w="659"/>
        <w:gridCol w:w="199"/>
        <w:gridCol w:w="199"/>
        <w:gridCol w:w="199"/>
        <w:gridCol w:w="208"/>
        <w:gridCol w:w="211"/>
        <w:gridCol w:w="616"/>
        <w:gridCol w:w="162"/>
      </w:tblGrid>
      <w:tr>
        <w:trPr/>
        <w:tc>
          <w:tcPr>
            <w:tcW w:w="1085"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989" w:type="dxa"/>
            <w:gridSpan w:val="3"/>
            <w:tcBorders/>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Sheet</w:t>
              <w:br/>
              <w:t>Account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Balance Sheet</w:t>
              <w:br/>
              <w:t>Account</w:t>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w:t>
              <w:br/>
              <w:t>Value</w:t>
            </w:r>
          </w:p>
        </w:tc>
      </w:tr>
      <w:tr>
        <w:trPr/>
        <w:tc>
          <w:tcPr>
            <w:tcW w:w="2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Designated as Hedging Instruments</w:t>
            </w:r>
          </w:p>
        </w:tc>
        <w:tc>
          <w:tcPr>
            <w:tcW w:w="1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Asset derivatives: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Liability derivatives: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(liability)</w:t>
            </w:r>
          </w:p>
        </w:tc>
        <w:tc>
          <w:tcPr>
            <w:tcW w:w="193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1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most credit-worthy customers. The counterparties to the Company’s foreign currency cash flow hedge contracts are major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pre-tax effect on net income (loss) and other comprehensive income (loss) of derivative instruments classified as cash flow hedges and described in the previous paragraphs for the three and nine month periods ended September 30, 2024 and 2023 is summarized in the table below: </w:t>
      </w:r>
    </w:p>
    <w:tbl>
      <w:tblPr>
        <w:tblW w:w="10205" w:type="dxa"/>
        <w:jc w:val="left"/>
        <w:tblInd w:w="0" w:type="dxa"/>
        <w:tblLayout w:type="fixed"/>
        <w:tblCellMar>
          <w:top w:w="28" w:type="dxa"/>
          <w:left w:w="28" w:type="dxa"/>
          <w:bottom w:w="28" w:type="dxa"/>
          <w:right w:w="28" w:type="dxa"/>
        </w:tblCellMar>
      </w:tblPr>
      <w:tblGrid>
        <w:gridCol w:w="1026"/>
        <w:gridCol w:w="902"/>
        <w:gridCol w:w="913"/>
        <w:gridCol w:w="241"/>
        <w:gridCol w:w="569"/>
        <w:gridCol w:w="124"/>
        <w:gridCol w:w="111"/>
        <w:gridCol w:w="111"/>
        <w:gridCol w:w="111"/>
        <w:gridCol w:w="235"/>
        <w:gridCol w:w="689"/>
        <w:gridCol w:w="121"/>
        <w:gridCol w:w="109"/>
        <w:gridCol w:w="109"/>
        <w:gridCol w:w="109"/>
        <w:gridCol w:w="253"/>
        <w:gridCol w:w="487"/>
        <w:gridCol w:w="130"/>
        <w:gridCol w:w="249"/>
        <w:gridCol w:w="765"/>
        <w:gridCol w:w="128"/>
        <w:gridCol w:w="109"/>
        <w:gridCol w:w="109"/>
        <w:gridCol w:w="109"/>
        <w:gridCol w:w="253"/>
        <w:gridCol w:w="487"/>
        <w:gridCol w:w="130"/>
        <w:gridCol w:w="109"/>
        <w:gridCol w:w="109"/>
        <w:gridCol w:w="109"/>
        <w:gridCol w:w="252"/>
        <w:gridCol w:w="738"/>
        <w:gridCol w:w="199"/>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0"/>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Derivative Hedges</w:t>
            </w:r>
          </w:p>
        </w:tc>
      </w:tr>
      <w:tr>
        <w:trPr/>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0"/>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Aluminum Futures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8"/>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w:t>
            </w:r>
          </w:p>
        </w:tc>
      </w:tr>
      <w:tr>
        <w:trPr/>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pre-tax gain (loss) recognized in other comprehensive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of gain (loss) reclassified from accumulated other comprehensive income (loss) into net income (effective portion)</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Selling, general &amp; admin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Selling, general &amp; admin</w:t>
            </w:r>
          </w:p>
        </w:tc>
      </w:tr>
      <w:tr>
        <w:trPr/>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pre-tax gain (loss) reclassified from accumulated other comprehensive income (loss) to net income (effective portion)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0"/>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2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Aluminum Futures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8"/>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 Forwards</w:t>
            </w:r>
          </w:p>
        </w:tc>
      </w:tr>
      <w:tr>
        <w:trPr/>
        <w:tc>
          <w:tcPr>
            <w:tcW w:w="2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6"/>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pre-tax gain (loss) recognized in other comprehensive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 of gain (loss) reclassified from accumulated other comprehensive income (loss) into net income (effective portion)</w:t>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Selling, general &amp; admin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Selling, general &amp; admin</w:t>
            </w:r>
          </w:p>
        </w:tc>
      </w:tr>
      <w:tr>
        <w:trPr/>
        <w:tc>
          <w:tcPr>
            <w:tcW w:w="2841"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pre-tax gain (loss) reclassified from accumulated other comprehensive income (loss) to net income (effective portion)</w:t>
            </w:r>
          </w:p>
        </w:tc>
        <w:tc>
          <w:tcPr>
            <w:tcW w:w="24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2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2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left w:val="single" w:sz="8" w:space="0" w:color="000000"/>
              <w:bottom w:val="single" w:sz="16"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9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expects $0.1 million of unrealized after-tax gains on aluminum and foreign currency derivative instruments reported in accumulated other comprehensive income (loss) to be reclassified to earnings within the next 12 months. For the three and nine month periods ended September 30, 2024 and 2023, net gains or losses realized, from previously unrealized net gains or losses on hedges that had been discontinued,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recorded tax expense (benefit) of $3.6 million on pre-tax income (loss) of $11.7 million in the first nine months of 2024. The effective tax rate in the first nine months of 2024 was 30.5% and 18.8% in the first nine months of 2023. The change in effective tax rate was primarily due to pre-tax income in the first nine months of 2024 versus a pre-tax loss in the first nine months of 2023. During the first nine months of 2024, Tredegar increased the valuation allowance on existing deferred tax assets as a result of the sale of Terphane by $1.0 million.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first nine months of 2024 varies from the 21% statutory rate primarily due to foreign rate differences and non-deductible expenses offset by Brazilian tax incentives and federal tax credits.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were to expire at the end of 2024. Terphane Ltda. has been granted an additional three years of tax incentives through the end of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BUSINESS SEGMENTS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segments are Aluminum Extrusions, PE Films, and Flexible Packaging Films. Information by business segment is reported below. There are no accounting transactions between segments and no allocations to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CODM assesses performance. Earnings before interest, taxes, depreciation and amortization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sales and EBITDA from ongoing operations by segment for the three and nine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3"/>
        <w:gridCol w:w="1276"/>
        <w:gridCol w:w="1281"/>
        <w:gridCol w:w="229"/>
        <w:gridCol w:w="900"/>
        <w:gridCol w:w="118"/>
        <w:gridCol w:w="118"/>
        <w:gridCol w:w="118"/>
        <w:gridCol w:w="118"/>
        <w:gridCol w:w="229"/>
        <w:gridCol w:w="900"/>
        <w:gridCol w:w="118"/>
        <w:gridCol w:w="109"/>
        <w:gridCol w:w="109"/>
        <w:gridCol w:w="109"/>
        <w:gridCol w:w="225"/>
        <w:gridCol w:w="885"/>
        <w:gridCol w:w="116"/>
        <w:gridCol w:w="116"/>
        <w:gridCol w:w="116"/>
        <w:gridCol w:w="116"/>
        <w:gridCol w:w="225"/>
        <w:gridCol w:w="885"/>
        <w:gridCol w:w="176"/>
      </w:tblGrid>
      <w:tr>
        <w:trPr/>
        <w:tc>
          <w:tcPr>
            <w:tcW w:w="161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freight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as shown in the condensed consolidated statements of income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535,481 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 from Ongoing Operations</w:t>
            </w:r>
          </w:p>
        </w:tc>
        <w:tc>
          <w:tcPr>
            <w:tcW w:w="124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shutdowns, asset impairments, restructurings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shutdowns, asset impairments, restructurings and other</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shutdowns, asset impairments, restructurings and 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 in kaleo, Inc.</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option-based compensation costs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loss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net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identifiable assets by segment at September 30, 2024 and December 31, 2023:</w:t>
      </w:r>
    </w:p>
    <w:tbl>
      <w:tblPr>
        <w:tblW w:w="7286" w:type="dxa"/>
        <w:jc w:val="left"/>
        <w:tblInd w:w="0" w:type="dxa"/>
        <w:tblLayout w:type="fixed"/>
        <w:tblCellMar>
          <w:top w:w="28" w:type="dxa"/>
          <w:left w:w="28" w:type="dxa"/>
          <w:bottom w:w="28" w:type="dxa"/>
          <w:right w:w="28" w:type="dxa"/>
        </w:tblCellMar>
      </w:tblPr>
      <w:tblGrid>
        <w:gridCol w:w="1270"/>
        <w:gridCol w:w="1117"/>
        <w:gridCol w:w="1122"/>
        <w:gridCol w:w="317"/>
        <w:gridCol w:w="1244"/>
        <w:gridCol w:w="164"/>
        <w:gridCol w:w="109"/>
        <w:gridCol w:w="109"/>
        <w:gridCol w:w="109"/>
        <w:gridCol w:w="305"/>
        <w:gridCol w:w="1197"/>
        <w:gridCol w:w="223"/>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258,410 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255,756 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401,696 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396,354 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corporate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442,540 </w:t>
            </w:r>
          </w:p>
        </w:tc>
        <w:tc>
          <w:tcPr>
            <w:tcW w:w="1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446,461 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disaggregate the Company’s revenue by geographic area and product group for the three and nine months ended September 30, 2024 and 2023: </w:t>
      </w:r>
    </w:p>
    <w:tbl>
      <w:tblPr>
        <w:tblW w:w="9454" w:type="dxa"/>
        <w:jc w:val="left"/>
        <w:tblInd w:w="0" w:type="dxa"/>
        <w:tblLayout w:type="fixed"/>
        <w:tblCellMar>
          <w:top w:w="28" w:type="dxa"/>
          <w:left w:w="28" w:type="dxa"/>
          <w:bottom w:w="28" w:type="dxa"/>
          <w:right w:w="28" w:type="dxa"/>
        </w:tblCellMar>
      </w:tblPr>
      <w:tblGrid>
        <w:gridCol w:w="1133"/>
        <w:gridCol w:w="998"/>
        <w:gridCol w:w="1003"/>
        <w:gridCol w:w="242"/>
        <w:gridCol w:w="951"/>
        <w:gridCol w:w="125"/>
        <w:gridCol w:w="125"/>
        <w:gridCol w:w="125"/>
        <w:gridCol w:w="125"/>
        <w:gridCol w:w="242"/>
        <w:gridCol w:w="951"/>
        <w:gridCol w:w="125"/>
        <w:gridCol w:w="109"/>
        <w:gridCol w:w="109"/>
        <w:gridCol w:w="109"/>
        <w:gridCol w:w="236"/>
        <w:gridCol w:w="925"/>
        <w:gridCol w:w="122"/>
        <w:gridCol w:w="122"/>
        <w:gridCol w:w="122"/>
        <w:gridCol w:w="122"/>
        <w:gridCol w:w="236"/>
        <w:gridCol w:w="925"/>
        <w:gridCol w:w="172"/>
      </w:tblGrid>
      <w:tr>
        <w:trPr/>
        <w:tc>
          <w:tcPr>
            <w:tcW w:w="113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454"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Net Sales by Geographic Area (a)</w:t>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409,433 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Exports from the United States to:</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outside the United States: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174,966 </w:t>
            </w:r>
          </w:p>
        </w:tc>
        <w:tc>
          <w:tcPr>
            <w:tcW w:w="1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159,459 </w:t>
            </w:r>
          </w:p>
        </w:tc>
        <w:tc>
          <w:tcPr>
            <w:tcW w:w="1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527,189 </w:t>
            </w:r>
          </w:p>
        </w:tc>
        <w:tc>
          <w:tcPr>
            <w:tcW w:w="1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515,504 </w:t>
            </w:r>
          </w:p>
        </w:tc>
        <w:tc>
          <w:tcPr>
            <w:tcW w:w="1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454"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 Export sales relate mostly to PE Films. Operations in Brazil relate to Flexible Packaging Films. </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$6.5 million and $4.8 million in the third quarter of 2024 and 2023, respectively, and $19.1 million and $11.7 million in the first nine months of 2024 and 2023, respectively. </w:t>
      </w:r>
    </w:p>
    <w:p>
      <w:pPr>
        <w:pStyle w:val="TextBody"/>
        <w:bidi w:val="0"/>
        <w:spacing w:before="100" w:after="283"/>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9650" w:type="dxa"/>
        <w:jc w:val="left"/>
        <w:tblInd w:w="0" w:type="dxa"/>
        <w:tblLayout w:type="fixed"/>
        <w:tblCellMar>
          <w:top w:w="28" w:type="dxa"/>
          <w:left w:w="28" w:type="dxa"/>
          <w:bottom w:w="28" w:type="dxa"/>
          <w:right w:w="28" w:type="dxa"/>
        </w:tblCellMar>
      </w:tblPr>
      <w:tblGrid>
        <w:gridCol w:w="1203"/>
        <w:gridCol w:w="1061"/>
        <w:gridCol w:w="1066"/>
        <w:gridCol w:w="242"/>
        <w:gridCol w:w="951"/>
        <w:gridCol w:w="125"/>
        <w:gridCol w:w="125"/>
        <w:gridCol w:w="125"/>
        <w:gridCol w:w="125"/>
        <w:gridCol w:w="242"/>
        <w:gridCol w:w="951"/>
        <w:gridCol w:w="125"/>
        <w:gridCol w:w="109"/>
        <w:gridCol w:w="109"/>
        <w:gridCol w:w="109"/>
        <w:gridCol w:w="236"/>
        <w:gridCol w:w="925"/>
        <w:gridCol w:w="122"/>
        <w:gridCol w:w="122"/>
        <w:gridCol w:w="122"/>
        <w:gridCol w:w="122"/>
        <w:gridCol w:w="236"/>
        <w:gridCol w:w="925"/>
        <w:gridCol w:w="172"/>
      </w:tblGrid>
      <w:tr>
        <w:trPr/>
        <w:tc>
          <w:tcPr>
            <w:tcW w:w="12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9650" w:type="dxa"/>
            <w:gridSpan w:val="24"/>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Net Sales by Product Group</w:t>
            </w:r>
          </w:p>
        </w:tc>
      </w:tr>
      <w:tr>
        <w:trP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Nonresidential building &amp; construction</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durables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building &amp; construction</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Electrical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&amp; equipment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364,607 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protection films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Overwrap packaging</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174,966 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159,459 </w:t>
            </w:r>
          </w:p>
        </w:tc>
        <w:tc>
          <w:tcPr>
            <w:tcW w:w="1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527,189 </w:t>
            </w:r>
          </w:p>
        </w:tc>
        <w:tc>
          <w:tcPr>
            <w:tcW w:w="12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515,504 </w:t>
            </w:r>
          </w:p>
        </w:tc>
        <w:tc>
          <w:tcPr>
            <w:tcW w:w="17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ABL Facility</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2023, the Company entered into Amendment No. 3 to the Second Amended and Restated Credit Agreement (the "Credit Agreement"), which provides the Company with a $180 million senior secured asset-based revolving credit facility that will mature on June 30, 2026. On April 16, 2024, the Company entered into Amendment No. 4 to the Credit Agreement (as amended by Amendment No. 3 and Amendment No. 4, the “ABL Facility”) that, among other items: (i) moves the ABL Adjustment Date (defined below) from March 31, 2025 to September 30, 2025 and (ii) requires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September 30, 2024, Minimum Liquidity (as defined in the ABL Facility) of $45.1 million, after reducing the borrowing base by the aggregate outstanding borrowings of $122.0 million and standby letters of credit of $12.9 million, was in excess of the $10 million Minimum Liquidity financial covenant.</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 accrue interest at the rates elected by the Company depending on the type of loan and denomination of such borrowing. With respect to revolving loans denominated in U.S. Dollars, the Company may elect interest rates at:</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Alternate Base Rate (“ABR”) plus 2.50% before the ABL Adjustment Date and the applicable ABR Spread (as defined in the ABL Facility) after the ABL Adjustment Date are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The Adjusted Term Secured Overnight Financing Rate ("SOFR") Rate plus 3.50% before the ABL Adjustment Date and the applicable Term Benchmark Spread (as defined in the ABL Facility) are determined in accordance with an excess availability-based pricing grid after the ABL Adjustment Date. Adjusted Term SOFR Rate is defined as the Term SOFR Rate plus 0.10%, subject to an initial Floor (as defined in the ABL Facility) of 0%.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indices for select non-U.S. dollar borrowings, including borrowings denominated in Euro, Pounds Sterling, Swiss Francs and Japanese Yen, remain consistent with the Second Amended and Restated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quarterly average of daily availability under the ABL Facility, the interest rate pricing grid applicable after the ABL Adjustment Date will be as follows:</w:t>
      </w:r>
    </w:p>
    <w:tbl>
      <w:tblPr>
        <w:tblW w:w="9670" w:type="dxa"/>
        <w:jc w:val="left"/>
        <w:tblInd w:w="0" w:type="dxa"/>
        <w:tblLayout w:type="fixed"/>
        <w:tblCellMar>
          <w:top w:w="28" w:type="dxa"/>
          <w:left w:w="28" w:type="dxa"/>
          <w:bottom w:w="28" w:type="dxa"/>
          <w:right w:w="28" w:type="dxa"/>
        </w:tblCellMar>
      </w:tblPr>
      <w:tblGrid>
        <w:gridCol w:w="1995"/>
        <w:gridCol w:w="1755"/>
        <w:gridCol w:w="1760"/>
        <w:gridCol w:w="572"/>
        <w:gridCol w:w="572"/>
        <w:gridCol w:w="575"/>
        <w:gridCol w:w="349"/>
        <w:gridCol w:w="349"/>
        <w:gridCol w:w="349"/>
        <w:gridCol w:w="408"/>
        <w:gridCol w:w="408"/>
        <w:gridCol w:w="578"/>
      </w:tblGrid>
      <w:tr>
        <w:trPr/>
        <w:tc>
          <w:tcPr>
            <w:tcW w:w="19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67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Pricing under the ABL Facility (Basis Points)</w:t>
            </w:r>
          </w:p>
        </w:tc>
      </w:tr>
      <w:tr>
        <w:trPr/>
        <w:tc>
          <w:tcPr>
            <w:tcW w:w="5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 Average of Daily Availability</w:t>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Benchmark</w:t>
              <w:br/>
              <w:t>Spread</w:t>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ABR</w:t>
              <w:br/>
              <w:t>Spread</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Commitment</w:t>
              <w:br/>
              <w:t>Fee*</w:t>
            </w:r>
          </w:p>
        </w:tc>
      </w:tr>
      <w:tr>
        <w:trPr/>
        <w:tc>
          <w:tcPr>
            <w:tcW w:w="5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66% of $125 million aggregate commitment</w:t>
            </w:r>
          </w:p>
        </w:tc>
        <w:tc>
          <w:tcPr>
            <w:tcW w:w="1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55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ans-serif" w:hAnsi="Times New Roman;sans-serif"/>
                <w:b w:val="false"/>
                <w:color w:val="000000"/>
                <w:sz w:val="20"/>
              </w:rPr>
              <w:t>66% but &gt; 33% of $125 million aggregate commitment</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55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 xml:space="preserve">≤ </w:t>
            </w:r>
            <w:r>
              <w:rPr>
                <w:rFonts w:ascii="Times New Roman;sans-serif" w:hAnsi="Times New Roman;sans-serif"/>
                <w:b w:val="false"/>
                <w:color w:val="000000"/>
                <w:sz w:val="20"/>
              </w:rPr>
              <w:t>33% of $125 million aggregate commitment</w:t>
            </w:r>
          </w:p>
        </w:tc>
        <w:tc>
          <w:tcPr>
            <w:tcW w:w="17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04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w:t>
            </w:r>
          </w:p>
        </w:tc>
        <w:tc>
          <w:tcPr>
            <w:tcW w:w="1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9670"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 Commitment Fee before the ABL Adjustment Date and after the ABL Adjustment Date remain the same as reflected in this table.</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 the ABL Facility are as follows:</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Until the ABL Adjustment Date, the Company is required to maintain (i) a minimum Credit EBITDA (as defined in the ABL Facility), as of the end of each fiscal month for the 12-month period then ended (presented below) and (ii) a Minimum Liquidity of $10.0 million.</w:t>
      </w:r>
    </w:p>
    <w:tbl>
      <w:tblPr>
        <w:tblW w:w="4086" w:type="dxa"/>
        <w:jc w:val="left"/>
        <w:tblInd w:w="0" w:type="dxa"/>
        <w:tblLayout w:type="fixed"/>
        <w:tblCellMar>
          <w:top w:w="28" w:type="dxa"/>
          <w:left w:w="28" w:type="dxa"/>
          <w:bottom w:w="28" w:type="dxa"/>
          <w:right w:w="28" w:type="dxa"/>
        </w:tblCellMar>
      </w:tblPr>
      <w:tblGrid>
        <w:gridCol w:w="521"/>
        <w:gridCol w:w="459"/>
        <w:gridCol w:w="460"/>
        <w:gridCol w:w="514"/>
        <w:gridCol w:w="1757"/>
        <w:gridCol w:w="375"/>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ind w:left="0" w:right="0" w:hanging="225"/>
              <w:jc w:val="left"/>
              <w:rPr>
                <w:sz w:val="4"/>
                <w:szCs w:val="4"/>
              </w:rPr>
            </w:pPr>
            <w:r>
              <w:rPr>
                <w:sz w:val="4"/>
                <w:szCs w:val="4"/>
              </w:rPr>
            </w:r>
          </w:p>
        </w:tc>
      </w:tr>
      <w:tr>
        <w:trPr/>
        <w:tc>
          <w:tcPr>
            <w:tcW w:w="408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Minimum Credit EBITDA (In thousands)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51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51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32,080 </w:t>
            </w:r>
          </w:p>
        </w:tc>
        <w:tc>
          <w:tcPr>
            <w:tcW w:w="37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 xml:space="preserve">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financial covenants, the ABL Facility contains restrictive covenants, including covenants that restrict the Company’s ability to pay dividends and repurchase shares of its common stock. After the ABL Adjustment Date, the Company is no longer prohibited from making dividend payments and share repurchases. All decisions with respect to the declaration and payment of future dividends and share repurchases will be made by the Board in its sole discretion based upon earnings, financial condition, anticipated cash needs and other such considerations as the Board deems relevant.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at any time the availability under the ABL facility after the ABL Adjustment Date is less than 20% of the maximum aggregate principal amount in effect at such time or an Event of Default occurs, the Company’s current weekly reporting requirements to lenders will continue until the Event of Default is waived, cured or the availability under the ABL facility is above 20% of the maximum aggregate principal amount for 30 consecutive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2022). In the event that the Company cannot certify that all conditions to the borrowing have been met, the lenders can restrict the Company’s future borrowings under the ABL Facility. Because a Cash Dominion Period was in effect as of September 30, 2024 and December 31, 2023 and the Company was required to represent that no Material Adverse Effect has occurred as a condition to borrowing, the outstanding debt under the ABL Facility (all contractual payments due on June 30, 2026) was classified as a current liability in the condensed consolidated balance sheets as of the dates presented.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September 30, 2024, the Company was in compliance with all debt covenants.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with the closing of the Terphane Sale, the ABL Adjustment Date has occurred. </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Terphane Brazil Loan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26, 2023, Flexible Packaging Film's business unit (“Terphane Ltda.”), the Company’s wholly owned subsidiary in Brazil, borrowed $20 million secured by certain of its assets (“Terphane Brazil Loan”). This U.S. Dollar borrowing matures on October 30, 2028, with interest payable quarterly at an annual floating interest rate of the SOFR plus 5.99%. The SOFR rate was 5.35% as of September 30, 2024. Quarterly principal payments of $1.7 million begin starting in year 3 of the loan. There are no prepayment penalties. On October 26, 2023, the Company borrowed $20 million from Terphane Ltda. (the “Intercompany Loan”) at the same interest rate as the Terphane Brazil Loan, thereby transferring the funds to the U.S. In connection with the closing of the Terphane Sale, both the Terphane Brazil Loan and the Intercompany Loan were assumed by Oben.</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 Films Guangzhou Loan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25, 2024, PE Films' business location in Guangzhou, China, Guangzhou Tredegar Film Products Co., Ltd. (“Guangzhou Tredegar”), entered into a 9.5 million Chinese Yuan, which is equivalent to $1.4 million as of September 30, 2024, revolving loan with the Industrial and Commercial Bank of China. The loan matures on July 3, 2025. The interest rate is the one year loan prime rate published by the National Interbank Funding Center for the working day immediately preceding the drawdown date, minus 0.45%. As of September 30, 2024, the National Interbank Funding Center rate was 3.35%. The revolving loan is secured by a mortgage contract listing the Guangzhou Tredegar factory building as collateral. The mortgage contract has a maximum value of 30 million Chinese Yuan and is effective from June 25, 2024 through May 31,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11. SUBSEQUENT EVENTS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the Company entered into an agreement to sell Terphane, headquartered in Brazil, to Oben for net cash-free and debt-free base consideration of $116 million.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 2024, Tredegar completed the sale of Terphane to Oben. At closing, Tredegar received $60 million in cash, which is net of Terphane debt assumed by Oben of $20 million and Terphane cash retained by Oben of $2 million. Accordingly, on a cash-free and debt-free basis, the enterprise value of the Terphane transaction at closing for Tredegar was $78 million. Tredegar anticipates receiving an additional $7 million in cash following the release of certain escrow funds within 120 days of closing. The cash proceeds received by Tredegar at closing are after deducting projected Brazil withholding taxes, net working capital adjustments, escrow funds, U.S. capital gains taxes and transaction expenses. The total estimated proceeds from the sale of Terphane are required to be used to pay down the outstanding ABL Facility debt.</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estimated pre-tax loss on the sale of $72.5 million ($65.5 million after-tax) is expected to be recognized in the fourth quarter of 2024. The estimated net loss on sale includes $100 million of estimated cumulative translation adjustment losses and gains on derivative financial instruments reclassified from other comprehensive income (loss). Expected amounts are based on Terphane’s estimated closing balance sheet, which are subject to change.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and for the nine months ended September 30, 2024, the Flexible Packaging Films business had net assets of approximately $36 million and EBITDA from ongoing operations of $8.9 million. See Note 9 where Flexible Packing Films is presented as a reportable segment. As a result of the completion of the sale, the Company will classify and report Terphane as discontinued operations in the fourth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Forward-looking and Cautionary Statements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inability to successfully complete strategic dispositions, failure to realize the expected benefits of such dispositions and assumption of unanticipated risks in such dispositions;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failure by governmental entities to prevent foreign companies from evading anti-dumping and countervailing duties;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noncompliance with any of the financial and other restrictive covenants in the Company's asset-based credit facility;</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impact of macroeconomic factors, such as inflation, interest rates, recession risks and other lagging effects of the COVID-19 pandemic;</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an increase in the operating costs incurred by the Company’s business units, including, for example, the cost of raw materials and energy;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failure to continue to attract, develop and retain certain key officers or employees;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disruptions to the Company’s manufacturing facilities, including those resulting from labor shortages;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inability to develop, efficiently manufacture and deliver new products at competitive prices;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impact of the imposition of tariffs and sanctions on imported aluminum ingot used by Bonnell Aluminum;</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unanticipated problems or delays with the implementation of the enterprise resource planning and manufacturing executions systems, or security breaches and other disruptions to the Company's information technology infrastructure;</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loss of sales to significant customers on which the Company’s business is highly dependent;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inability to achieve sales to new customers to replace lost business;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failure of the Company’s customers to achieve success or maintain market share;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failure to protect our intellectual property rights;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risks of doing business in countries outside the U.S. that affect our international operations;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political, economic and regulatory factors concerning the Company’s products;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competition from other manufacturers, including manufacturers in lower-cost countries and manufacturers benefiting from government subsidies;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impact of fluctuations in foreign exchange rates;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an information technology system failure or breach;</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impact of public health epidemics on employees, production and the global economy, such as the COVID-19 pandemic;</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inability to successfully identify, complete or integrate strategic acquisitions; failure to realize the expected benefits of such acquisitions and assumption of unanticipated risks in such acquisitions;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impairment of the Surface Protection reporting unit's goodwill;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2023 (the “2023 Form 10-K”). Readers are urged to review and consider carefully the disclosures Tredegar makes in its filings with the SEC.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herein to “Tredegar,” “the Company,” “we,” “us” and “our” are to Tredegar Corporation and its subsidiaries, collectively, unless the context otherwise indicates or requires.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indicated, all comparisons are to the prior year period. References to "Notes" are to notes to our condensed consolidated financial statements found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2023 Form 10-K have the greatest potential impact on our financial statements, so Tredegar considers these to be its critical accounting policies. Since December 31, 2023, there have been no changes in these policies or estimates that have had a material impact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720"/>
        <w:jc w:val="center"/>
        <w:rPr>
          <w:rFonts w:ascii="Times New Roman;sans-serif" w:hAnsi="Times New Roman;sans-serif"/>
          <w:b/>
          <w:color w:val="000000"/>
          <w:sz w:val="20"/>
          <w:u w:val="single"/>
        </w:rPr>
      </w:pPr>
      <w:r>
        <w:rPr>
          <w:rFonts w:ascii="Times New Roman;sans-serif" w:hAnsi="Times New Roman;sans-serif"/>
          <w:b/>
          <w:color w:val="000000"/>
          <w:sz w:val="20"/>
          <w:u w:val="single"/>
        </w:rPr>
        <w:t>Business Overview</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Tredegar Corporation is an industrial manufacturer. As of September 30, 2024, we had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On November 1, 2024, we completed the sale of our Flexible Packaging Film business ("Terphane") to Oben Group ("Oben"). For more information, see Note 11. Since the sale was completed after September 30, 2024, the historical financial results of Terphane are reported as continuing operations in this Form 10-Q. In all future public filings, the historical financial results of Terphane will be reflected as discontinued operations under GAAP for all periods.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 </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and taxes ("EBIT") from ongoing operations is a non-GAAP financial measure included in the reconciliation of segment financial information to consolidated results for the Company in Note 9.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quarter 2024 net income (loss) was $(3.9) million ($(0.11) per diluted share) compared to $(50.4) million ($(1.47) per diluted share) in the third quarter of 2023.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Third Quarter Financial Results Highlights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EBITDA from ongoing operations for Aluminum Extrusions (also referred to as "Bonnell Aluminum") was $6.2 million in the third quarter of 2024 versus $5.1 million in the third quarter of last year and $12.9 million in the second quarter of 2024.</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Sales volume was 34.6 million pounds in the third quarter of 2024 versus 32.5 million pounds in the third quarter of last year and 34.9 million pounds in the second quarter of 2024.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Open orders at the end of the third quarter of 2024 were approximately 15.5 million pounds (versus 17 million pounds in the third quarter of 2023 and 14 million pounds at the end of the second quarter of 2024). Net new orders increased 27% in the third quarter of 2024 versus the third quarter of 2023 and increased 7% versus the second quarter of 2024.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EBITDA from ongoing operations for PE Films was $5.9 million in the third quarter of 2024 versus $4.0 million in the third quarter of 2023 and $10.1 million in the second quarter of 2024. Sales volume was 9.6 million pounds in the third quarter of 2024 versus 7.2 million pounds in the third quarter of 2023 and 10.5 million pounds in the second quarter of 2024.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EBITDA from ongoing operations for Terphane was $3.7 million during the third quarter of 2024 versus $0.5 million in the third quarter of 2023 and $3.2 million during the second quarter of 2024. Sales volume was 25.3 pounds in the third quarter of 2024 versus 22.2 million pounds in the third quarter 2023 and 25.1 million pounds in the second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Aluminum Extrusions experienced unfavorable costs, including manufacturing inefficiencies, a shift in mix and margin pressures from imports and excess industry capacity. PE Films EBITDA performance during the third quarter moderated as expected versus the first two quarters of 2024. Tredegar closed on the sale of Terphane on November 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Third Quarter of 2024 Compared with the Third Quarter of 2023</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bridge of consolidated net income (loss) from the third quarter of 2023 to the third quarter of 2024 with management's related discussion and analysis below the table. </w:t>
      </w:r>
    </w:p>
    <w:tbl>
      <w:tblPr>
        <w:tblW w:w="8972" w:type="dxa"/>
        <w:jc w:val="left"/>
        <w:tblInd w:w="0" w:type="dxa"/>
        <w:tblLayout w:type="fixed"/>
        <w:tblCellMar>
          <w:top w:w="28" w:type="dxa"/>
          <w:left w:w="28" w:type="dxa"/>
          <w:bottom w:w="28" w:type="dxa"/>
          <w:right w:w="28" w:type="dxa"/>
        </w:tblCellMar>
      </w:tblPr>
      <w:tblGrid>
        <w:gridCol w:w="2704"/>
        <w:gridCol w:w="2381"/>
        <w:gridCol w:w="2399"/>
        <w:gridCol w:w="109"/>
        <w:gridCol w:w="109"/>
        <w:gridCol w:w="109"/>
        <w:gridCol w:w="211"/>
        <w:gridCol w:w="796"/>
        <w:gridCol w:w="154"/>
      </w:tblGrid>
      <w:tr>
        <w:trPr/>
        <w:tc>
          <w:tcPr>
            <w:tcW w:w="2704"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three months ended September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for the three months ended September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 and costs associated with exit and disposal activities, net of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for the 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three months ended September 30, 2024</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pPr>
      <w:r>
        <w:rPr>
          <w:rFonts w:ascii="Times New Roman;sans-serif" w:hAnsi="Times New Roman;sans-serif"/>
          <w:b w:val="false"/>
          <w:color w:val="000000"/>
          <w:sz w:val="20"/>
        </w:rPr>
        <w:t xml:space="preserve">Sales in the third quarter of 2024 increased by $15.9 million compared with the third quarter of 2023. Net sales (sales less freight) in Aluminum Extrusions increased $6.3 million, primarily due to higher sales volume and the pass-through of higher metal costs, partially offset by lower pricing associated with a shift in mix. Net sales in PE Films increased $4.9 million, primarily due to volume increases in both Surface Protection and overwrap films. Net sales in Flexible Packaging Films increased $4.3 million, primarily due to higher sales volume. For more information on net sales and volume, see the </w:t>
      </w:r>
      <w:r>
        <w:rPr>
          <w:rFonts w:ascii="Times New Roman;sans-serif" w:hAnsi="Times New Roman;sans-serif"/>
          <w:b/>
          <w:i/>
          <w:color w:val="000000"/>
          <w:sz w:val="20"/>
        </w:rPr>
        <w:t>Segment Operations Review</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(sales minus cost of goods sold and freight) as a percentage of sales (gross profit margin) was 12.8% in the third quarter of 2024 compared to 9.0% in the third quarter of 2023. The gross profit margin in Aluminum Extrusions increased compared to the prior year period primarily due to higher volume, favorable variable manufacturing costs, lower labor-related costs, and lower freight rates, partially offset by lower net pricing after the pass-through of metal cost changes associated with a shift in mix and manufacturing inefficiencies. Additionally, the timing of the flow-through under the first-in first-out ("FIFO") method of aluminum raw material costs, which were previously acquired at higher prices in a quickly changing commodity pricing environment and passed through to customers, resulted in a charge of $1.0 million in the third quarter of 2024 versus a charge of $1.2 million in the third quarter of 2023. The gross profit margin in PE Films increased due to a higher Surface Protection contribution margin associated with higher volume and manufacturing costs savings, partially offset by unfavorable pricing. The gross profit margin in Flexible Packaging Films increased primarily due to lower variable costs, lower raw material costs, higher volume, favorable product mix, and lower fixed costs, partially offset by lower selling prices from global excess capacity and margin pressures.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sales, selling, general and administrative (“SG&amp;A”) and research and development ("R&amp;D") expenses of 12.2% in the third quarter of 2024 remained consistent with the third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 See Note 4 for additional information. </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asset impairments and costs associated with exit and disposal activities, net of adjustments is primarily related to closure of the PE Films technical center in Richmond, VA. See Note 1 for more information.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a non-cash partial goodwill impairment of $19.5 million was recognized. See Note 1 for more information.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used to compute income taxes was (31.6)% in the third quarter of 2024 compared to 20.9% in the third quarter of 2023.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Pre-tax gains and losses associated with plant shutdowns, asset impairments, restructurings and other items for the third quarters of 2024 and 2023 detailed below are shown in the statements of net sales and EBITDA from ongoing operations by segment in Note 9 and are included in “Asset impairments and costs associated with exit and disposal activities, net of adjustments” in the condensed consolidated statements of income, unless otherwise noted.</w:t>
      </w:r>
    </w:p>
    <w:tbl>
      <w:tblPr>
        <w:tblW w:w="10205" w:type="dxa"/>
        <w:jc w:val="left"/>
        <w:tblInd w:w="0" w:type="dxa"/>
        <w:tblLayout w:type="fixed"/>
        <w:tblCellMar>
          <w:top w:w="28" w:type="dxa"/>
          <w:left w:w="28" w:type="dxa"/>
          <w:bottom w:w="28" w:type="dxa"/>
          <w:right w:w="28" w:type="dxa"/>
        </w:tblCellMar>
      </w:tblPr>
      <w:tblGrid>
        <w:gridCol w:w="2715"/>
        <w:gridCol w:w="2341"/>
        <w:gridCol w:w="2345"/>
        <w:gridCol w:w="369"/>
        <w:gridCol w:w="709"/>
        <w:gridCol w:w="190"/>
        <w:gridCol w:w="369"/>
        <w:gridCol w:w="893"/>
        <w:gridCol w:w="274"/>
      </w:tblGrid>
      <w:tr>
        <w:trPr/>
        <w:tc>
          <w:tcPr>
            <w:tcW w:w="2715"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7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associated with plant shutdowns, asset impairments and restructurings: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 severance</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Consulting expenses for ERP/MES project</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Storm damage to the Newnan, Georgia plant</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Legal fees associated with the Aluminum Extruders Trade Case</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Resolution of customer quality complaint</w:t>
            </w:r>
            <w:r>
              <w:rPr>
                <w:rFonts w:ascii="Times New Roman;sans-serif" w:hAnsi="Times New Roman;sans-serif"/>
                <w:b w:val="false"/>
                <w:color w:val="000000"/>
                <w:sz w:val="13"/>
              </w:rPr>
              <w:t>2</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Aluminum Extrusions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2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associated with plant shutdowns, asset impairments and restructurings: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Write-down of Richmond, Virginia Technical Center assets</w:t>
            </w:r>
            <w:r>
              <w:rPr>
                <w:rFonts w:ascii="Times New Roman;sans-serif" w:hAnsi="Times New Roman;sans-serif"/>
                <w:b w:val="false"/>
                <w:color w:val="000000"/>
                <w:sz w:val="13"/>
              </w:rPr>
              <w:t>4</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Richmond, Virginia Technical Center closure expenses, including severance</w:t>
            </w:r>
            <w:r>
              <w:rPr>
                <w:rFonts w:ascii="Times New Roman;sans-serif" w:hAnsi="Times New Roman;sans-serif"/>
                <w:b w:val="false"/>
                <w:color w:val="000000"/>
                <w:sz w:val="13"/>
              </w:rPr>
              <w:t>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impairment</w:t>
            </w:r>
            <w:r>
              <w:rPr>
                <w:rFonts w:ascii="Times New Roman;sans-serif" w:hAnsi="Times New Roman;sans-serif"/>
                <w:b w:val="false"/>
                <w:color w:val="000000"/>
                <w:sz w:val="13"/>
              </w:rPr>
              <w:t>4</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PE Films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2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business development activities</w:t>
            </w:r>
            <w:r>
              <w:rPr>
                <w:rFonts w:ascii="Times New Roman;sans-serif" w:hAnsi="Times New Roman;sans-serif"/>
                <w:b w:val="false"/>
                <w:color w:val="000000"/>
                <w:sz w:val="13"/>
              </w:rPr>
              <w:t>1</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Flexible Packaging Films</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2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business development activities</w:t>
            </w:r>
            <w:r>
              <w:rPr>
                <w:rFonts w:ascii="Times New Roman;sans-serif" w:hAnsi="Times New Roman;sans-serif"/>
                <w:b w:val="false"/>
                <w:color w:val="000000"/>
                <w:sz w:val="13"/>
              </w:rPr>
              <w:t>1</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remediation activities related to internal control over financial reporting</w:t>
            </w:r>
            <w:r>
              <w:rPr>
                <w:rFonts w:ascii="Times New Roman;sans-serif" w:hAnsi="Times New Roman;sans-serif"/>
                <w:b w:val="false"/>
                <w:color w:val="000000"/>
                <w:sz w:val="13"/>
              </w:rPr>
              <w:t>1</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the transition to the ABL Facility</w:t>
            </w:r>
            <w:r>
              <w:rPr>
                <w:rFonts w:ascii="Times New Roman;sans-serif" w:hAnsi="Times New Roman;sans-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7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periodic benefit cost for the frozen defined benefit pension plan in process of termination</w:t>
            </w:r>
            <w:r>
              <w:rPr>
                <w:rFonts w:ascii="Times New Roman;sans-serif" w:hAnsi="Times New Roman;sans-serif"/>
                <w:b w:val="false"/>
                <w:color w:val="000000"/>
                <w:sz w:val="13"/>
              </w:rPr>
              <w:t>3</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loss</w:t>
            </w:r>
            <w:r>
              <w:rPr>
                <w:rFonts w:ascii="Times New Roman;sans-serif" w:hAnsi="Times New Roman;sans-serif"/>
                <w:b w:val="false"/>
                <w:color w:val="000000"/>
                <w:sz w:val="13"/>
              </w:rPr>
              <w:t>3</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Corporate</w:t>
            </w:r>
          </w:p>
        </w:tc>
        <w:tc>
          <w:tcPr>
            <w:tcW w:w="3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“Selling, general and administrative expenses” in the condensed consolidated statements of income.</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Included in “Sales” in the condensed consolidated statements of income.</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See Note 4 for additional information.</w:t>
            </w:r>
          </w:p>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4. See Note 1 for additional information.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debt outstanding and interest rates were as follows:</w:t>
      </w:r>
    </w:p>
    <w:tbl>
      <w:tblPr>
        <w:tblW w:w="9566" w:type="dxa"/>
        <w:jc w:val="left"/>
        <w:tblInd w:w="0" w:type="dxa"/>
        <w:tblLayout w:type="fixed"/>
        <w:tblCellMar>
          <w:top w:w="28" w:type="dxa"/>
          <w:left w:w="28" w:type="dxa"/>
          <w:bottom w:w="28" w:type="dxa"/>
          <w:right w:w="28" w:type="dxa"/>
        </w:tblCellMar>
      </w:tblPr>
      <w:tblGrid>
        <w:gridCol w:w="2355"/>
        <w:gridCol w:w="2072"/>
        <w:gridCol w:w="2083"/>
        <w:gridCol w:w="251"/>
        <w:gridCol w:w="734"/>
        <w:gridCol w:w="323"/>
        <w:gridCol w:w="129"/>
        <w:gridCol w:w="129"/>
        <w:gridCol w:w="129"/>
        <w:gridCol w:w="251"/>
        <w:gridCol w:w="734"/>
        <w:gridCol w:w="376"/>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September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Floating-rate debt with interest charged on a rollover basis plus a credit spread:</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outstanding debt balance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First Nine Months of 2024 Compared with the First Nine Months of 2023</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bridge of consolidated net income (loss) from the first nine months of 2023 to the first nine months of 2024 with management's related discussion and analysis below the table. </w:t>
      </w:r>
    </w:p>
    <w:tbl>
      <w:tblPr>
        <w:tblW w:w="8973" w:type="dxa"/>
        <w:jc w:val="left"/>
        <w:tblInd w:w="0" w:type="dxa"/>
        <w:tblLayout w:type="fixed"/>
        <w:tblCellMar>
          <w:top w:w="28" w:type="dxa"/>
          <w:left w:w="28" w:type="dxa"/>
          <w:bottom w:w="28" w:type="dxa"/>
          <w:right w:w="28" w:type="dxa"/>
        </w:tblCellMar>
      </w:tblPr>
      <w:tblGrid>
        <w:gridCol w:w="2704"/>
        <w:gridCol w:w="2382"/>
        <w:gridCol w:w="2399"/>
        <w:gridCol w:w="109"/>
        <w:gridCol w:w="109"/>
        <w:gridCol w:w="109"/>
        <w:gridCol w:w="211"/>
        <w:gridCol w:w="796"/>
        <w:gridCol w:w="154"/>
      </w:tblGrid>
      <w:tr>
        <w:trPr/>
        <w:tc>
          <w:tcPr>
            <w:tcW w:w="2704"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nine months ended September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for the nine months ended September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income (loss) from (increases) decreases in the following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 and costs associated with exit and disposal activities, net of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settlement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for the nine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for the nine months ended September 30, 2024</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in the first nine months of 2024 increased by $12.5 million compared with the first nine months of 2023. Net sales in Aluminum Extrusions decreased $15.3 million, primarily due to lower sales volume and the pass-through of lower metal costs. Net sales in PE Films increased $22.8 million, primarily due to an increase in sales volume in Surface Protection. Net sales in Flexible Packaging Films increased $4.2 million primarily due to higher volume, partially offset by lower selling prices that the Company believes are driven by excess global capacity and strong competition in Brazil, Latin America and the U.S and unfavorable product mix. For more information on net sales and volume, see the Segment Operations Review below.</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(sales minus cost of goods sold and freight) as a percentage of sales (gross profit margin) was 15.5% in the first nine months of 2024 compared to 10.9% in the first nine months of 2023. The gross profit margin in Aluminum Extrusions increased compared to the prior year period primarily due to higher net pricing after the pass-through of metal cost changes and mix, favorable variable manufacturing costs, lower utilities and lower freight rates, partially offset by lower volume, manufacturing inefficiencies and higher labor and employee-related costs. Additionally, the timing of the flow-through under the FIFO method of aluminum raw material costs, which were previously acquired at higher prices in a quickly changing commodity pricing environment and passed through to customers, resulted in a charge of $1.0 million in the first nine months of 2024 versus a charge of $0.8 million in the first nine months of 2023. The gross profit margin in PE Films increased due to a higher Surface Protection contribution margin associated with substantially higher volume, operating efficiencies and manufacturing costs savings, favorable pricing, and lower fixed costs. The gross profit margin in Flexible Packaging Films increased primarily due to lower raw material costs, lower fixed costs, higher sales volume, and favorable product mix, partially offset by lower selling prices from global excess capacity and margin pressures and higher variable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percentage of sales, SG&amp;A and R&amp;D expenses of 11.1% in the first nine months of 2024 remained consistent with the first nine months of 2023.</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nine months of 2023, the Company remeasured the pension plan, which resulted in a pre-tax pension settlement loss in the condensed consolidated results of operation of $25.6 million. The remeasurement of the pension benefit obligation and plan assets was triggered by $64.5 million of lump sum distributions from the pension plan assets which exceeded the pension plan's service and interest cost. See Note 4 for additional information.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of $10.3 million in the first nine months of 2024 increased $2.5 million compared to the first nine months of 2023 due to higher average debt and higher interest rates. See Note 10 for additional information.</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asset impairments and costs associated with exit and disposal activities, net of adjustments is primarily related to closure of the PE Films technical center in Richmond, VA. See Note 1 for more information.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2023, a non-cash partial goodwill impairment of $34.9 million was recognized. See Note 1 for more information.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used to compute income taxes was 30.5% in the first nine months of 2024 compared to 18.8% in the first nine months of 2023. See Note 8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Pre-tax gains and losses associated with plant shutdowns, asset impairments, restructurings and other items for the first nine months of 2024 and 2023 detailed below are shown in the statements of net sales and EBITDA from ongoing operations by segment in Note 9 and are included in “Asset impairments and costs associated with exit and disposal activities, net of adjustments” in the condensed consolidated statements of income, unless otherwise noted.</w:t>
      </w:r>
    </w:p>
    <w:tbl>
      <w:tblPr>
        <w:tblW w:w="10205" w:type="dxa"/>
        <w:jc w:val="left"/>
        <w:tblInd w:w="0" w:type="dxa"/>
        <w:tblLayout w:type="fixed"/>
        <w:tblCellMar>
          <w:top w:w="28" w:type="dxa"/>
          <w:left w:w="28" w:type="dxa"/>
          <w:bottom w:w="28" w:type="dxa"/>
          <w:right w:w="28" w:type="dxa"/>
        </w:tblCellMar>
      </w:tblPr>
      <w:tblGrid>
        <w:gridCol w:w="2898"/>
        <w:gridCol w:w="2421"/>
        <w:gridCol w:w="2411"/>
        <w:gridCol w:w="325"/>
        <w:gridCol w:w="626"/>
        <w:gridCol w:w="168"/>
        <w:gridCol w:w="325"/>
        <w:gridCol w:w="789"/>
        <w:gridCol w:w="242"/>
      </w:tblGrid>
      <w:tr>
        <w:trPr/>
        <w:tc>
          <w:tcPr>
            <w:tcW w:w="2898"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7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7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Aluminum Extrusions:</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associated with plant shutdowns, asset impairments and restructurings: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 severance</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Consulting expenses for ERP/MES project</w:t>
            </w:r>
            <w:r>
              <w:rPr>
                <w:rFonts w:ascii="Times New Roman;sans-serif" w:hAnsi="Times New Roman;sans-serif"/>
                <w:b w:val="false"/>
                <w:color w:val="000000"/>
                <w:sz w:val="13"/>
              </w:rPr>
              <w:t>1</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Storm damage to the Newnan, Georgia plant</w:t>
            </w:r>
            <w:r>
              <w:rPr>
                <w:rFonts w:ascii="Times New Roman;sans-serif" w:hAnsi="Times New Roman;sans-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Legal fees associated with the Aluminum Extruders Trade Case</w:t>
            </w:r>
            <w:r>
              <w:rPr>
                <w:rFonts w:ascii="Times New Roman;sans-serif" w:hAnsi="Times New Roman;sans-serif"/>
                <w:b w:val="false"/>
                <w:color w:val="000000"/>
                <w:sz w:val="13"/>
              </w:rPr>
              <w:t>1</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Resolution of customer quality complaint</w:t>
            </w:r>
            <w:r>
              <w:rPr>
                <w:rFonts w:ascii="Times New Roman;sans-serif" w:hAnsi="Times New Roman;sans-serif"/>
                <w:b w:val="false"/>
                <w:color w:val="000000"/>
                <w:sz w:val="13"/>
              </w:rPr>
              <w:t>5</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Aluminum Extrusions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 Films:</w:t>
            </w:r>
          </w:p>
        </w:tc>
        <w:tc>
          <w:tcPr>
            <w:tcW w:w="11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associated with plant shutdowns, asset impairments and restructurings: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Write-down of Richmond, Virginia Technical Center assets</w:t>
            </w:r>
            <w:r>
              <w:rPr>
                <w:rFonts w:ascii="Times New Roman;sans-serif" w:hAnsi="Times New Roman;sans-serif"/>
                <w:b w:val="false"/>
                <w:color w:val="000000"/>
                <w:sz w:val="13"/>
              </w:rPr>
              <w:t>4</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Richmond, Virginia Technical Center closure expenses, including severance</w:t>
            </w:r>
            <w:r>
              <w:rPr>
                <w:rFonts w:ascii="Times New Roman;sans-serif" w:hAnsi="Times New Roman;sans-serif"/>
                <w:b w:val="false"/>
                <w:color w:val="000000"/>
                <w:sz w:val="13"/>
              </w:rPr>
              <w:t>4</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Richmond, Virginia Technical Center lease abandonment</w:t>
            </w:r>
            <w:r>
              <w:rPr>
                <w:rFonts w:ascii="Times New Roman;sans-serif" w:hAnsi="Times New Roman;sans-serif"/>
                <w:b w:val="false"/>
                <w:color w:val="000000"/>
                <w:sz w:val="13"/>
              </w:rPr>
              <w:t>4</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Goodwill impairment</w:t>
            </w:r>
            <w:r>
              <w:rPr>
                <w:rFonts w:ascii="Times New Roman;sans-serif" w:hAnsi="Times New Roman;sans-serif"/>
                <w:b w:val="false"/>
                <w:color w:val="000000"/>
                <w:sz w:val="13"/>
              </w:rPr>
              <w:t>4</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PE Films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Flexible Packaging Films:</w:t>
            </w:r>
          </w:p>
        </w:tc>
        <w:tc>
          <w:tcPr>
            <w:tcW w:w="111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associated with plant shutdowns, asset impairments and restructurings: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 severance</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business development activities</w:t>
            </w:r>
            <w:r>
              <w:rPr>
                <w:rFonts w:ascii="Times New Roman;sans-serif" w:hAnsi="Times New Roman;sans-serif"/>
                <w:b w:val="false"/>
                <w:color w:val="000000"/>
                <w:sz w:val="13"/>
              </w:rPr>
              <w:t>1</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Flexible Packaging Films</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1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from sale of assets, investment writedowns and other items: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business development activities</w:t>
            </w:r>
            <w:r>
              <w:rPr>
                <w:rFonts w:ascii="Times New Roman;sans-serif" w:hAnsi="Times New Roman;sans-serif"/>
                <w:b w:val="false"/>
                <w:color w:val="000000"/>
                <w:sz w:val="13"/>
              </w:rPr>
              <w:t>1</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remediation activities related to internal control over financial reporting</w:t>
            </w:r>
            <w:r>
              <w:rPr>
                <w:rFonts w:ascii="Times New Roman;sans-serif" w:hAnsi="Times New Roman;sans-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Professional fees associated with the transition to the ABL Facility</w:t>
            </w:r>
            <w:r>
              <w:rPr>
                <w:rFonts w:ascii="Times New Roman;sans-serif" w:hAnsi="Times New Roman;sans-serif"/>
                <w:b w:val="false"/>
                <w:color w:val="000000"/>
                <w:sz w:val="13"/>
              </w:rPr>
              <w:t>1</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Group annuity contract premium expense adjustment</w:t>
            </w:r>
            <w:r>
              <w:rPr>
                <w:rFonts w:ascii="Times New Roman;sans-serif" w:hAnsi="Times New Roman;sans-serif"/>
                <w:b w:val="false"/>
                <w:color w:val="000000"/>
                <w:sz w:val="13"/>
              </w:rPr>
              <w:t>2</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Write-down of investment in Harbinger Capital Partners Special Situations Fund</w:t>
            </w:r>
            <w:r>
              <w:rPr>
                <w:rFonts w:ascii="Times New Roman;sans-serif" w:hAnsi="Times New Roman;sans-serif"/>
                <w:b w:val="false"/>
                <w:color w:val="000000"/>
                <w:sz w:val="13"/>
              </w:rPr>
              <w:t>2</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Stock-based compensation expense associated with the fair value remeasurement of awards granted at the time of the 2020 special dividend</w:t>
            </w:r>
            <w:r>
              <w:rPr>
                <w:rFonts w:ascii="Times New Roman;sans-serif" w:hAnsi="Times New Roman;sans-serif"/>
                <w:b w:val="false"/>
                <w:color w:val="000000"/>
                <w:sz w:val="13"/>
              </w:rPr>
              <w:t>1</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periodic benefit cost for the frozen defined benefit pension plan in process of termination</w:t>
            </w:r>
            <w:r>
              <w:rPr>
                <w:rFonts w:ascii="Times New Roman;sans-serif" w:hAnsi="Times New Roman;sans-serif"/>
                <w:b w:val="false"/>
                <w:color w:val="000000"/>
                <w:sz w:val="13"/>
              </w:rPr>
              <w:t>3</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Pension settlement loss</w:t>
            </w:r>
            <w:r>
              <w:rPr>
                <w:rFonts w:ascii="Times New Roman;sans-serif" w:hAnsi="Times New Roman;sans-serif"/>
                <w:b w:val="false"/>
                <w:color w:val="000000"/>
                <w:sz w:val="13"/>
              </w:rPr>
              <w:t>3</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Corporate</w:t>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“Selling, general and administrative expenses” in the condensed consolidated statements of income.</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Included in “Other income (expense), net” in the condensed consolidated statements of income.</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See Note 4 for additional information.</w:t>
            </w:r>
          </w:p>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4. See Note 1 for additional information.</w:t>
            </w:r>
          </w:p>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5. Included in “Sales” in the condensed consolidated statements of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debt outstanding and interest rates were as follows:</w:t>
      </w:r>
    </w:p>
    <w:tbl>
      <w:tblPr>
        <w:tblW w:w="9492" w:type="dxa"/>
        <w:jc w:val="left"/>
        <w:tblInd w:w="0" w:type="dxa"/>
        <w:tblLayout w:type="fixed"/>
        <w:tblCellMar>
          <w:top w:w="28" w:type="dxa"/>
          <w:left w:w="28" w:type="dxa"/>
          <w:bottom w:w="28" w:type="dxa"/>
          <w:right w:w="28" w:type="dxa"/>
        </w:tblCellMar>
      </w:tblPr>
      <w:tblGrid>
        <w:gridCol w:w="2355"/>
        <w:gridCol w:w="2072"/>
        <w:gridCol w:w="2083"/>
        <w:gridCol w:w="245"/>
        <w:gridCol w:w="716"/>
        <w:gridCol w:w="315"/>
        <w:gridCol w:w="126"/>
        <w:gridCol w:w="126"/>
        <w:gridCol w:w="126"/>
        <w:gridCol w:w="245"/>
        <w:gridCol w:w="716"/>
        <w:gridCol w:w="367"/>
      </w:tblGrid>
      <w:tr>
        <w:trPr/>
        <w:tc>
          <w:tcPr>
            <w:tcW w:w="235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 September 30,</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6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Floating-rate debt with interest charged on a rollover basis plus a credit spread:</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outstanding debt balance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Segment Operations Review</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Aluminum Extrusions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results for Aluminum Extrusions is provided below: </w:t>
      </w:r>
    </w:p>
    <w:tbl>
      <w:tblPr>
        <w:tblW w:w="10205" w:type="dxa"/>
        <w:jc w:val="left"/>
        <w:tblInd w:w="0" w:type="dxa"/>
        <w:tblLayout w:type="fixed"/>
        <w:tblCellMar>
          <w:top w:w="28" w:type="dxa"/>
          <w:left w:w="28" w:type="dxa"/>
          <w:bottom w:w="28" w:type="dxa"/>
          <w:right w:w="28" w:type="dxa"/>
        </w:tblCellMar>
      </w:tblPr>
      <w:tblGrid>
        <w:gridCol w:w="693"/>
        <w:gridCol w:w="391"/>
        <w:gridCol w:w="394"/>
        <w:gridCol w:w="211"/>
        <w:gridCol w:w="826"/>
        <w:gridCol w:w="109"/>
        <w:gridCol w:w="109"/>
        <w:gridCol w:w="109"/>
        <w:gridCol w:w="109"/>
        <w:gridCol w:w="211"/>
        <w:gridCol w:w="826"/>
        <w:gridCol w:w="109"/>
        <w:gridCol w:w="109"/>
        <w:gridCol w:w="109"/>
        <w:gridCol w:w="109"/>
        <w:gridCol w:w="410"/>
        <w:gridCol w:w="410"/>
        <w:gridCol w:w="411"/>
        <w:gridCol w:w="109"/>
        <w:gridCol w:w="109"/>
        <w:gridCol w:w="109"/>
        <w:gridCol w:w="211"/>
        <w:gridCol w:w="826"/>
        <w:gridCol w:w="109"/>
        <w:gridCol w:w="109"/>
        <w:gridCol w:w="109"/>
        <w:gridCol w:w="109"/>
        <w:gridCol w:w="211"/>
        <w:gridCol w:w="826"/>
        <w:gridCol w:w="109"/>
        <w:gridCol w:w="109"/>
        <w:gridCol w:w="109"/>
        <w:gridCol w:w="109"/>
        <w:gridCol w:w="373"/>
        <w:gridCol w:w="373"/>
        <w:gridCol w:w="531"/>
      </w:tblGrid>
      <w:tr>
        <w:trPr/>
        <w:tc>
          <w:tcPr>
            <w:tcW w:w="6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c>
          <w:tcPr>
            <w:tcW w:w="327" w:type="dxa"/>
            <w:gridSpan w:val="3"/>
            <w:vMerge w:val="restart"/>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r>
      <w:tr>
        <w:trPr/>
        <w:tc>
          <w:tcPr>
            <w:tcW w:w="1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000000"/>
            </w:tcBorders>
            <w:tcMar>
              <w:left w:w="0" w:type="dxa"/>
              <w:bottom w:w="0" w:type="dxa"/>
              <w:right w:w="0" w:type="dxa"/>
            </w:tcMar>
            <w:vAlign w:val="center"/>
          </w:tcPr>
          <w:p>
            <w:pPr>
              <w:pStyle w:val="Normal"/>
              <w:bidi w:val="0"/>
              <w:jc w:val="left"/>
              <w:rPr/>
            </w:pPr>
            <w:r>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478"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000000"/>
            </w:tcBorders>
            <w:tcMar>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op w:val="single" w:sz="12" w:space="0" w:color="000000"/>
            </w:tcBorders>
            <w:tcMar>
              <w:top w:w="30" w:type="dxa"/>
              <w:left w:w="0" w:type="dxa"/>
              <w:bottom w:w="0" w:type="dxa"/>
              <w:right w:w="0" w:type="dxa"/>
            </w:tcMar>
            <w:vAlign w:val="center"/>
          </w:tcPr>
          <w:p>
            <w:pPr>
              <w:pStyle w:val="Normal"/>
              <w:bidi w:val="0"/>
              <w:jc w:val="left"/>
              <w:rPr/>
            </w:pPr>
            <w:r>
              <w:rPr/>
            </w:r>
          </w:p>
        </w:tc>
      </w:tr>
      <w:tr>
        <w:trPr/>
        <w:tc>
          <w:tcPr>
            <w:tcW w:w="1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volume (lbs)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147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1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4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47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09"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4,489 </w:t>
            </w:r>
          </w:p>
        </w:tc>
        <w:tc>
          <w:tcPr>
            <w:tcW w:w="109"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09"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17,862 </w:t>
            </w:r>
          </w:p>
        </w:tc>
        <w:tc>
          <w:tcPr>
            <w:tcW w:w="109" w:type="dxa"/>
            <w:tcBorders>
              <w:top w:val="single" w:sz="12"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12"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the table in Note 9 for a reconciliation of this non-GAAP measure to the most comparable measure calculated in accordance with GAAP.</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 ("NM")</w:t>
            </w:r>
          </w:p>
        </w:tc>
      </w:tr>
    </w:tbl>
    <w:p>
      <w:pPr>
        <w:pStyle w:val="TextBody"/>
        <w:bidi w:val="0"/>
        <w:spacing w:lineRule="auto" w:line="288" w:before="10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Third Quarter 2024 Results vs. Third Quarter 2023 Results</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(sales less freight) in the third quarter of 2024 increased 5.8% versus the third quarter of 2023 primarily due to higher sales volume and the pass-through of higher metal costs, partially offset by lower pricing associated with a shift in mix. Sales volume in the third quarter of 2024 increased 6.5% versus the third quarter of 2023 but decreased 0.9% versus the second quarter 2024.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Net new orders, which remain low compared to pre-pandemic levels, increased 27.3% in the third quarter of 2024 versus the third quarter of 2023 and increased 7% versus the second quarter of 2024. Since January 2021, net new orders for the Company's aluminum extruded products have generally tracked the ISM</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Manufacturing PMI</w:t>
      </w:r>
      <w:r>
        <w:rPr>
          <w:rFonts w:ascii="Times New Roman;sans-serif" w:hAnsi="Times New Roman;sans-serif"/>
          <w:b w:val="false"/>
          <w:color w:val="000000"/>
          <w:sz w:val="13"/>
        </w:rPr>
        <w:t>®</w:t>
      </w:r>
      <w:r>
        <w:rPr>
          <w:rFonts w:ascii="Times New Roman;sans-serif" w:hAnsi="Times New Roman;sans-serif"/>
          <w:b w:val="false"/>
          <w:color w:val="000000"/>
          <w:sz w:val="20"/>
        </w:rPr>
        <w:t>. In addition, the Architecture Billings Index (ABI), a key leading indicator for non-residential B&amp;C, has demonstrated a decline in billings (i.e., an index below 50) for the last 20 months ended September 2024. The Company believes that net new orders continue to be below pre-pandemic levels due to higher interest rates, tighter lender requirements and the increase in remote working, which particularly impacts the non-residential B&amp;C end-use market. In addition, data indicates that aluminum extrusion imports have increased significantly in recent years, especially during the pandemic, and some of Bonnell Aluminum’s customers have increased their sourcing of aluminum extrusions from producers outside of the U.S.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Open orders at the end of the third quarter of 2024 were 15.5 million pounds (versus 14 million pounds at the end of the second quarter of 2024 and 17 million pounds at the end of the third quarter of 2023). This level is below the quarterly range of 21 to 27 million pounds in 2019 before pandemic-related disruptions (particularly starting in early 2021 with the re-opening of markets following the rollout of vaccines) that resulted in long lead times, driving a peak in open orders of approximately 100 million pounds during the first quarter of 2022.</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 of a coalition of members of the Aluminum Extruders Council that filed a trade case with the U.S. Department of Commerce (“USDOC”) and the U.S. International Trade Commission (“USITC”) against 15 countries in response to alleged large and increasing volumes of unfairly priced imports of aluminum extrusions since 2019. In November 2023, the USITC found that there is a reasonable indication that the American aluminum extrusions industry is materially injured or threatened with injury due to imports from 14 countries, including China. On September 27, 2024, the USDOC announced its final determinations that aluminum extrusion producers and exporters in 14 countries, including China, sold aluminum extrusions at less-than-fair value in the U.S. The final USITC vote on October 30, 2024, indicated that it believes that the industry was not materially injured by reason of the subject imports, despite the USDOC determinations of pricing below fair value and receiving unfair subsidies. The coalition is evaluating next steps for challenging the decision.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EBITDA from ongoing operations in the third quarter of 2024 increased $1.1 million versus the third quarter of 2023 primarily due to:</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Higher volume ($1.8 million), favorable variable manufacturing costs ($1.7 million), lower labor-related costs ($0.1 million) and lower freight rates ($0.2 million), partially offset by unfavorable net pricing after the pass-through of metal cost and changes associated with a shift in mix ($1.1 million), manufacturing inefficiencies ($0.8 million), higher maintenance expense ($0.4 million) and higher SG&amp;A expenses, including other employee-related compensation ($0.8 million);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timing of the flow-through under the FIFO method of aluminum raw material costs, which were previously acquired at higher prices in a quickly changing commodity pricing environment and passed through to customers, resulted in a charge of $1.0 million in the third quarter of 2024 versus a charge of $1.2 million in the third quarter of 2023.</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First Nine Months of 2024 Results vs. First Nine Months of 2023 Results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in the first nine months of 2024 decreased 4.2% versus the first nine months of 2023 primarily due to lower sales volume and the pass-through of lower metal costs. Sales volume in the first nine months of 2024 decreased 2.1% versus the first nine months of 2023.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EBITDA from ongoing operations in the first nine months of 2024 increased $1.7 million in comparison to the first nine months of 2023 primarily due to:</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Higher net pricing after the pass-through of metal cost changes and mix ($2.0 million), favorable variable manufacturing costs ($3.7 million), lower utilities ($0.2 million) and lower freight rates ($0.9 million), partially offset by lower volume ($1.6 million), manufacturing inefficiencies ($0.8 million), higher labor and employee-related costs ($0.1 million), and higher SG&amp;A, including other employee-related compensation ($2.4 million); and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The timing of the flow-through under the FIFO method of aluminum raw material costs, which were previously acquired at higher prices in a quickly changing commodity pricing environment and passed through to customers, resulted in a charge of $1.0 million in the first nine months of 2024 versus a charge of $0.8 million in the first nine months of 2023.</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R</w:t>
      </w:r>
      <w:r>
        <w:rPr>
          <w:rFonts w:ascii="Times New Roman;sans-serif" w:hAnsi="Times New Roman;sans-serif"/>
          <w:b w:val="false"/>
          <w:color w:val="000000"/>
          <w:sz w:val="20"/>
          <w:shd w:fill="FFFFFF" w:val="clear"/>
        </w:rPr>
        <w:t xml:space="preserve">efer to Item 3. </w:t>
      </w:r>
      <w:r>
        <w:rPr>
          <w:rFonts w:ascii="Times New Roman;sans-serif" w:hAnsi="Times New Roman;sans-serif"/>
          <w:b w:val="false"/>
          <w:i/>
          <w:color w:val="000000"/>
          <w:sz w:val="20"/>
          <w:shd w:fill="FFFFFF" w:val="clear"/>
        </w:rPr>
        <w:t>Q</w:t>
      </w:r>
      <w:r>
        <w:rPr>
          <w:rFonts w:ascii="Times New Roman;sans-serif" w:hAnsi="Times New Roman;sans-serif"/>
          <w:b w:val="false"/>
          <w:i/>
          <w:color w:val="000000"/>
          <w:sz w:val="20"/>
        </w:rPr>
        <w:t>uantitative and Qualitative Disclosures About Market Risk</w:t>
      </w:r>
      <w:r>
        <w:rPr>
          <w:color w:val="000000"/>
        </w:rPr>
        <w:t xml:space="preserve"> </w:t>
      </w:r>
      <w:r>
        <w:rPr>
          <w:rFonts w:ascii="Times New Roman;sans-serif" w:hAnsi="Times New Roman;sans-serif"/>
          <w:b w:val="false"/>
          <w:color w:val="000000"/>
          <w:sz w:val="20"/>
        </w:rPr>
        <w:t>in this Form 10-Q f</w:t>
      </w:r>
      <w:r>
        <w:rPr>
          <w:rFonts w:ascii="Times New Roman;sans-serif" w:hAnsi="Times New Roman;sans-serif"/>
          <w:b w:val="false"/>
          <w:color w:val="000000"/>
          <w:sz w:val="20"/>
          <w:shd w:fill="FFFFFF" w:val="clear"/>
        </w:rPr>
        <w:t xml:space="preserve">or additional information on aluminum prices. </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Bonnell Aluminum are projected to be $8 million in 2024, including $4 million for productivity projects and $4 million for capital expenditures required to support continuity of operations. The projected spending reflects stringent spending measures that the Company has implemented to control its financial leverage (See "Liquidity and Capital Resources" section below for more information). The multi-year implementation of new enterprise resource planning and manufacturing execution systems ("ERP/MES") has been reorganized with the timing for the go-live date being uncertain. The ERP/MES project commenced in 2022, with spending to-date of approximately $21 million. Depreciation expense is projected to be $16 million in 2024. Amortization expense is projected to be $2 million in 2024.</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PE Films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results for PE Films is provided below:</w:t>
      </w:r>
    </w:p>
    <w:tbl>
      <w:tblPr>
        <w:tblW w:w="10205" w:type="dxa"/>
        <w:jc w:val="left"/>
        <w:tblInd w:w="0" w:type="dxa"/>
        <w:tblLayout w:type="fixed"/>
        <w:tblCellMar>
          <w:top w:w="28" w:type="dxa"/>
          <w:left w:w="28" w:type="dxa"/>
          <w:bottom w:w="28" w:type="dxa"/>
          <w:right w:w="28" w:type="dxa"/>
        </w:tblCellMar>
      </w:tblPr>
      <w:tblGrid>
        <w:gridCol w:w="782"/>
        <w:gridCol w:w="517"/>
        <w:gridCol w:w="520"/>
        <w:gridCol w:w="212"/>
        <w:gridCol w:w="728"/>
        <w:gridCol w:w="109"/>
        <w:gridCol w:w="109"/>
        <w:gridCol w:w="109"/>
        <w:gridCol w:w="109"/>
        <w:gridCol w:w="212"/>
        <w:gridCol w:w="728"/>
        <w:gridCol w:w="109"/>
        <w:gridCol w:w="109"/>
        <w:gridCol w:w="109"/>
        <w:gridCol w:w="109"/>
        <w:gridCol w:w="414"/>
        <w:gridCol w:w="414"/>
        <w:gridCol w:w="415"/>
        <w:gridCol w:w="109"/>
        <w:gridCol w:w="109"/>
        <w:gridCol w:w="109"/>
        <w:gridCol w:w="212"/>
        <w:gridCol w:w="728"/>
        <w:gridCol w:w="109"/>
        <w:gridCol w:w="109"/>
        <w:gridCol w:w="109"/>
        <w:gridCol w:w="109"/>
        <w:gridCol w:w="212"/>
        <w:gridCol w:w="728"/>
        <w:gridCol w:w="109"/>
        <w:gridCol w:w="109"/>
        <w:gridCol w:w="109"/>
        <w:gridCol w:w="109"/>
        <w:gridCol w:w="376"/>
        <w:gridCol w:w="376"/>
        <w:gridCol w:w="560"/>
      </w:tblGrid>
      <w:tr>
        <w:trPr/>
        <w:tc>
          <w:tcPr>
            <w:tcW w:w="78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r>
      <w:tr>
        <w:trPr/>
        <w:tc>
          <w:tcPr>
            <w:tcW w:w="1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819"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volume (lbs)</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40.6%</w:t>
            </w:r>
          </w:p>
        </w:tc>
      </w:tr>
      <w:tr>
        <w:trPr/>
        <w:tc>
          <w:tcPr>
            <w:tcW w:w="18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c>
      </w:tr>
      <w:tr>
        <w:trPr/>
        <w:tc>
          <w:tcPr>
            <w:tcW w:w="1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See the table in Note 9 for a reconciliation of this non-GAAP measure to the most comparable measure calculated in accordance with GAAP.</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 ("NM")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Third Quarter 2024 Results vs. Third Quarter 2023 Results</w:t>
      </w:r>
    </w:p>
    <w:p>
      <w:pPr>
        <w:pStyle w:val="TextBody"/>
        <w:bidi w:val="0"/>
        <w:spacing w:lineRule="auto" w:line="268" w:before="100" w:after="283"/>
        <w:ind w:left="0" w:right="0" w:firstLine="450"/>
        <w:jc w:val="left"/>
        <w:rPr/>
      </w:pPr>
      <w:r>
        <w:rPr>
          <w:rFonts w:ascii="Times New Roman;sans-serif" w:hAnsi="Times New Roman;sans-serif"/>
          <w:b w:val="false"/>
          <w:color w:val="000000"/>
          <w:sz w:val="20"/>
        </w:rPr>
        <w:t>Net sales</w:t>
      </w:r>
      <w:r>
        <w:rPr>
          <w:color w:val="000000"/>
          <w:shd w:fill="FFFFFF" w:val="clear"/>
        </w:rPr>
        <w:t xml:space="preserve"> </w:t>
      </w:r>
      <w:r>
        <w:rPr>
          <w:rFonts w:ascii="Times New Roman;sans-serif" w:hAnsi="Times New Roman;sans-serif"/>
          <w:b w:val="false"/>
          <w:color w:val="000000"/>
          <w:sz w:val="20"/>
          <w:shd w:fill="FFFFFF" w:val="clear"/>
        </w:rPr>
        <w:t>in the third</w:t>
      </w:r>
      <w:r>
        <w:rPr>
          <w:color w:val="000000"/>
        </w:rPr>
        <w:t xml:space="preserve"> </w:t>
      </w:r>
      <w:r>
        <w:rPr>
          <w:rFonts w:ascii="Times New Roman;sans-serif" w:hAnsi="Times New Roman;sans-serif"/>
          <w:b w:val="false"/>
          <w:color w:val="000000"/>
          <w:sz w:val="20"/>
        </w:rPr>
        <w:t xml:space="preserve">quarter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2024 were 24.8% higher c</w:t>
      </w:r>
      <w:r>
        <w:rPr>
          <w:rFonts w:ascii="Times New Roman;sans-serif" w:hAnsi="Times New Roman;sans-serif"/>
          <w:b w:val="false"/>
          <w:color w:val="000000"/>
          <w:sz w:val="20"/>
          <w:shd w:fill="FFFFFF" w:val="clear"/>
        </w:rPr>
        <w:t>ompared to the third</w:t>
      </w:r>
      <w:r>
        <w:rPr>
          <w:color w:val="000000"/>
        </w:rPr>
        <w:t xml:space="preserve"> </w:t>
      </w:r>
      <w:r>
        <w:rPr>
          <w:rFonts w:ascii="Times New Roman;sans-serif" w:hAnsi="Times New Roman;sans-serif"/>
          <w:b w:val="false"/>
          <w:color w:val="000000"/>
          <w:sz w:val="20"/>
        </w:rPr>
        <w:t xml:space="preserve">quarter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 xml:space="preserve">2023, </w:t>
      </w:r>
      <w:r>
        <w:rPr>
          <w:rFonts w:ascii="Times New Roman;sans-serif" w:hAnsi="Times New Roman;sans-serif"/>
          <w:b w:val="false"/>
          <w:color w:val="000000"/>
          <w:sz w:val="20"/>
          <w:shd w:fill="FFFFFF" w:val="clear"/>
        </w:rPr>
        <w:t>with volu</w:t>
      </w:r>
      <w:r>
        <w:rPr>
          <w:rFonts w:ascii="Times New Roman;sans-serif" w:hAnsi="Times New Roman;sans-serif"/>
          <w:b w:val="false"/>
          <w:color w:val="000000"/>
          <w:sz w:val="20"/>
        </w:rPr>
        <w:t xml:space="preserve">me increases in Surface Protection and overwrap films. Surface Protection sales volume in the third quarter of 2024 increased 37.5% versus the third quarter of 2023 and declined 16.5% versus the second quarter of 2024. Surface Protection sales volume began to moderate during the third quarter of 2024, following extremely high sales volume in the second quarter associated with the restocking of Surface Protection customer inventories.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from ongoing operations in the third quarter of 2024 increased $1.8 million versus the third quarter of 2023, primarily due to: </w:t>
      </w:r>
    </w:p>
    <w:p>
      <w:pPr>
        <w:pStyle w:val="TextBody"/>
        <w:bidi w:val="0"/>
        <w:spacing w:lineRule="auto" w:line="288" w:before="100" w:after="283"/>
        <w:ind w:left="0" w:right="0" w:hanging="270"/>
        <w:jc w:val="left"/>
        <w:rPr/>
      </w:pPr>
      <w:r>
        <w:rPr>
          <w:color w:val="000000"/>
          <w:shd w:fill="FFFFFF" w:val="clear"/>
        </w:rPr>
        <w:t>•</w:t>
      </w:r>
      <w:r>
        <w:rPr>
          <w:rFonts w:ascii="Times New Roman;sans-serif" w:hAnsi="Times New Roman;sans-serif"/>
          <w:b w:val="false"/>
          <w:color w:val="000000"/>
          <w:sz w:val="20"/>
        </w:rPr>
        <w:t>A $2.4 million increase in Surface Protection primarily due to higher contribution margin associated with higher volume ($2.0 million) and manufacturing costs savings ($1.1 million), partially offset by unfavorable pricing ($0.2 million) and higher SG&amp;A ($0.1 million);</w:t>
      </w:r>
    </w:p>
    <w:p>
      <w:pPr>
        <w:pStyle w:val="TextBody"/>
        <w:bidi w:val="0"/>
        <w:spacing w:lineRule="auto" w:line="288" w:before="100" w:after="283"/>
        <w:ind w:left="0" w:right="0" w:hanging="270"/>
        <w:jc w:val="left"/>
        <w:rPr/>
      </w:pPr>
      <w:r>
        <w:rPr>
          <w:color w:val="000000"/>
          <w:shd w:fill="FFFFFF" w:val="clear"/>
        </w:rPr>
        <w:t>•</w:t>
      </w:r>
      <w:r>
        <w:rPr>
          <w:rFonts w:ascii="Times New Roman;sans-serif" w:hAnsi="Times New Roman;sans-serif"/>
          <w:b w:val="false"/>
          <w:color w:val="000000"/>
          <w:sz w:val="20"/>
        </w:rPr>
        <w:t>A foreign currency transaction loss of $0.2 million in the third quarter of 2024 versus no gain or loss in the third quarter of 2023;</w:t>
      </w:r>
    </w:p>
    <w:p>
      <w:pPr>
        <w:pStyle w:val="TextBody"/>
        <w:bidi w:val="0"/>
        <w:spacing w:lineRule="auto" w:line="288" w:before="100" w:after="283"/>
        <w:ind w:left="0" w:right="0" w:hanging="270"/>
        <w:jc w:val="left"/>
        <w:rPr/>
      </w:pPr>
      <w:r>
        <w:rPr>
          <w:color w:val="000000"/>
          <w:shd w:fill="FFFFFF" w:val="clear"/>
        </w:rPr>
        <w:t>•</w:t>
      </w:r>
      <w:r>
        <w:rPr>
          <w:rFonts w:ascii="Times New Roman;sans-serif" w:hAnsi="Times New Roman;sans-serif"/>
          <w:b w:val="false"/>
          <w:color w:val="000000"/>
          <w:sz w:val="20"/>
        </w:rPr>
        <w:t>The pass-through lag associated with resin costs (a charge of $0.2 million in the third quarter of 2024 versus a benefit of $0.1 million in the third quarter of 2023); and</w:t>
      </w:r>
    </w:p>
    <w:p>
      <w:pPr>
        <w:pStyle w:val="TextBody"/>
        <w:bidi w:val="0"/>
        <w:spacing w:lineRule="auto" w:line="288" w:before="100" w:after="283"/>
        <w:ind w:left="0" w:right="0" w:hanging="270"/>
        <w:jc w:val="left"/>
        <w:rPr/>
      </w:pPr>
      <w:r>
        <w:rPr>
          <w:color w:val="000000"/>
          <w:shd w:fill="FFFFFF" w:val="clear"/>
        </w:rPr>
        <w:t>•</w:t>
      </w:r>
      <w:r>
        <w:rPr>
          <w:rFonts w:ascii="Times New Roman;sans-serif" w:hAnsi="Times New Roman;sans-serif"/>
          <w:b w:val="false"/>
          <w:color w:val="000000"/>
          <w:sz w:val="20"/>
        </w:rPr>
        <w:t xml:space="preserve">A $0.6 million decrease in overwrap films, primarily due to pricing and mix.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There have been significant cyclical swings in the sales volume and EBITDA from ongoing operations for PE Films in the past 2.5 years, largely due to the unprecedented downturn in the display industry during the second half of 2022 and first half of 2023. EBITDA from ongoing operations for the first half of 2024, the second and first halves of 2023 and the second and first halves of 2022 were $17.0 million, $8.6 million, $2.7 million, $(2.2) million and $14.1 million, respectively, which averages approximately $4 million per quarter.</w:t>
      </w:r>
      <w:r>
        <w:rPr>
          <w:color w:val="000000"/>
          <w:shd w:fill="FFFFFF" w:val="clear"/>
        </w:rPr>
        <w:t xml:space="preserve"> </w:t>
      </w:r>
    </w:p>
    <w:p>
      <w:pPr>
        <w:pStyle w:val="TextBody"/>
        <w:bidi w:val="0"/>
        <w:spacing w:lineRule="auto" w:line="26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First Nine Months of 2024 Results vs. First Nine Months of 2023 Results</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in the first nine months of 2024 increased 40.6% compared to the first nine months of 2023 primarily due to an increase in sales volume in Surface Protection, as a result of factors noted above. Sales volume increased 62.3% in Surface Protection in the first nine months of 2024 versus the first nine months of 2023. </w:t>
      </w:r>
    </w:p>
    <w:p>
      <w:pPr>
        <w:pStyle w:val="TextBody"/>
        <w:bidi w:val="0"/>
        <w:spacing w:lineRule="auto" w:line="26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EBITDA from ongoing operations in the first nine months of 2024 increased $16.2 million versus the first nine months of 2023, primarily due to:</w:t>
      </w:r>
    </w:p>
    <w:p>
      <w:pPr>
        <w:pStyle w:val="TextBody"/>
        <w:bidi w:val="0"/>
        <w:spacing w:lineRule="auto" w:line="268" w:before="100" w:after="283"/>
        <w:ind w:left="0" w:right="0" w:hanging="270"/>
        <w:jc w:val="left"/>
        <w:rPr/>
      </w:pPr>
      <w:r>
        <w:rPr>
          <w:color w:val="000000"/>
        </w:rPr>
        <w:t>•</w:t>
      </w:r>
      <w:r>
        <w:rPr>
          <w:rFonts w:ascii="Times New Roman;sans-serif" w:hAnsi="Times New Roman;sans-serif"/>
          <w:b w:val="false"/>
          <w:color w:val="000000"/>
          <w:sz w:val="20"/>
        </w:rPr>
        <w:t>A $16.0 million increase in Surface Protection primarily due to higher contribution margin associated with substantially higher volume ($9.4 million), operating efficiencies and manufacturing costs savings ($5.9 million), favorable pricing ($0.3 million), lower fixed costs ($0.2 million) and lower SG&amp;A, including lower costs associated with the closure of the Richmond Technical Center in 2023 ($1.2 million);</w:t>
      </w:r>
    </w:p>
    <w:p>
      <w:pPr>
        <w:pStyle w:val="TextBody"/>
        <w:bidi w:val="0"/>
        <w:spacing w:lineRule="auto" w:line="268" w:before="100" w:after="283"/>
        <w:ind w:left="0" w:right="0" w:hanging="270"/>
        <w:jc w:val="left"/>
        <w:rPr/>
      </w:pPr>
      <w:r>
        <w:rPr>
          <w:color w:val="000000"/>
        </w:rPr>
        <w:t>•</w:t>
      </w:r>
      <w:r>
        <w:rPr>
          <w:rFonts w:ascii="Times New Roman;sans-serif" w:hAnsi="Times New Roman;sans-serif"/>
          <w:b w:val="false"/>
          <w:color w:val="000000"/>
          <w:sz w:val="20"/>
        </w:rPr>
        <w:t>A foreign currency transaction loss of $0.1 million in the first nine months of 2024 versus a gain of $0.3 million in the first nine months of 2023;</w:t>
      </w:r>
    </w:p>
    <w:p>
      <w:pPr>
        <w:pStyle w:val="TextBody"/>
        <w:bidi w:val="0"/>
        <w:spacing w:lineRule="auto" w:line="268" w:before="100" w:after="283"/>
        <w:ind w:left="0" w:right="0" w:hanging="270"/>
        <w:jc w:val="left"/>
        <w:rPr/>
      </w:pPr>
      <w:r>
        <w:rPr>
          <w:color w:val="000000"/>
        </w:rPr>
        <w:t>•</w:t>
      </w:r>
      <w:r>
        <w:rPr>
          <w:rFonts w:ascii="Times New Roman;sans-serif" w:hAnsi="Times New Roman;sans-serif"/>
          <w:b w:val="false"/>
          <w:color w:val="000000"/>
          <w:sz w:val="20"/>
        </w:rPr>
        <w:t>The pass-through lag associated with resin costs (a charge of $0.7 million in the first nine months of 2024 versus a charge of $0.1 million in the first nine months of 2023); and</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A $0.2 million increase from overwrap films, primarily due to cost improvements ($1.0 million), partially offset by a shift in mix ($0.8 million).</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R</w:t>
      </w:r>
      <w:r>
        <w:rPr>
          <w:rFonts w:ascii="Times New Roman;sans-serif" w:hAnsi="Times New Roman;sans-serif"/>
          <w:b w:val="false"/>
          <w:color w:val="000000"/>
          <w:sz w:val="20"/>
          <w:shd w:fill="FFFFFF" w:val="clear"/>
        </w:rPr>
        <w:t xml:space="preserve">efer to Item 3. </w:t>
      </w:r>
      <w:r>
        <w:rPr>
          <w:rFonts w:ascii="Times New Roman;sans-serif" w:hAnsi="Times New Roman;sans-serif"/>
          <w:b w:val="false"/>
          <w:i/>
          <w:color w:val="000000"/>
          <w:sz w:val="20"/>
          <w:shd w:fill="FFFFFF" w:val="clear"/>
        </w:rPr>
        <w:t>Q</w:t>
      </w:r>
      <w:r>
        <w:rPr>
          <w:rFonts w:ascii="Times New Roman;sans-serif" w:hAnsi="Times New Roman;sans-serif"/>
          <w:b w:val="false"/>
          <w:i/>
          <w:color w:val="000000"/>
          <w:sz w:val="20"/>
        </w:rPr>
        <w:t>uantitative and Qualitative Disclosures About Market Risk</w:t>
      </w:r>
      <w:r>
        <w:rPr>
          <w:color w:val="000000"/>
        </w:rPr>
        <w:t xml:space="preserve"> </w:t>
      </w:r>
      <w:r>
        <w:rPr>
          <w:rFonts w:ascii="Times New Roman;sans-serif" w:hAnsi="Times New Roman;sans-serif"/>
          <w:b w:val="false"/>
          <w:color w:val="000000"/>
          <w:sz w:val="20"/>
        </w:rPr>
        <w:t>in this Form 10-Q f</w:t>
      </w:r>
      <w:r>
        <w:rPr>
          <w:rFonts w:ascii="Times New Roman;sans-serif" w:hAnsi="Times New Roman;sans-serif"/>
          <w:b w:val="false"/>
          <w:color w:val="000000"/>
          <w:sz w:val="20"/>
          <w:shd w:fill="FFFFFF" w:val="clear"/>
        </w:rPr>
        <w:t xml:space="preserve">or additional information on resin prices. </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PE Films are projected to be $2 million in 2024, including $1 million for productivity projects and $1 million for capital expenditures required to support continuity of current operations. Depreciation expense is projected to be $5 million in 2024. There is no amortization expense for PE Films.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Flexible Packaging Films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results for Flexible Packaging Films is provided below: </w:t>
      </w:r>
    </w:p>
    <w:tbl>
      <w:tblPr>
        <w:tblW w:w="10205" w:type="dxa"/>
        <w:jc w:val="left"/>
        <w:tblInd w:w="0" w:type="dxa"/>
        <w:tblLayout w:type="fixed"/>
        <w:tblCellMar>
          <w:top w:w="28" w:type="dxa"/>
          <w:left w:w="28" w:type="dxa"/>
          <w:bottom w:w="28" w:type="dxa"/>
          <w:right w:w="28" w:type="dxa"/>
        </w:tblCellMar>
      </w:tblPr>
      <w:tblGrid>
        <w:gridCol w:w="782"/>
        <w:gridCol w:w="517"/>
        <w:gridCol w:w="520"/>
        <w:gridCol w:w="212"/>
        <w:gridCol w:w="728"/>
        <w:gridCol w:w="109"/>
        <w:gridCol w:w="109"/>
        <w:gridCol w:w="109"/>
        <w:gridCol w:w="109"/>
        <w:gridCol w:w="212"/>
        <w:gridCol w:w="728"/>
        <w:gridCol w:w="109"/>
        <w:gridCol w:w="109"/>
        <w:gridCol w:w="109"/>
        <w:gridCol w:w="109"/>
        <w:gridCol w:w="414"/>
        <w:gridCol w:w="414"/>
        <w:gridCol w:w="415"/>
        <w:gridCol w:w="109"/>
        <w:gridCol w:w="109"/>
        <w:gridCol w:w="109"/>
        <w:gridCol w:w="212"/>
        <w:gridCol w:w="728"/>
        <w:gridCol w:w="109"/>
        <w:gridCol w:w="109"/>
        <w:gridCol w:w="109"/>
        <w:gridCol w:w="109"/>
        <w:gridCol w:w="212"/>
        <w:gridCol w:w="728"/>
        <w:gridCol w:w="109"/>
        <w:gridCol w:w="109"/>
        <w:gridCol w:w="109"/>
        <w:gridCol w:w="109"/>
        <w:gridCol w:w="376"/>
        <w:gridCol w:w="376"/>
        <w:gridCol w:w="560"/>
      </w:tblGrid>
      <w:tr>
        <w:trPr/>
        <w:tc>
          <w:tcPr>
            <w:tcW w:w="78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c>
          <w:tcPr>
            <w:tcW w:w="327"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Favorable/</w:t>
              <w:br/>
              <w:t>(Unfavorable)</w:t>
              <w:br/>
              <w:t>% Change</w:t>
            </w:r>
          </w:p>
        </w:tc>
      </w:tr>
      <w:tr>
        <w:trPr/>
        <w:tc>
          <w:tcPr>
            <w:tcW w:w="1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819"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6" w:space="0" w:color="000000"/>
            </w:tcBorders>
            <w:tcMar>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r>
      <w:tr>
        <w:trPr/>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volume (lbs)</w:t>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18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Ongoing operations:</w:t>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&amp; amortization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1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09"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12"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See the table in Note 9 for a reconciliation of this non-GAAP measure to the most comparable measure calculated in accordance with GAAP.</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meaningful ("NM")</w:t>
            </w:r>
          </w:p>
        </w:tc>
      </w:tr>
    </w:tbl>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Third Quarter 2024 Results vs. Third Quarter 2023 Results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in the third quarter of 2024 increased 14.1% compared to the third quarter of 2023 primarily due to higher sales volume.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from ongoing operations in the third quarter of 2024 increased $3.3 million versus the third quarter of 2023, primarily due to: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Lower variable costs ($1.5 million), lower raw material costs ($1.1 million), higher volume ($1.0 million), favorable product mix ($0.8 million), lower fixed costs ($0.2 million), and lower SG&amp;A ($0.2 million), partially offset by lower selling prices from global excess capacity and margin pressures ($0.6 million);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Foreign currency transaction gains ($0.1 million) in the third quarter of 2024 compared to foreign currency transaction gains ($0.2 million) in the third quarter of 2023;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Net unfavorable foreign currency translation of Real-denominated operating costs ($0.8 million).</w:t>
      </w:r>
    </w:p>
    <w:p>
      <w:pPr>
        <w:pStyle w:val="TextBody"/>
        <w:bidi w:val="0"/>
        <w:spacing w:lineRule="auto" w:line="26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First Nine Months of 2024 Results vs. First Nine Months of 2023 Results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 the first nine months of 2024 increased 4.4% compared to the first nine months of 2023 primarily due to higher volume partially offset by lower selling prices that the Company believes are driven by excess global capacity and strong competition in Brazil, Latin America and the U.S and unfavorable product mix.</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EBITDA from ongoing operations in the first nine months of 2024 increased $6.8 million versus the first nine months of 2023 primarily due to: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Lower raw material costs ($5.1 million), lower fixed costs ($3.1 million), higher sales volume ($2.5 million), favorable product mix ($1.4 million), and lower SG&amp;A ($0.6 million), partially offset by lower selling prices from global excess capacity and margin pressures ($4.0 million) and higher variable costs ($0.4 million);</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Foreign currency transaction gains ($0.1 million) in the first nine months of 2024 compared to foreign currency transaction losses ($0.1 million) in the first nine months of 2023;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Net unfavorable foreign currency translation of Real-denominated operating costs ($1.6 million).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 xml:space="preserve">Refer to Item 3. </w:t>
      </w:r>
      <w:r>
        <w:rPr>
          <w:rFonts w:ascii="Times New Roman;sans-serif" w:hAnsi="Times New Roman;sans-serif"/>
          <w:b w:val="false"/>
          <w:i/>
          <w:color w:val="000000"/>
          <w:sz w:val="20"/>
        </w:rPr>
        <w:t>Quantitative and Qualitative Disclosures About Market Risk</w:t>
      </w:r>
      <w:r>
        <w:rPr>
          <w:color w:val="000000"/>
        </w:rPr>
        <w:t xml:space="preserve"> </w:t>
      </w:r>
      <w:r>
        <w:rPr>
          <w:rFonts w:ascii="Times New Roman;sans-serif" w:hAnsi="Times New Roman;sans-serif"/>
          <w:b w:val="false"/>
          <w:color w:val="000000"/>
          <w:sz w:val="20"/>
        </w:rPr>
        <w:t>in this Form 10-Q f</w:t>
      </w:r>
      <w:r>
        <w:rPr>
          <w:rFonts w:ascii="Times New Roman;sans-serif" w:hAnsi="Times New Roman;sans-serif"/>
          <w:b w:val="false"/>
          <w:color w:val="000000"/>
          <w:sz w:val="20"/>
          <w:shd w:fill="FFFFFF" w:val="clear"/>
        </w:rPr>
        <w:t xml:space="preserve">or additional information </w:t>
      </w:r>
      <w:r>
        <w:rPr>
          <w:rFonts w:ascii="Times New Roman;sans-serif" w:hAnsi="Times New Roman;sans-serif"/>
          <w:b w:val="false"/>
          <w:color w:val="000000"/>
          <w:sz w:val="20"/>
        </w:rPr>
        <w:t>on polyester fiber and component price trends.</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Projected Capital Expenditures and Depreciation &amp; Amortization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for Flexible Packaging Films are projected to be $4 million in 2024 for capital expenditures required to support continuity of current operations. Depreciation expense is projected to be $3 million in 2024. Amortization expense is projected to be $0.1 million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Corporate Expenses, Interest &amp; Other</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expenses, net in the first nine months of 2024 decreased $13.7 million compared to the first nine months of 2023 primarily due to lower pension expense as a result of the pension plan termination completed in 2023 ($10.1 million) and lower business development activities ($3.4 million).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of $10.3 million in the first nine months of 2024 increased $2.5 million compared to the first nine months of 2023 due to higher average debt and higher interest rates.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 xml:space="preserve">Net capitalization and other credit measures are provided in </w:t>
      </w:r>
      <w:r>
        <w:rPr>
          <w:rFonts w:ascii="Times New Roman;sans-serif" w:hAnsi="Times New Roman;sans-serif"/>
          <w:b/>
          <w:i/>
          <w:color w:val="000000"/>
          <w:sz w:val="20"/>
        </w:rPr>
        <w:t xml:space="preserve">Liquidity and Capital Resources </w:t>
      </w:r>
      <w:r>
        <w:rPr>
          <w:rFonts w:ascii="Times New Roman;sans-serif" w:hAnsi="Times New Roman;sans-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firstLine="450"/>
        <w:jc w:val="center"/>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2023 to September 30, 2024 are summarized below. </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and other receivables increased $13.7 million (20.2%).</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and other receivables in Aluminum Extrusions increased $7.3 million primarily due to higher sales volume in the third quarter of 2024, partially offset by lower pricing associated with a shift in mix. DSO (represents trailing 12 months net sales divided by a rolling 12-month average of accounts and other receivables balances) was approximately 44.1 days for the 12 months ended September 30, 2024 and 45.1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 xml:space="preserve">Accounts and other receivables in PE Films increased $2.8 million primarily due to increased sales volume. DSO was approximately 24.2 days for the 12 months ended September 30, 2024 and 26.3 days for the 12 months ended December 31, 2023. </w:t>
      </w:r>
    </w:p>
    <w:p>
      <w:pPr>
        <w:pStyle w:val="TextBody"/>
        <w:bidi w:val="0"/>
        <w:spacing w:lineRule="auto" w:line="288" w:before="100" w:after="283"/>
        <w:ind w:left="0" w:right="0" w:hanging="450"/>
        <w:jc w:val="left"/>
        <w:rPr/>
      </w:pPr>
      <w:r>
        <w:rPr>
          <w:strike/>
          <w:color w:val="000000"/>
        </w:rPr>
        <w:t>◦</w:t>
      </w:r>
      <w:r>
        <w:rPr>
          <w:rFonts w:ascii="Times New Roman;sans-serif" w:hAnsi="Times New Roman;sans-serif"/>
          <w:b w:val="false"/>
          <w:color w:val="000000"/>
          <w:sz w:val="20"/>
        </w:rPr>
        <w:t>Accounts and other receivables in Flexible Packaging Films increased $3.7 million primarily due to increased sales volume. DSO was approximately 36.0 days for the 12 months ended September 30, 2024 and 38.1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Inventories increased $6.0 million (7.3%).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Inventories in Aluminum Extrusions increased $1.3 million primarily due to higher average aluminum prices. DIO (represents trailing 12 months costs of goods sold calculated on a FIFO basis divided by a rolling 12-month average of inventory balances calculated on the FIFO basis) was approximately 47.3 days for the 12 months ended September 30, 2024 and 51.6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Inventories in PE Films increased $1.8 million primarily due to higher raw materials and finished goods levels to support increased sales volume during the first nine months of 2024. DIO was approximately 50.1 days for the 12 months ended September 30, 2024 and 57.2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Inventories in Flexible Packaging Films increased $2.8 million primarily due to higher raw materials and finished goods levels to support increased sales volume during the first nine months of 2024. DIO was approximately 104.0 days for the 12 months ended September 30, 2024 and 117.7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Net property, plant and equipment decreased $14.8 million primarily due to depreciation expense of $18.4 million and a $3.0 million unfavorable change in the value of the U.S. dollar relative to foreign currencies, partially offset by capital expenditures of $7.1 million.</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 xml:space="preserve">Identifiable intangible assets, net decreased $1.5 million (15.1%) due to amortization expense. </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 xml:space="preserve">Deferred income tax assets decreased $2.3 million (9.1%). See Note 8 for more information. </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payable decreased $6.0 million (6.3%).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payable in Aluminum Extrusions decreased $10.3 million primarily due to the timing of payments. DPO (represents trailing 12 months costs of goods sold calculated on a FIFO basis divided by a rolling 12-month average of accounts payable balances) was approximately 45.7 days for the 12 months ended September 30, 2024 and 49.8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payable in PE Films increased $1.3 million primarily due to higher raw material purchases. DPO was approximately 42.9 days for the 12 months ended September 30, 2024 and 43.4 days for the 12 months ended December 31, 2023.</w:t>
      </w:r>
    </w:p>
    <w:p>
      <w:pPr>
        <w:pStyle w:val="TextBody"/>
        <w:bidi w:val="0"/>
        <w:spacing w:lineRule="auto" w:line="288" w:before="100" w:after="283"/>
        <w:ind w:left="0" w:right="0" w:hanging="450"/>
        <w:jc w:val="left"/>
        <w:rPr/>
      </w:pPr>
      <w:r>
        <w:rPr>
          <w:color w:val="000000"/>
        </w:rPr>
        <w:t>◦</w:t>
      </w:r>
      <w:r>
        <w:rPr>
          <w:rFonts w:ascii="Times New Roman;sans-serif" w:hAnsi="Times New Roman;sans-serif"/>
          <w:b w:val="false"/>
          <w:color w:val="000000"/>
          <w:sz w:val="20"/>
        </w:rPr>
        <w:t>Accounts payable in Flexible Packaging Films increased $3.4 million primarily due to higher raw material purchases and favorable payment terms. DPO was approximately 75.4 days for the 12 months ended September 30, 2024 and 61.7 days for the 12 months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$6.1 million in the first nine months of 2024 compared to net cash provided by operating activities of $44.2 million in the first nine months of 2023. The decrease was primarily due to lower working capital, partially offset by higher EBITDA from ongoing operations for all reportable segments in the first nine months of 2024 versus prior year.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$7.5 million in the first nine months of 2024 compared to $22.0 million the first nine months of 2023. The decrease was primarily due to lower capital expenditures ($14.6 million).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$3.6 million in the first nine months of 2024 compared to net cash provided by financing activities of $7.7 million in the first nine months of 2023. The change was primarily due to higher net debt principal payments ($21.0 million) under the ABL Facility (as defined below) during the first nine months of 2024 as compared to the first nine months of 2023 and dividends paid ($8.9 million) during the first nine months of 2023.</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Company had cash, cash equivalents and restricted cash of $6.6 million, including cash and cash equivalents held in locations outside the U.S. of $2.7 million. </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Debt and Credit Agreements</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ABL Facility</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27, 2023, the Company entered into Amendment No. 3 to the Second Amended and Restated Credit Agreement (the "Credit Agreement"), which provides the Company with a $180 million senior secured asset-based revolving credit facility that will mature on June 30, 2026. On April 16, 2024, the Company entered into Amendment No. 4 to the Credit Agreement (as amended by Amendment No. 3 and Amendment No. 4, the “ABL Facility”) that, among other items: (i) moves the ABL Adjustment Date (defined below) from March 31, 2025 to September 30, 2025 and (ii) requires weekly reporting of the borrowing base financial covenant until the ABL Adjustment Date.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owned real properties, and owned machinery and equipment. Upon the earlier of September 30, 2025 or the date the Company receives the proceeds from the sale of Terphane (the “ABL Adjustment Date”), the $180 million ABL Facility will be reduced to $125 million. As of September 30, 2024, Minimum Liquidity (as defined in the ABL Facility) of $45.1 million, after reducing the borrowing base by the aggregate outstanding borrowings of $122.0 million and standby letters of credit of $12.9 million was in excess of the $10 million Minimum Liquidity financial covenant.</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ABL Facility, certain domestic bank accounts are subject to blocked account agreements, each of which contains a springing feature whereby the lenders may exercise control over those accounts during a cash dominion period (any such period, a “Cash Dominion Period”). A Cash Dominion Period was implemented on the date of the closing of the ABL Facility and will remain in effect at all times prior to the ABL Adjustment Date. After the ABL Adjustment Date, a Cash Dominion Period goes into effect if availability under the ABL Facility falls below 12.5% or an Event of Default (as defined in the ABL Facility) occurs. The Company would then be subject to the Cash Dominion Period until the Event of Default is waived or ABL Facility availability is above 12.5% of the $125 million aggregate commitment for 30 consecutive days. Receipts that have not yet been applied to the ABL Facility are classified as restricted cash in the Company’s consolidated balance sheets.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 the ABL Facility are as follows:</w:t>
      </w:r>
    </w:p>
    <w:p>
      <w:pPr>
        <w:pStyle w:val="TextBody"/>
        <w:bidi w:val="0"/>
        <w:spacing w:lineRule="auto" w:line="288" w:before="100" w:after="283"/>
        <w:ind w:left="0" w:right="0" w:hanging="270"/>
        <w:jc w:val="left"/>
        <w:rPr/>
      </w:pPr>
      <w:r>
        <w:rPr>
          <w:color w:val="000000"/>
        </w:rPr>
        <w:t>•</w:t>
      </w:r>
      <w:r>
        <w:rPr>
          <w:rFonts w:ascii="Times New Roman;sans-serif" w:hAnsi="Times New Roman;sans-serif"/>
          <w:b w:val="false"/>
          <w:color w:val="000000"/>
          <w:sz w:val="20"/>
        </w:rPr>
        <w:t>Until the ABL Adjustment Date, the Company is required to maintain (i) a minimum Credit EBITDA (as defined in the ABL Facility), as of the end of each fiscal month for the 12-month period then ended (presented below) and (ii) a Minimum Liquidity (as defined in the ABL Facility) of $10.0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tbl>
      <w:tblPr>
        <w:tblW w:w="4086" w:type="dxa"/>
        <w:jc w:val="left"/>
        <w:tblInd w:w="0" w:type="dxa"/>
        <w:tblLayout w:type="fixed"/>
        <w:tblCellMar>
          <w:top w:w="28" w:type="dxa"/>
          <w:left w:w="28" w:type="dxa"/>
          <w:bottom w:w="28" w:type="dxa"/>
          <w:right w:w="28" w:type="dxa"/>
        </w:tblCellMar>
      </w:tblPr>
      <w:tblGrid>
        <w:gridCol w:w="521"/>
        <w:gridCol w:w="459"/>
        <w:gridCol w:w="460"/>
        <w:gridCol w:w="514"/>
        <w:gridCol w:w="1757"/>
        <w:gridCol w:w="375"/>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ind w:left="0" w:right="0" w:hanging="225"/>
              <w:jc w:val="left"/>
              <w:rPr>
                <w:sz w:val="4"/>
                <w:szCs w:val="4"/>
              </w:rPr>
            </w:pPr>
            <w:r>
              <w:rPr>
                <w:sz w:val="4"/>
                <w:szCs w:val="4"/>
              </w:rPr>
            </w:r>
          </w:p>
        </w:tc>
      </w:tr>
      <w:tr>
        <w:trPr/>
        <w:tc>
          <w:tcPr>
            <w:tcW w:w="4086" w:type="dxa"/>
            <w:gridSpan w:val="6"/>
            <w:tcBorders>
              <w:top w:val="single" w:sz="16"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Minimum Credit EBITDA (In thousands)</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2646"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c>
          <w:tcPr>
            <w:tcW w:w="514"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2024</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2024</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2025</w:t>
            </w:r>
          </w:p>
        </w:tc>
        <w:tc>
          <w:tcPr>
            <w:tcW w:w="22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c>
          <w:tcPr>
            <w:tcW w:w="2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2025</w:t>
            </w:r>
          </w:p>
        </w:tc>
        <w:tc>
          <w:tcPr>
            <w:tcW w:w="51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32,080 </w:t>
            </w:r>
          </w:p>
        </w:tc>
        <w:tc>
          <w:tcPr>
            <w:tcW w:w="37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Following the ABL Adjustment Date, the foregoing financial covenants will cease to exist and will be replaced with a minimum fixed charge coverage ratio of 1.00:1.00 that will be triggered in the event that availability is less than 10% of $125 million commitment amount and continuing thereafter until availability is greater than 10% of the $125 million commitment amount for 30 consecutive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Credit EBITDA, as defined in the ABL Facility, is presented below.</w:t>
      </w:r>
    </w:p>
    <w:tbl>
      <w:tblPr>
        <w:tblW w:w="10205" w:type="dxa"/>
        <w:jc w:val="left"/>
        <w:tblInd w:w="0" w:type="dxa"/>
        <w:tblLayout w:type="fixed"/>
        <w:tblCellMar>
          <w:top w:w="28" w:type="dxa"/>
          <w:left w:w="28" w:type="dxa"/>
          <w:bottom w:w="28" w:type="dxa"/>
          <w:right w:w="28" w:type="dxa"/>
        </w:tblCellMar>
      </w:tblPr>
      <w:tblGrid>
        <w:gridCol w:w="2612"/>
        <w:gridCol w:w="2265"/>
        <w:gridCol w:w="2018"/>
        <w:gridCol w:w="380"/>
        <w:gridCol w:w="1392"/>
        <w:gridCol w:w="1538"/>
      </w:tblGrid>
      <w:tr>
        <w:trPr/>
        <w:tc>
          <w:tcPr>
            <w:tcW w:w="2612"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Computations of Credit EBITDA (as defined in the ABL Facility) as of and for the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September 30, 2024 *</w:t>
            </w:r>
          </w:p>
        </w:tc>
      </w:tr>
      <w:tr>
        <w:trPr/>
        <w:tc>
          <w:tcPr>
            <w:tcW w:w="102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Computations of Credit EBITDA for the twelve months ended September 30, 2024 (in thousands):</w:t>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8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(27,456)</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3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losses related to discontinued operations</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 for continuing operations</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14,130 </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continuing operations</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non-cash losses and expenses, plus cash losses and expenses not to exceed $10,000, for continuing operations that are classified as unusual, extraordinary or which are related to plant shutdowns, asset impairments and/or restructurings (cash-related of $8,722)</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76,005 </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related to stock option grants and awards accounted for under the fair value-based method</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related to the application of the equity method of accounting</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related to adjustments in the estimated fair value of assets accounted for under the fair value method of accounting</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costs and expenses incurred in connection with the amendment process</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Terphane sale transaction costs in an amount not to exceed $10,000</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Minus:</w:t>
            </w:r>
          </w:p>
        </w:tc>
        <w:tc>
          <w:tcPr>
            <w:tcW w:w="331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income related to discontinued operations</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benefits for continuing operations</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(34,245)</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non-cash gains and income, plus cash gains and income in excess of $10,000, for continuing operations that are classified as unusual, extraordinary or which are related to plant shutdowns, asset impairments and/or restructurings</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related to changes in estimates for stock option grants and awards accounted for under the fair value-based method</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related to the application of the equity method of accounting</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related to adjustments in the estimated fair value of assets accounted for under the fair value method of accounting</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53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cash dividends declared on investments in an amount not to exceed $10,000 for such period</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or minus, as applicable, pro forma EBITDA adjustments associated with acquisitions and asset dispositions</w:t>
            </w:r>
          </w:p>
        </w:tc>
        <w:tc>
          <w:tcPr>
            <w:tcW w:w="177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or minus, as applicable, pro forma EBITDA adjustments to pension expense associated with the early payment of pension obligations</w:t>
            </w:r>
          </w:p>
        </w:tc>
        <w:tc>
          <w:tcPr>
            <w:tcW w:w="177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2,627 </w:t>
            </w:r>
          </w:p>
        </w:tc>
        <w:tc>
          <w:tcPr>
            <w:tcW w:w="1538"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EBITDA</w:t>
            </w:r>
          </w:p>
        </w:tc>
        <w:tc>
          <w:tcPr>
            <w:tcW w:w="17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59,098 </w:t>
            </w:r>
          </w:p>
        </w:tc>
        <w:tc>
          <w:tcPr>
            <w:tcW w:w="15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*Credit EBITDA is not intended to represent net income (loss) or cash flow from operations as defined by GAAP and should not be considered as an alternative to either net income (loss) or to cash flow.</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the ABL Facility Minimum Liquidity financial covenant, as defined in the ABL Facility, is presented below.</w:t>
      </w:r>
    </w:p>
    <w:tbl>
      <w:tblPr>
        <w:tblW w:w="10205" w:type="dxa"/>
        <w:jc w:val="left"/>
        <w:tblInd w:w="0" w:type="dxa"/>
        <w:tblLayout w:type="fixed"/>
        <w:tblCellMar>
          <w:top w:w="28" w:type="dxa"/>
          <w:left w:w="28" w:type="dxa"/>
          <w:bottom w:w="28" w:type="dxa"/>
          <w:right w:w="28" w:type="dxa"/>
        </w:tblCellMar>
      </w:tblPr>
      <w:tblGrid>
        <w:gridCol w:w="2610"/>
        <w:gridCol w:w="2188"/>
        <w:gridCol w:w="2200"/>
        <w:gridCol w:w="249"/>
        <w:gridCol w:w="977"/>
        <w:gridCol w:w="128"/>
        <w:gridCol w:w="109"/>
        <w:gridCol w:w="109"/>
        <w:gridCol w:w="109"/>
        <w:gridCol w:w="228"/>
        <w:gridCol w:w="893"/>
        <w:gridCol w:w="405"/>
      </w:tblGrid>
      <w:tr>
        <w:trPr/>
        <w:tc>
          <w:tcPr>
            <w:tcW w:w="261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69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13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r>
      <w:tr>
        <w:trPr/>
        <w:tc>
          <w:tcPr>
            <w:tcW w:w="6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aggregate principal</w:t>
            </w:r>
          </w:p>
        </w:tc>
        <w:tc>
          <w:tcPr>
            <w:tcW w:w="24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Maximum borrowing limit per the Borrowing base as defined in the ABL Facility (includes eligible domestic cash and cash equivalents of $4,282 as of September 30, 2024 and $3,846 as of December 31, 2023)</w:t>
            </w:r>
          </w:p>
        </w:tc>
        <w:tc>
          <w:tcPr>
            <w:tcW w:w="249"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 outstanding debt (matures on June 30, 2026)</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standby letters of credit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13,080 </w:t>
            </w:r>
          </w:p>
        </w:tc>
        <w:tc>
          <w:tcPr>
            <w:tcW w:w="405"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6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 Minimum Liquidity</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32,884 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Liquidity financial covenant</w:t>
            </w:r>
          </w:p>
        </w:tc>
        <w:tc>
          <w:tcPr>
            <w:tcW w:w="24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2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0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financial covenants, the ABL Facility contains restrictive covenants, including covenants that restrict the Company’s ability to pay dividends and repurchase shares of its common stock. After the ABL Adjustment Date, the Company is no longer prohibited from making dividend payments and share repurchases. All decisions with respect to the declaration and payment of future dividends and share repurchases will be made by the Board in its sole discretion based upon earnings, financial condition, anticipated cash needs and other such considerations as the Board deems relevant.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was in compliance with all debt covenants. On November 1, 2024, with the closing of the Terphane Sale, the ABL Adjustment Date has occurred. </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Terphane Brazil Loan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26, 2023, Terphane Ltda., the Company’s wholly owned subsidiary in Brazil, borrowed $20 million secured by certain of its assets (“Terphane Brazil Loan”). This U.S. Dollar borrowing matures on October 30, 2028. On October 26, 2023, the Company borrowed $20 million from Terphane Ltda. (the “Intercompany Loan”) at the same interest rate as the Terphane Brazil Loan, thereby transferring the funds to the U.S. In connection with the closing of the Terphane Sale, both the Terphane Brazil Loan and the Intercompany Loan were assumed by Oben.</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 Films Guangzhou Loan</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25, 2024, PE Films' business location in Guangzhou, China, Guangzhou Tredegar Film Products Co., Ltd. (“Guangzhou Tredegar”), entered into a 9.5 million Chinese Yuan, which is equivalent to $1.4 million as of September 30, 2024, revolving loan with the Industrial and Commercial Bank of China. The loan matures on July 3, 2025. The interest rate is the one year loan prime rate published by the National Interbank Funding Center for the working day immediately preceding the drawdown date, minus 0.45%. As of September 30, 2024, the National Interbank Funding Center rate was 3.35%. The revolving loan is secured by a mortgage contract listing the Guangzhou Tredegar factory building as collateral. The mortgage contract has a maximum value of 30 million Chinese Yuan and is effective from June 25, 2024 through May 31, 2027.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more information on the ABL Facility, the Terphane Brazil Loan and the PE Films Guangzhou Loan, see Note 10 for additional information.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 In addition, the completion of the Terphane Sale has provided additional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00" w:after="283"/>
        <w:ind w:left="0" w:right="0" w:firstLine="450"/>
        <w:jc w:val="left"/>
        <w:rPr/>
      </w:pPr>
      <w:r>
        <w:rPr>
          <w:rFonts w:ascii="Times New Roman;sans-serif" w:hAnsi="Times New Roman;sans-serif"/>
          <w:b w:val="false"/>
          <w:color w:val="000000"/>
          <w:sz w:val="20"/>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Times New Roman;sans-serif" w:hAnsi="Times New Roman;sans-serif"/>
          <w:b/>
          <w:i/>
          <w:color w:val="000000"/>
          <w:sz w:val="20"/>
        </w:rPr>
        <w:t>Liquidity and Capital Resources</w:t>
      </w:r>
      <w:r>
        <w:rPr>
          <w:color w:val="000000"/>
        </w:rPr>
        <w:t xml:space="preserve"> </w:t>
      </w:r>
      <w:r>
        <w:rPr>
          <w:rFonts w:ascii="Times New Roman;sans-serif" w:hAnsi="Times New Roman;sans-serif"/>
          <w:b w:val="false"/>
          <w:color w:val="000000"/>
          <w:sz w:val="20"/>
        </w:rPr>
        <w:t>above regarding interest rate exposures related to borrowings under the Credit Agreement.</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volatility of quarterly average aluminum prices is shown in the chart below.</w:t>
      </w:r>
    </w:p>
    <w:p>
      <w:pPr>
        <w:pStyle w:val="TextBody"/>
        <w:bidi w:val="0"/>
        <w:spacing w:before="100" w:after="283"/>
        <w:jc w:val="center"/>
        <w:rPr/>
      </w:pPr>
      <w:r>
        <w:rPr/>
        <w:drawing>
          <wp:inline distT="0" distB="0" distL="0" distR="0">
            <wp:extent cx="6410325" cy="28289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2"/>
                    <a:stretch>
                      <a:fillRect/>
                    </a:stretch>
                  </pic:blipFill>
                  <pic:spPr bwMode="auto">
                    <a:xfrm>
                      <a:off x="0" y="0"/>
                      <a:ext cx="6410325" cy="2828925"/>
                    </a:xfrm>
                    <a:prstGeom prst="rect">
                      <a:avLst/>
                    </a:prstGeom>
                  </pic:spPr>
                </pic:pic>
              </a:graphicData>
            </a:graphic>
          </wp:inline>
        </w:drawing>
      </w:r>
    </w:p>
    <w:tbl>
      <w:tblPr>
        <w:tblW w:w="8250" w:type="dxa"/>
        <w:jc w:val="center"/>
        <w:tblInd w:w="0" w:type="dxa"/>
        <w:tblLayout w:type="fixed"/>
        <w:tblCellMar>
          <w:top w:w="28" w:type="dxa"/>
          <w:left w:w="28" w:type="dxa"/>
          <w:bottom w:w="28" w:type="dxa"/>
          <w:right w:w="28" w:type="dxa"/>
        </w:tblCellMar>
      </w:tblPr>
      <w:tblGrid>
        <w:gridCol w:w="2636"/>
        <w:gridCol w:w="2318"/>
        <w:gridCol w:w="3296"/>
      </w:tblGrid>
      <w:tr>
        <w:trPr/>
        <w:tc>
          <w:tcPr>
            <w:tcW w:w="263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Source: Quarterly averages computed by the Company using London Metal Exchange daily aluminum cash prices plus the Midwest premium.</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volatility of quarterly average natural gas prices is shown in the chart below. </w:t>
      </w:r>
    </w:p>
    <w:p>
      <w:pPr>
        <w:pStyle w:val="TextBody"/>
        <w:bidi w:val="0"/>
        <w:spacing w:before="100" w:after="283"/>
        <w:jc w:val="center"/>
        <w:rPr/>
      </w:pPr>
      <w:r>
        <w:rPr/>
        <w:drawing>
          <wp:inline distT="0" distB="0" distL="0" distR="0">
            <wp:extent cx="6410325" cy="282892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6410325" cy="2828925"/>
                    </a:xfrm>
                    <a:prstGeom prst="rect">
                      <a:avLst/>
                    </a:prstGeom>
                  </pic:spPr>
                </pic:pic>
              </a:graphicData>
            </a:graphic>
          </wp:inline>
        </w:drawing>
      </w:r>
    </w:p>
    <w:tbl>
      <w:tblPr>
        <w:tblW w:w="5415" w:type="dxa"/>
        <w:jc w:val="center"/>
        <w:tblInd w:w="0" w:type="dxa"/>
        <w:tblLayout w:type="fixed"/>
        <w:tblCellMar>
          <w:top w:w="28" w:type="dxa"/>
          <w:left w:w="28" w:type="dxa"/>
          <w:bottom w:w="28" w:type="dxa"/>
          <w:right w:w="28" w:type="dxa"/>
        </w:tblCellMar>
      </w:tblPr>
      <w:tblGrid>
        <w:gridCol w:w="1732"/>
        <w:gridCol w:w="1520"/>
        <w:gridCol w:w="2163"/>
      </w:tblGrid>
      <w:tr>
        <w:trPr/>
        <w:tc>
          <w:tcPr>
            <w:tcW w:w="173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Source: Quarterly averages computed by Tredegar using monthly NYMEX settlement prices.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volatility of average quarterly prices of polyethylene resin in the U.S. (a primary raw material for PE Films) is shown in the chart below. </w:t>
      </w:r>
    </w:p>
    <w:p>
      <w:pPr>
        <w:pStyle w:val="TextBody"/>
        <w:bidi w:val="0"/>
        <w:spacing w:before="100" w:after="283"/>
        <w:jc w:val="center"/>
        <w:rPr/>
      </w:pPr>
      <w:r>
        <w:rPr/>
        <w:drawing>
          <wp:inline distT="0" distB="0" distL="0" distR="0">
            <wp:extent cx="6410325" cy="28289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6410325" cy="2828925"/>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3261"/>
        <w:gridCol w:w="2866"/>
        <w:gridCol w:w="4078"/>
      </w:tblGrid>
      <w:tr>
        <w:trPr/>
        <w:tc>
          <w:tcPr>
            <w:tcW w:w="326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Source: Quarterly averages computed by Tredegar using monthly data provided by IHS, Inc. In February 2020, IHS reflected a 32 cents per pound non-market adjustment based on their estimate of the growth of discounts in prior periods. The fourth quarter 2019 average rate of $0.51 per pound is shown on a pro forma basis as if the non-market adjustment was made in the fourth quarter of 2019. In January 2023, IHS reflected a 41 cents per pound non-market adjustment based on their estimate of the growth of discounts in the prior periods. The fourth quarter 2022 average rate of $0.60 per pound is shown on a pro forma basis as if the non-market adjustment was made in the fourth quarter of 2022. </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pStyle w:val="TextBody"/>
        <w:bidi w:val="0"/>
        <w:spacing w:before="100" w:after="283"/>
        <w:jc w:val="center"/>
        <w:rPr/>
      </w:pPr>
      <w:r>
        <w:rPr/>
        <w:drawing>
          <wp:inline distT="0" distB="0" distL="0" distR="0">
            <wp:extent cx="6410325" cy="28289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5"/>
                    <a:stretch>
                      <a:fillRect/>
                    </a:stretch>
                  </pic:blipFill>
                  <pic:spPr bwMode="auto">
                    <a:xfrm>
                      <a:off x="0" y="0"/>
                      <a:ext cx="6410325" cy="2828925"/>
                    </a:xfrm>
                    <a:prstGeom prst="rect">
                      <a:avLst/>
                    </a:prstGeom>
                  </pic:spPr>
                </pic:pic>
              </a:graphicData>
            </a:graphic>
          </wp:inline>
        </w:drawing>
      </w:r>
    </w:p>
    <w:tbl>
      <w:tblPr>
        <w:tblW w:w="5910" w:type="dxa"/>
        <w:jc w:val="center"/>
        <w:tblInd w:w="0" w:type="dxa"/>
        <w:tblLayout w:type="fixed"/>
        <w:tblCellMar>
          <w:top w:w="28" w:type="dxa"/>
          <w:left w:w="28" w:type="dxa"/>
          <w:bottom w:w="28" w:type="dxa"/>
          <w:right w:w="28" w:type="dxa"/>
        </w:tblCellMar>
      </w:tblPr>
      <w:tblGrid>
        <w:gridCol w:w="1887"/>
        <w:gridCol w:w="1662"/>
        <w:gridCol w:w="2361"/>
      </w:tblGrid>
      <w:tr>
        <w:trPr/>
        <w:tc>
          <w:tcPr>
            <w:tcW w:w="188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Source: Quarterly averages computed by Tredegar using monthly data from CMAI Global Index data.</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volatility of average quarterly prices of PTA and MEG in Asia (raw materials used in the production of polyester resins produced by Flexible Packaging Films) is shown in the chart below:</w:t>
      </w:r>
    </w:p>
    <w:p>
      <w:pPr>
        <w:pStyle w:val="TextBody"/>
        <w:bidi w:val="0"/>
        <w:spacing w:before="100" w:after="283"/>
        <w:jc w:val="center"/>
        <w:rPr/>
      </w:pPr>
      <w:r>
        <w:rPr/>
        <w:drawing>
          <wp:inline distT="0" distB="0" distL="0" distR="0">
            <wp:extent cx="6410325" cy="2952750"/>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6"/>
                    <a:stretch>
                      <a:fillRect/>
                    </a:stretch>
                  </pic:blipFill>
                  <pic:spPr bwMode="auto">
                    <a:xfrm>
                      <a:off x="0" y="0"/>
                      <a:ext cx="6410325" cy="2952750"/>
                    </a:xfrm>
                    <a:prstGeom prst="rect">
                      <a:avLst/>
                    </a:prstGeom>
                  </pic:spPr>
                </pic:pic>
              </a:graphicData>
            </a:graphic>
          </wp:inline>
        </w:drawing>
      </w:r>
    </w:p>
    <w:tbl>
      <w:tblPr>
        <w:tblW w:w="5910" w:type="dxa"/>
        <w:jc w:val="center"/>
        <w:tblInd w:w="0" w:type="dxa"/>
        <w:tblLayout w:type="fixed"/>
        <w:tblCellMar>
          <w:top w:w="28" w:type="dxa"/>
          <w:left w:w="28" w:type="dxa"/>
          <w:bottom w:w="28" w:type="dxa"/>
          <w:right w:w="28" w:type="dxa"/>
        </w:tblCellMar>
      </w:tblPr>
      <w:tblGrid>
        <w:gridCol w:w="1887"/>
        <w:gridCol w:w="1662"/>
        <w:gridCol w:w="2361"/>
      </w:tblGrid>
      <w:tr>
        <w:trPr/>
        <w:tc>
          <w:tcPr>
            <w:tcW w:w="188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Source: Quarterly averages computed by Tredegar using monthly data from CMAI Global Index data.</w:t>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annual net costs of R$139.0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7 for more information on outstanding hedging contracts and this hedging program.</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Tredegar estimates that the change in the value of foreign currencies relative to the U.S. Dollar for PE Films had an unfavorable impact on EBITDA from ongoing operations of $0.2 million for the third quarter of 2024 and an unfavorable impact on EBITDA from ongoing operations of $0.4 million in the first nine months of 2024 compared with the same periods of 2023.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Trends for the Brazilian Real and Chinese Yuan exchange rates relative to the U.S. Dollar are shown in the chart below.</w:t>
      </w:r>
    </w:p>
    <w:p>
      <w:pPr>
        <w:pStyle w:val="TextBody"/>
        <w:bidi w:val="0"/>
        <w:spacing w:before="100" w:after="283"/>
        <w:jc w:val="center"/>
        <w:rPr/>
      </w:pPr>
      <w:r>
        <w:rPr/>
        <w:drawing>
          <wp:inline distT="0" distB="0" distL="0" distR="0">
            <wp:extent cx="6410325" cy="2828925"/>
            <wp:effectExtent l="0" t="0" r="0" b="0"/>
            <wp:docPr id="4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6" descr=""/>
                    <pic:cNvPicPr>
                      <a:picLocks noChangeAspect="1" noChangeArrowheads="1"/>
                    </pic:cNvPicPr>
                  </pic:nvPicPr>
                  <pic:blipFill>
                    <a:blip r:embed="rId7"/>
                    <a:stretch>
                      <a:fillRect/>
                    </a:stretch>
                  </pic:blipFill>
                  <pic:spPr bwMode="auto">
                    <a:xfrm>
                      <a:off x="0" y="0"/>
                      <a:ext cx="6410325" cy="2828925"/>
                    </a:xfrm>
                    <a:prstGeom prst="rect">
                      <a:avLst/>
                    </a:prstGeom>
                  </pic:spPr>
                </pic:pic>
              </a:graphicData>
            </a:graphic>
          </wp:inline>
        </w:drawing>
      </w:r>
    </w:p>
    <w:tbl>
      <w:tblPr>
        <w:tblW w:w="5865" w:type="dxa"/>
        <w:jc w:val="center"/>
        <w:tblInd w:w="0" w:type="dxa"/>
        <w:tblLayout w:type="fixed"/>
        <w:tblCellMar>
          <w:top w:w="28" w:type="dxa"/>
          <w:left w:w="28" w:type="dxa"/>
          <w:bottom w:w="28" w:type="dxa"/>
          <w:right w:w="28" w:type="dxa"/>
        </w:tblCellMar>
      </w:tblPr>
      <w:tblGrid>
        <w:gridCol w:w="1876"/>
        <w:gridCol w:w="1646"/>
        <w:gridCol w:w="2343"/>
      </w:tblGrid>
      <w:tr>
        <w:trPr/>
        <w:tc>
          <w:tcPr>
            <w:tcW w:w="187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Source: Quarterly averages computed by Tredegar using daily closing data provided by Bloomberg.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00" w:after="283"/>
        <w:ind w:left="0" w:right="0" w:firstLine="450"/>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Evaluation of Disclosure Controls and Procedures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September 30, 2024.</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this evaluation of our disclosure controls and procedures as of September 30, 2024, the Company's Chief Executive Officer and Chief Financial Officer concluded that, as of such date, our disclosure controls and procedures were effective. </w:t>
      </w:r>
    </w:p>
    <w:p>
      <w:pPr>
        <w:pStyle w:val="TextBody"/>
        <w:bidi w:val="0"/>
        <w:spacing w:lineRule="auto" w:line="288" w:before="10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Changes in Internal Control Over Financial Reporting</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quarter ended September 30, 2024, that has materially affected, or is reasonably likely to materially affect, its internal control over financial reporting (as defined in Rules 13a-15(f) and 15d-15(f)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“Item 1A. Risk Factors” in the 2023 Form 10-K, there are a number of risks and uncertainties that can have a material effect on the operating results of our businesses and our financial condition. There are no material updates or changes to our risk factors previously disclosed in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Credit Agreement contains financial and other restrictive covenants, including a restriction on the Company’s ability to pay dividends to shareholders prior to the ABL Adjustment Date. For more information on the Credit Agreement, see “Item 2. Management’s Discussion and Analysis of Financial Condition and Results of Operations - Liquidity and Capital Resources.”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Director and Officer Trading Arrangements</w:t>
      </w:r>
    </w:p>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47"/>
        <w:gridCol w:w="2747"/>
        <w:gridCol w:w="390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90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11_20240930x10q.htm">
              <w:r>
                <w:rPr>
                  <w:rStyle w:val="InternetLink"/>
                  <w:rFonts w:ascii="Times New Roman;sans-serif" w:hAnsi="Times New Roman;sans-serif"/>
                  <w:b w:val="false"/>
                  <w:color w:val="0000FF"/>
                  <w:sz w:val="20"/>
                  <w:u w:val="single"/>
                </w:rPr>
                <w:t>Certification of President and Chief Executive Officer of Tredegar Corporation, pursuant to Rules 13a-14(a) and 15d-14(a) promulgated under the Securities Exchange Act of 1934, as adopted pursuant to Section 302 of the Sarbanes-Oxley Act of 2002.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12_20240930x10q.htm">
              <w:r>
                <w:rPr>
                  <w:rStyle w:val="InternetLink"/>
                  <w:rFonts w:ascii="Times New Roman;sans-serif" w:hAnsi="Times New Roman;sans-serif"/>
                  <w:b w:val="false"/>
                  <w:color w:val="0000FF"/>
                  <w:sz w:val="20"/>
                  <w:u w:val="single"/>
                </w:rPr>
                <w:t>Certification of Executive Vice President and Chief Financial Officer of Tredegar Corporation, pursuant to Rules 13a-14(a) and 15d-14(a) promulgated under the Securities Exchange Act of 1934, as adopted pursuant to Section 302 of the Sarbanes-Oxley Act of 2002.</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g-ex321_20240930x10q.htm">
              <w:r>
                <w:rPr>
                  <w:rStyle w:val="InternetLink"/>
                  <w:rFonts w:ascii="Times New Roman;sans-serif" w:hAnsi="Times New Roman;sans-serif"/>
                  <w:b w:val="false"/>
                  <w:color w:val="0000FF"/>
                  <w:sz w:val="20"/>
                  <w:u w:val="single"/>
                </w:rPr>
                <w:t>Certification of President and Chief Executive Officer of Tredegar Corporation, pursuant to 18 U.S.C. Section 1350, as adopted pursuant to Section 906 of the Sarbanes-Oxley Act of 2002.</w:t>
              </w:r>
            </w:hyperlink>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g-ex322_20240930x10q.htm">
              <w:r>
                <w:rPr>
                  <w:rStyle w:val="InternetLink"/>
                  <w:rFonts w:ascii="Times New Roman;sans-serif" w:hAnsi="Times New Roman;sans-serif"/>
                  <w:b w:val="false"/>
                  <w:color w:val="0000FF"/>
                  <w:sz w:val="20"/>
                  <w:u w:val="single"/>
                </w:rPr>
                <w:t>Certification of Executive Vice President and Chief Financial Officer of Tredegar Corporation, pursuant to 18 U.S.C. Section 1350, as adopted pursuant to Section 906 of the Sarbanes-Oxley Act of 2002.</w:t>
              </w:r>
            </w:hyperlink>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and Related Items.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iXBRL and contained in Exhibit 101).</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Denotes compensatory plans or arrangements or management contracts.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5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534"/>
        <w:gridCol w:w="534"/>
        <w:gridCol w:w="536"/>
        <w:gridCol w:w="109"/>
        <w:gridCol w:w="109"/>
        <w:gridCol w:w="109"/>
        <w:gridCol w:w="1299"/>
        <w:gridCol w:w="1299"/>
        <w:gridCol w:w="18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Tredegar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Steitz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Steitz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 Andrew Edwards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Andrew Edwards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Frasier W. Brickhouse, 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Treasurer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John M. Steitz, certify that: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2024, of Tredegar Corporation;</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8, 2024 </w:t>
      </w:r>
    </w:p>
    <w:tbl>
      <w:tblPr>
        <w:tblW w:w="4206" w:type="dxa"/>
        <w:jc w:val="left"/>
        <w:tblInd w:w="0" w:type="dxa"/>
        <w:tblLayout w:type="fixed"/>
        <w:tblCellMar>
          <w:top w:w="28" w:type="dxa"/>
          <w:left w:w="28" w:type="dxa"/>
          <w:bottom w:w="28" w:type="dxa"/>
          <w:right w:w="28" w:type="dxa"/>
        </w:tblCellMar>
      </w:tblPr>
      <w:tblGrid>
        <w:gridCol w:w="124"/>
        <w:gridCol w:w="109"/>
        <w:gridCol w:w="109"/>
        <w:gridCol w:w="1053"/>
        <w:gridCol w:w="1053"/>
        <w:gridCol w:w="10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Section 302 Certification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D. Andrew Edwards, certify that: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quarter ended September 30, 2024, of Tredegar Corporation;</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8, 2024</w:t>
      </w:r>
    </w:p>
    <w:tbl>
      <w:tblPr>
        <w:tblW w:w="5435" w:type="dxa"/>
        <w:jc w:val="left"/>
        <w:tblInd w:w="0" w:type="dxa"/>
        <w:tblLayout w:type="fixed"/>
        <w:tblCellMar>
          <w:top w:w="28" w:type="dxa"/>
          <w:left w:w="28" w:type="dxa"/>
          <w:bottom w:w="28" w:type="dxa"/>
          <w:right w:w="28" w:type="dxa"/>
        </w:tblCellMar>
      </w:tblPr>
      <w:tblGrid>
        <w:gridCol w:w="124"/>
        <w:gridCol w:w="109"/>
        <w:gridCol w:w="109"/>
        <w:gridCol w:w="1463"/>
        <w:gridCol w:w="1463"/>
        <w:gridCol w:w="1468"/>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Tredegar Corporation (the “Company”) for the quarter ended September 30, 2024 as filed with the Securities and Exchange Commission on the date hereof (the “Report”), I, John M. Steitz, President and Chief Executive Officer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3879" w:type="dxa"/>
        <w:jc w:val="left"/>
        <w:tblInd w:w="0" w:type="dxa"/>
        <w:tblLayout w:type="fixed"/>
        <w:tblCellMar>
          <w:top w:w="28" w:type="dxa"/>
          <w:left w:w="28" w:type="dxa"/>
          <w:bottom w:w="28" w:type="dxa"/>
          <w:right w:w="28" w:type="dxa"/>
        </w:tblCellMar>
      </w:tblPr>
      <w:tblGrid>
        <w:gridCol w:w="1150"/>
        <w:gridCol w:w="1009"/>
        <w:gridCol w:w="1021"/>
        <w:gridCol w:w="109"/>
        <w:gridCol w:w="109"/>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Steitz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Tredegar Corporation (the “Company”) for the quarter ended September 30, 2024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5109" w:type="dxa"/>
        <w:jc w:val="left"/>
        <w:tblInd w:w="0" w:type="dxa"/>
        <w:tblLayout w:type="fixed"/>
        <w:tblCellMar>
          <w:top w:w="28" w:type="dxa"/>
          <w:left w:w="28" w:type="dxa"/>
          <w:bottom w:w="28" w:type="dxa"/>
          <w:right w:w="28" w:type="dxa"/>
        </w:tblCellMar>
      </w:tblPr>
      <w:tblGrid>
        <w:gridCol w:w="1599"/>
        <w:gridCol w:w="1402"/>
        <w:gridCol w:w="1409"/>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Andrew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21060</Words>
  <Characters>116960</Characters>
  <CharactersWithSpaces>136534</CharactersWithSpaces>
  <Paragraphs>2900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